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1"/>
        <w:spacing w:line="480" w:lineRule="auto"/>
        <w:ind w:firstLine="0"/>
      </w:pPr>
      <w:bookmarkStart w:id="20" w:name="additional-file-1-tripod-checklist"/>
      <w:r>
        <w:rPr>
          <w:rFonts w:ascii="Times New Roman" w:hAnsi="Times New Roman" w:eastAsia="Times New Roman" w:cs="Times New Roman"/>
          <w:b/>
          <w:sz w:val="24"/>
        </w:rPr>
        <w:t xml:space="preserve">Additional File 1 — TRIPOD Checklist</w:t>
      </w:r>
      <w:bookmarkEnd w:id="20"/>
    </w:p>
    <w:p>
      <w:pPr>
        <w:pStyle w:val="FirstParagraph"/>
        <w:spacing w:line="480" w:lineRule="auto"/>
        <w:ind w:firstLine="720"/>
      </w:pPr>
      <w:r>
        <w:rPr>
          <w:rFonts w:ascii="Times New Roman" w:hAnsi="Times New Roman" w:eastAsia="Times New Roman" w:cs="Times New Roman"/>
          <w:b/>
          <w:sz w:val="24"/>
        </w:rPr>
        <w:t xml:space="preserve">Manuscript</w:t>
      </w:r>
      <w:r>
        <w:rPr>
          <w:rFonts w:ascii="Times New Roman" w:hAnsi="Times New Roman" w:eastAsia="Times New Roman" w:cs="Times New Roman"/>
          <w:sz w:val="24"/>
        </w:rPr>
        <w:t xml:space="preserve">: C-reactive Protein-to-Albumin Ratio Adds Independent Prognostic Value to the Clinical Frailty Scale in Older Emergency Department Patients: A Multicenter Cohort Study</w:t>
      </w:r>
    </w:p>
    <w:p>
      <w:pPr>
        <w:pStyle w:val="BodyText"/>
        <w:spacing w:line="480" w:lineRule="auto"/>
        <w:ind w:firstLine="720"/>
      </w:pPr>
      <w:r>
        <w:rPr>
          <w:rFonts w:ascii="Times New Roman" w:hAnsi="Times New Roman" w:eastAsia="Times New Roman" w:cs="Times New Roman"/>
          <w:b/>
          <w:sz w:val="24"/>
        </w:rPr>
        <w:t xml:space="preserve">TRIPOD Statement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(Collins GS, Reitsma JB, Altman DG, Moons KGM.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</w:rPr>
        <w:t xml:space="preserve">BMJ.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2015;350:g7594.)</w:t>
      </w:r>
    </w:p>
    <w:p>
      <w:pPr>
        <w:pStyle w:val="BodyText"/>
        <w:spacing w:line="480" w:lineRule="auto"/>
        <w:ind w:firstLine="720"/>
      </w:pPr>
      <w:r>
        <w:rPr>
          <w:rFonts w:ascii="Times New Roman" w:hAnsi="Times New Roman" w:eastAsia="Times New Roman" w:cs="Times New Roman"/>
          <w:sz w:val="24"/>
        </w:rPr>
        <w:t xml:space="preserve">This study is 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 xml:space="preserve">prognostic model development and internal validation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in a single multicenter dataset (TRIPOD type 1a — development only, with apparent performance from the dataset used). The cohort design components additionally follow the STROBE statement.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pict>
          <v:rect style="width:0;height:1.5pt" o:hralign="center" o:hrstd="t" o:hr="t"/>
        </w:pict>
      </w:r>
    </w:p>
    <w:p>
      <w:pPr>
        <w:pStyle w:val="2"/>
        <w:spacing w:line="480" w:lineRule="auto"/>
        <w:ind w:firstLine="0"/>
      </w:pPr>
      <w:bookmarkStart w:id="21" w:name="tripod-checklist-22-items"/>
      <w:r>
        <w:rPr>
          <w:rFonts w:ascii="Times New Roman" w:hAnsi="Times New Roman" w:eastAsia="Times New Roman" w:cs="Times New Roman"/>
          <w:b/>
          <w:sz w:val="24"/>
        </w:rPr>
        <w:t xml:space="preserve">TRIPOD Checklist (22 items)</w:t>
      </w:r>
      <w:bookmarkEnd w:id="21"/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Section / Item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Item No.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Recommendation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Where addressed in manuscript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Title and abstract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Title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Identify the study as developing and/or validating a multivariable prediction model, the target population, and the outcome to be predicted.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Title page — title identifies the study as a multivariable prognostic analysis in older emergency department patients with in-hospital mortality, hospital admission, and ICU admission as outcomes.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Abstract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Provide a summary of objectives, study design, setting, participants, sample size, predictors, outcome, statistical analysis, results, and conclusions.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Abstract (Background / Methods / Results / Conclusions structure with all required elements).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Introduction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Background and objectives — context and rationale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3a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Background, paragraphs 1–4 — context of older ED patients, prior risk-stratification literature (refs 4–9), CFS and CAR background (refs 10–34), and rationale for combining them.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Objectives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3b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the objectives, including whether the study describes the development or validation of the model or both.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Background, final paragraph — four objectives explicitly stated, including model development with internal validation in the same dataset (apparent performance).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Methods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Source of data — type of study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4a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the study design or source of data (e.g., randomized trial, cohort, or registry data), separately for the development and validation data sets, if applicable.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Design and setting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multicenter retrospective cohort study at three Korean tertiary EDs.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Source of data — dates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4b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the key study dates, including start of accrual, end of accrual, and, if applicable, end of follow-up.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accrual 1 August to 31 October 2023; follow-up censored at hospital discharge.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setting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5a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key elements of the study setting (e.g., primary care, secondary care, general population) including number and location of centers.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Design and setting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three Korean tertiary academic hospitals (one regional + two local emergency medical centres).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eligibility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5b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eligibility criteria for participants.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age ≥65 years, presented to participating EDs in study window, with documented CFS, KTAS, CRP, and albumin within 1 h of arrival.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treatments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5c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Give details of treatments received, if relevant.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Not applicable — observational prognostic study; treatments were per usual care and were not part of the predictive model.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Outcome — definition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6a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Clearly define the outcome that is predicted by the prediction model, including how and when assessed.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Outcomes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primary outcome in-hospital mortality (ascertained from electronic medical records, defined as death any time between ED presentation and hospital discharge during index admission); secondary outcomes hospital admission and direct ICU admission from ED. Sensitivity outcome 30-day in-hospital mortality.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Outcome — blinding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6b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Report any actions to blind assessment of the outcome to be predicted.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Outcome ascertainment from electronic medical records was independent of CFS and CAR data, which were captured prospectively at triage and via routine laboratory; outcome assessors were not formally blinded but had no incentive to misclassify.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Predictors — definition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7a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Clearly define all predictors used in developing or validating the multivariable prediction model, including how and when they were measured.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Clinical Frailty Scale assessment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,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CAR and laboratory data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,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Triage, vital signs, and mental status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all predictors defined with measurement timing (CFS at triage; CRP and albumin within 1 h; vital signs and AVPU at triage; KTAS at triage).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Predictors — blinding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7b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Report any actions to blind assessment of predictors for the outcome and other predictors.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CFS was assessed at triage by trained nurses prospectively, before outcome was known. CAR was calculated from routine laboratory values resulted within 1 h of arrival, before disposition.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Sample size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8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Explain how the study size was arrived at.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all consecutive eligible patients during the 3-month accrual window were included (no a priori sample-size calculation; convenience sample). The achieved N = 5,928 with 238 events provides ~17 events per predictor for the 14-predictor full multivariable model, exceeding the conventional minimum of 10 EPV.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Missing data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9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how missing data were handled (e.g., complete-case analysis, single imputation, multiple imputation) with details of any imputation method.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complete-case analysis was used to exclude 369 patients (5.9% of eligible visits) with missing CFS, CRP, or albumin. The rationale is given (modest proportion missing; exposure variables themselves were the predominant source of missingness, making imputation conceptually inappropriate). Comparison of included vs excluded patients is provided in Additional File 2, Table S4, and selection-bias implications are addressed in Discussion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Limitations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 methods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10a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how predictors were handled in the analyses.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CFS modelled as a continuous 1-point increment; CAR modelled as log(1+CAR) due to right skew; AVPU dichotomized as Alert vs. altered; KTAS as 3-level categorical (1–2 vs. 3 vs. 4–5); other vital signs as continuous.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 — model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10b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type of model, all model-building procedures (including any predictor selection), and method for internal validation.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multivariable logistic regression. Pre-specified predictors based on clinical relevance (no automated selection). Internal validation by apparent performance in development sample with bootstrap (1,000 iterations) for NRI/IDI confidence intervals.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 — performance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10d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all measures used to assess model performance and, if relevant, to compare multiple models.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discrimination by AUROC with DeLong’s CI and DeLong’s correlated-curves test; reclassification by category-free NRI and IDI; calibration by Brier score.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Risk groups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11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Provide details on how risk groups were created, if done.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Methods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Statistical analysis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(pre-specified KTAS 3 subgroup paragraph) and Results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Intermediate-acuity (KTAS 3) subgroup analysis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within KTAS 3, a 2 × 2 risk matrix was constructed by cross-classifying frailty status (CFS ≥ 5 vs. &lt; 5) and CAR upper quartile (&gt;7.91 vs. ≤ 7.91), with cohort-derived quartile cut-points reported in Table 1.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Development vs. validation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12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For validation, identify any differences from the development data in setting, eligibility criteria, outcome, and predictors.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Not applicable — this is a development study only. External validation is identified as a future direction in the Discussion.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Results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flow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13a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the flow of participants through the study, including the number of participants with and without the outcome and, if applicable, a summary of the follow-up time. A diagram may be helpful.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Results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Cohort characteristics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6,297 eligible visits → 369 excluded for missing CFS/CRP/albumin → 5,928 analyzed; 238 in-hospital deaths. Flow shown in Figure 1.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characteristics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13b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Describe the characteristics of the participants (basic demographics, clinical features, available predictors), including the number of participants with missing data for predictors and outcome.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Table 1 (baseline characteristics) and Results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Cohort characteristics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Participants — comparison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13c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For validation, show a comparison with the development data of the distribution of important variables (demographics, predictors and outcome).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Not applicable (development study only).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 development — number of participants and outcome events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14a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Specify the number of participants and outcome events in each analysis.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Results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Cohort characteristics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and Tables 2–4 — N = 5,928; 238 mortality events; 2,916 admissions; 759 ICU admissions. KTAS 3 subgroup N = 4,280; 80 mortality events.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 development — unadjusted associations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14b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If done, report the unadjusted association between each candidate predictor and outcome.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Additional File 2, Table S2 — unadjusted CFS and CAR associations for all three outcomes.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 specification — full model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15a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Present the full prediction model to allow predictions for individuals (i.e., all regression coefficients, and model intercept or baseline survival at a given time point).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Table 2 — adjusted ORs with 95% CIs and p-values for all 14 covariates in the full multivariable model. Full coefficients available from authors on request.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 specification — instructions for use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15b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Explain how to the use the prediction model.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Discussion (paragraph describing the four-cell CFS × CAR risk matrix and its mapping onto bedside dispositions) + Table 5 — risk categories for the KTAS 3 subgroup.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 performance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16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Report performance measures (with CIs) for the prediction model.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Tables 2, 3, 4 (overall and KTAS 3 subgroup) — discrimination (AUROC with 95% CI), reclassification (NRI, IDI with 95% CI), and calibration (Brier score).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Model-updating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17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If done, report the results from any model updating (i.e., model specification, model performance).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Not applicable — single-cohort development; no updating performed.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Discussion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Limitations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18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 any limitations of the study (such as nonrepresentative sample, few events per predictor, missing data).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Discussion §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“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Limitations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”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— 6 limitations explicitly enumerated: (1) retrospective single-region three-month design, (2) lack of formal CFS inter-rater reliability assessment in this cohort, (3) complete-case selection bias with included-vs-excluded comparison in Additional File 2 Table S4, (4) unmeasured granular comorbidity and inclusivity descriptors with sensitivity analysis using laboratory comorbidity proxies, (5) lack of uniform diagnosis coding precluding diagnosis-specific performance analysis, and (6) absence of external validation and decision-impact evaluation.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Interpretation — performance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19a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For validation, discuss the results with reference to performance in the development data, and any other validation data.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Not applicable (development study only).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Interpretation — overall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19b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Give an overall interpretation of the results, considering objectives, limitations, results from similar studies, and other relevant evidence.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Discussion section (continuous prose) — interpretation covers (i) biological complementarity of CFS (chronic axis) and CAR (acute axis); (ii) magnitude of the incremental performance gain, with explicit acknowledgement that the AUC improvement in the overall cohort is modest while the reclassification benefit is substantial, particularly in the intermediate-acuity (KTAS 3) subgroup; (iii) the four-cell risk matrix as a tractable target for prospective validation; and (iv) comparison with prior geriatric ED frailty literature and recent CAR studies.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Implications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20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 the potential clinical use of the model and implications for future research.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Discussion (paragraphs on the four-cell CFS × CAR risk matrix as a tractable target for prospective validation, transportability to comparable healthcare systems, and the need for prospective external validation and decision-impact evaluation before routine adoption).</w:t>
            </w: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 xml:space="preserve">Other information</w:t>
            </w: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  <w:tc>
          <w:p>
            <w:pPr>
              <w:spacing w:line="240" w:lineRule="auto"/>
              <w:ind w:firstLine="0"/>
            </w:pPr>
          </w:p>
        </w:tc>
      </w:tr>
      <w:tr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Supplementary information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21</w:t>
            </w:r>
          </w:p>
        </w:tc>
        <w:tc>
          <w:p>
            <w:pPr>
              <w:pStyle w:val="Compact"/>
              <w:spacing w:line="240" w:lineRule="auto"/>
              <w:ind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Provide information about the availability of supplementary resources, such as study protocol, web calculator, and data sets.</w:t>
            </w:r>
          </w:p>
        </w:tc>
        <w:tc>
          <w:p>
            <w:pPr>
              <w:spacing w:line="240" w:lineRule="auto"/>
              <w:ind w:firstLine="0"/>
            </w:pPr>
          </w:p>
        </w:tc>
      </w:tr>
    </w:tbl>
    <w:sectPr w:rsidR="00DF21BE" w:rsidRPr="007D75A3" w:rsidSect="00F878FD">
      <w:footerReference w:type="even" r:id="rId9"/>
      <w:footerReference w:type="default" r:id="rId10"/>
      <w:type w:val="continuous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272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-1734697448"/>
      <w:docPartObj>
        <w:docPartGallery w:val="Page Numbers (Bottom of Page)"/>
        <w:docPartUnique/>
      </w:docPartObj>
    </w:sdtPr>
    <w:sdtContent>
      <w:p w14:paraId="0E9A14A4" w14:textId="271784C6" w:rsidR="00C94B6A" w:rsidRDefault="00C94B6A" w:rsidP="00310B42">
        <w:pPr>
          <w:pStyle w:val="a6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71C43109" w14:textId="77777777" w:rsidR="00C94B6A" w:rsidRDefault="00C94B6A" w:rsidP="0066667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790010139"/>
      <w:docPartObj>
        <w:docPartGallery w:val="Page Numbers (Bottom of Page)"/>
        <w:docPartUnique/>
      </w:docPartObj>
    </w:sdtPr>
    <w:sdtContent>
      <w:p w14:paraId="6E76A8C9" w14:textId="3F8D8154" w:rsidR="00C94B6A" w:rsidRDefault="00C94B6A" w:rsidP="00310B42">
        <w:pPr>
          <w:pStyle w:val="a6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separate"/>
        </w:r>
        <w:r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14:paraId="1C1BB836" w14:textId="77777777" w:rsidR="00C94B6A" w:rsidRDefault="00C94B6A" w:rsidP="00265BE6">
    <w:pPr>
      <w:pStyle w:val="a6"/>
      <w:ind w:right="360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E0C3"/>
    <w:multiLevelType w:val="hybridMultilevel"/>
    <w:tmpl w:val="00000000"/>
    <w:lvl w:ilvl="0" w:tplc="7174F68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38C4FFFC">
      <w:start w:val="1"/>
      <w:numFmt w:val="decimal"/>
      <w:lvlText w:val=""/>
      <w:lvlJc w:val="left"/>
    </w:lvl>
    <w:lvl w:ilvl="2" w:tplc="0428B668">
      <w:start w:val="1"/>
      <w:numFmt w:val="decimal"/>
      <w:lvlText w:val=""/>
      <w:lvlJc w:val="left"/>
    </w:lvl>
    <w:lvl w:ilvl="3" w:tplc="33FEF4F4">
      <w:start w:val="1"/>
      <w:numFmt w:val="decimal"/>
      <w:lvlText w:val=""/>
      <w:lvlJc w:val="left"/>
    </w:lvl>
    <w:lvl w:ilvl="4" w:tplc="C2A2731A">
      <w:start w:val="1"/>
      <w:numFmt w:val="decimal"/>
      <w:lvlText w:val=""/>
      <w:lvlJc w:val="left"/>
    </w:lvl>
    <w:lvl w:ilvl="5" w:tplc="4BE04F7E">
      <w:start w:val="1"/>
      <w:numFmt w:val="decimal"/>
      <w:lvlText w:val=""/>
      <w:lvlJc w:val="left"/>
    </w:lvl>
    <w:lvl w:ilvl="6" w:tplc="28F6C90A">
      <w:start w:val="1"/>
      <w:numFmt w:val="decimal"/>
      <w:lvlText w:val=""/>
      <w:lvlJc w:val="left"/>
    </w:lvl>
    <w:lvl w:ilvl="7" w:tplc="1E8C47D0">
      <w:start w:val="1"/>
      <w:numFmt w:val="decimal"/>
      <w:lvlText w:val=""/>
      <w:lvlJc w:val="left"/>
    </w:lvl>
    <w:lvl w:ilvl="8" w:tplc="6BC62456">
      <w:start w:val="1"/>
      <w:numFmt w:val="decimal"/>
      <w:lvlText w:val=""/>
      <w:lvlJc w:val="left"/>
    </w:lvl>
  </w:abstractNum>
  <w:abstractNum w:abstractNumId="1" w15:restartNumberingAfterBreak="0">
    <w:nsid w:val="08FE169D"/>
    <w:multiLevelType w:val="multilevel"/>
    <w:tmpl w:val="6FE4E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EB3388"/>
    <w:multiLevelType w:val="hybridMultilevel"/>
    <w:tmpl w:val="00000000"/>
    <w:lvl w:ilvl="0" w:tplc="00089EB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E872184E">
      <w:start w:val="1"/>
      <w:numFmt w:val="decimal"/>
      <w:lvlText w:val=""/>
      <w:lvlJc w:val="left"/>
    </w:lvl>
    <w:lvl w:ilvl="2" w:tplc="BFEC694E">
      <w:start w:val="1"/>
      <w:numFmt w:val="decimal"/>
      <w:lvlText w:val=""/>
      <w:lvlJc w:val="left"/>
    </w:lvl>
    <w:lvl w:ilvl="3" w:tplc="522840E2">
      <w:start w:val="1"/>
      <w:numFmt w:val="decimal"/>
      <w:lvlText w:val=""/>
      <w:lvlJc w:val="left"/>
    </w:lvl>
    <w:lvl w:ilvl="4" w:tplc="870E9F80">
      <w:start w:val="1"/>
      <w:numFmt w:val="decimal"/>
      <w:lvlText w:val=""/>
      <w:lvlJc w:val="left"/>
    </w:lvl>
    <w:lvl w:ilvl="5" w:tplc="9E828CE4">
      <w:start w:val="1"/>
      <w:numFmt w:val="decimal"/>
      <w:lvlText w:val=""/>
      <w:lvlJc w:val="left"/>
    </w:lvl>
    <w:lvl w:ilvl="6" w:tplc="8EF85EE4">
      <w:start w:val="1"/>
      <w:numFmt w:val="decimal"/>
      <w:lvlText w:val=""/>
      <w:lvlJc w:val="left"/>
    </w:lvl>
    <w:lvl w:ilvl="7" w:tplc="D9D6A7A8">
      <w:start w:val="1"/>
      <w:numFmt w:val="decimal"/>
      <w:lvlText w:val=""/>
      <w:lvlJc w:val="left"/>
    </w:lvl>
    <w:lvl w:ilvl="8" w:tplc="7F80F70C">
      <w:start w:val="1"/>
      <w:numFmt w:val="decimal"/>
      <w:lvlText w:val=""/>
      <w:lvlJc w:val="left"/>
    </w:lvl>
  </w:abstractNum>
  <w:abstractNum w:abstractNumId="3" w15:restartNumberingAfterBreak="0">
    <w:nsid w:val="0D465B5B"/>
    <w:multiLevelType w:val="hybridMultilevel"/>
    <w:tmpl w:val="1C10D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8DEC"/>
    <w:multiLevelType w:val="hybridMultilevel"/>
    <w:tmpl w:val="00000000"/>
    <w:lvl w:ilvl="0" w:tplc="D4FA296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A9D614D2">
      <w:start w:val="1"/>
      <w:numFmt w:val="decimal"/>
      <w:lvlText w:val=""/>
      <w:lvlJc w:val="left"/>
    </w:lvl>
    <w:lvl w:ilvl="2" w:tplc="2EB2DAB4">
      <w:start w:val="1"/>
      <w:numFmt w:val="decimal"/>
      <w:lvlText w:val=""/>
      <w:lvlJc w:val="left"/>
    </w:lvl>
    <w:lvl w:ilvl="3" w:tplc="BB60C686">
      <w:start w:val="1"/>
      <w:numFmt w:val="decimal"/>
      <w:lvlText w:val=""/>
      <w:lvlJc w:val="left"/>
    </w:lvl>
    <w:lvl w:ilvl="4" w:tplc="A2A4FCE4">
      <w:start w:val="1"/>
      <w:numFmt w:val="decimal"/>
      <w:lvlText w:val=""/>
      <w:lvlJc w:val="left"/>
    </w:lvl>
    <w:lvl w:ilvl="5" w:tplc="4C663410">
      <w:start w:val="1"/>
      <w:numFmt w:val="decimal"/>
      <w:lvlText w:val=""/>
      <w:lvlJc w:val="left"/>
    </w:lvl>
    <w:lvl w:ilvl="6" w:tplc="CDC218EE">
      <w:start w:val="1"/>
      <w:numFmt w:val="decimal"/>
      <w:lvlText w:val=""/>
      <w:lvlJc w:val="left"/>
    </w:lvl>
    <w:lvl w:ilvl="7" w:tplc="A852F3A6">
      <w:start w:val="1"/>
      <w:numFmt w:val="decimal"/>
      <w:lvlText w:val=""/>
      <w:lvlJc w:val="left"/>
    </w:lvl>
    <w:lvl w:ilvl="8" w:tplc="A8AC78E8">
      <w:start w:val="1"/>
      <w:numFmt w:val="decimal"/>
      <w:lvlText w:val=""/>
      <w:lvlJc w:val="left"/>
    </w:lvl>
  </w:abstractNum>
  <w:abstractNum w:abstractNumId="5" w15:restartNumberingAfterBreak="0">
    <w:nsid w:val="18010205"/>
    <w:multiLevelType w:val="multilevel"/>
    <w:tmpl w:val="3D008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8211A"/>
    <w:multiLevelType w:val="hybridMultilevel"/>
    <w:tmpl w:val="00000000"/>
    <w:lvl w:ilvl="0" w:tplc="51406F9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D86E81BC">
      <w:start w:val="1"/>
      <w:numFmt w:val="decimal"/>
      <w:lvlText w:val=""/>
      <w:lvlJc w:val="left"/>
    </w:lvl>
    <w:lvl w:ilvl="2" w:tplc="9D625886">
      <w:start w:val="1"/>
      <w:numFmt w:val="decimal"/>
      <w:lvlText w:val=""/>
      <w:lvlJc w:val="left"/>
    </w:lvl>
    <w:lvl w:ilvl="3" w:tplc="9028EF50">
      <w:start w:val="1"/>
      <w:numFmt w:val="decimal"/>
      <w:lvlText w:val=""/>
      <w:lvlJc w:val="left"/>
    </w:lvl>
    <w:lvl w:ilvl="4" w:tplc="62A25F30">
      <w:start w:val="1"/>
      <w:numFmt w:val="decimal"/>
      <w:lvlText w:val=""/>
      <w:lvlJc w:val="left"/>
    </w:lvl>
    <w:lvl w:ilvl="5" w:tplc="3F82C616">
      <w:start w:val="1"/>
      <w:numFmt w:val="decimal"/>
      <w:lvlText w:val=""/>
      <w:lvlJc w:val="left"/>
    </w:lvl>
    <w:lvl w:ilvl="6" w:tplc="F20072AC">
      <w:start w:val="1"/>
      <w:numFmt w:val="decimal"/>
      <w:lvlText w:val=""/>
      <w:lvlJc w:val="left"/>
    </w:lvl>
    <w:lvl w:ilvl="7" w:tplc="A270368C">
      <w:start w:val="1"/>
      <w:numFmt w:val="decimal"/>
      <w:lvlText w:val=""/>
      <w:lvlJc w:val="left"/>
    </w:lvl>
    <w:lvl w:ilvl="8" w:tplc="277415E4">
      <w:start w:val="1"/>
      <w:numFmt w:val="decimal"/>
      <w:lvlText w:val=""/>
      <w:lvlJc w:val="left"/>
    </w:lvl>
  </w:abstractNum>
  <w:abstractNum w:abstractNumId="7" w15:restartNumberingAfterBreak="0">
    <w:nsid w:val="20D13C3A"/>
    <w:multiLevelType w:val="multilevel"/>
    <w:tmpl w:val="6FAC9F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664306"/>
    <w:multiLevelType w:val="hybridMultilevel"/>
    <w:tmpl w:val="00000000"/>
    <w:lvl w:ilvl="0" w:tplc="F8463DB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53E87940">
      <w:start w:val="1"/>
      <w:numFmt w:val="decimal"/>
      <w:lvlText w:val=""/>
      <w:lvlJc w:val="left"/>
    </w:lvl>
    <w:lvl w:ilvl="2" w:tplc="128E2778">
      <w:start w:val="1"/>
      <w:numFmt w:val="decimal"/>
      <w:lvlText w:val=""/>
      <w:lvlJc w:val="left"/>
    </w:lvl>
    <w:lvl w:ilvl="3" w:tplc="9C5C1B46">
      <w:start w:val="1"/>
      <w:numFmt w:val="decimal"/>
      <w:lvlText w:val=""/>
      <w:lvlJc w:val="left"/>
    </w:lvl>
    <w:lvl w:ilvl="4" w:tplc="B93CBED6">
      <w:start w:val="1"/>
      <w:numFmt w:val="decimal"/>
      <w:lvlText w:val=""/>
      <w:lvlJc w:val="left"/>
    </w:lvl>
    <w:lvl w:ilvl="5" w:tplc="882CA768">
      <w:start w:val="1"/>
      <w:numFmt w:val="decimal"/>
      <w:lvlText w:val=""/>
      <w:lvlJc w:val="left"/>
    </w:lvl>
    <w:lvl w:ilvl="6" w:tplc="C6181492">
      <w:start w:val="1"/>
      <w:numFmt w:val="decimal"/>
      <w:lvlText w:val=""/>
      <w:lvlJc w:val="left"/>
    </w:lvl>
    <w:lvl w:ilvl="7" w:tplc="9662D8BE">
      <w:start w:val="1"/>
      <w:numFmt w:val="decimal"/>
      <w:lvlText w:val=""/>
      <w:lvlJc w:val="left"/>
    </w:lvl>
    <w:lvl w:ilvl="8" w:tplc="9AC4E73C">
      <w:start w:val="1"/>
      <w:numFmt w:val="decimal"/>
      <w:lvlText w:val=""/>
      <w:lvlJc w:val="left"/>
    </w:lvl>
  </w:abstractNum>
  <w:abstractNum w:abstractNumId="9" w15:restartNumberingAfterBreak="0">
    <w:nsid w:val="270811E9"/>
    <w:multiLevelType w:val="multilevel"/>
    <w:tmpl w:val="632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0332A"/>
    <w:multiLevelType w:val="multilevel"/>
    <w:tmpl w:val="1C24E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EE0366"/>
    <w:multiLevelType w:val="multilevel"/>
    <w:tmpl w:val="26EED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615B81"/>
    <w:multiLevelType w:val="multilevel"/>
    <w:tmpl w:val="4006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D0B1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14" w15:restartNumberingAfterBreak="0">
    <w:nsid w:val="49451B43"/>
    <w:multiLevelType w:val="multilevel"/>
    <w:tmpl w:val="2922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38295F"/>
    <w:multiLevelType w:val="multilevel"/>
    <w:tmpl w:val="C952E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7F66E9"/>
    <w:multiLevelType w:val="multilevel"/>
    <w:tmpl w:val="7CA41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F55C45"/>
    <w:multiLevelType w:val="multilevel"/>
    <w:tmpl w:val="28A6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A44FDE"/>
    <w:multiLevelType w:val="multilevel"/>
    <w:tmpl w:val="790E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109651"/>
    <w:multiLevelType w:val="hybridMultilevel"/>
    <w:tmpl w:val="00000000"/>
    <w:lvl w:ilvl="0" w:tplc="8EB40D2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F2847CCE">
      <w:start w:val="1"/>
      <w:numFmt w:val="decimal"/>
      <w:lvlText w:val=""/>
      <w:lvlJc w:val="left"/>
    </w:lvl>
    <w:lvl w:ilvl="2" w:tplc="927AB712">
      <w:start w:val="1"/>
      <w:numFmt w:val="decimal"/>
      <w:lvlText w:val=""/>
      <w:lvlJc w:val="left"/>
    </w:lvl>
    <w:lvl w:ilvl="3" w:tplc="E4041168">
      <w:start w:val="1"/>
      <w:numFmt w:val="decimal"/>
      <w:lvlText w:val=""/>
      <w:lvlJc w:val="left"/>
    </w:lvl>
    <w:lvl w:ilvl="4" w:tplc="12B6148A">
      <w:start w:val="1"/>
      <w:numFmt w:val="decimal"/>
      <w:lvlText w:val=""/>
      <w:lvlJc w:val="left"/>
    </w:lvl>
    <w:lvl w:ilvl="5" w:tplc="5A1C5CBE">
      <w:start w:val="1"/>
      <w:numFmt w:val="decimal"/>
      <w:lvlText w:val=""/>
      <w:lvlJc w:val="left"/>
    </w:lvl>
    <w:lvl w:ilvl="6" w:tplc="4A307C3E">
      <w:start w:val="1"/>
      <w:numFmt w:val="decimal"/>
      <w:lvlText w:val=""/>
      <w:lvlJc w:val="left"/>
    </w:lvl>
    <w:lvl w:ilvl="7" w:tplc="DF323770">
      <w:start w:val="1"/>
      <w:numFmt w:val="decimal"/>
      <w:lvlText w:val=""/>
      <w:lvlJc w:val="left"/>
    </w:lvl>
    <w:lvl w:ilvl="8" w:tplc="1B2A7B28">
      <w:start w:val="1"/>
      <w:numFmt w:val="decimal"/>
      <w:lvlText w:val=""/>
      <w:lvlJc w:val="left"/>
    </w:lvl>
  </w:abstractNum>
  <w:abstractNum w:abstractNumId="20" w15:restartNumberingAfterBreak="0">
    <w:nsid w:val="7AB85B36"/>
    <w:multiLevelType w:val="hybridMultilevel"/>
    <w:tmpl w:val="00000000"/>
    <w:lvl w:ilvl="0" w:tplc="7A9888A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 w:tplc="4B404892">
      <w:start w:val="1"/>
      <w:numFmt w:val="decimal"/>
      <w:lvlText w:val=""/>
      <w:lvlJc w:val="left"/>
    </w:lvl>
    <w:lvl w:ilvl="2" w:tplc="6B4A6744">
      <w:start w:val="1"/>
      <w:numFmt w:val="decimal"/>
      <w:lvlText w:val=""/>
      <w:lvlJc w:val="left"/>
    </w:lvl>
    <w:lvl w:ilvl="3" w:tplc="192065D0">
      <w:start w:val="1"/>
      <w:numFmt w:val="decimal"/>
      <w:lvlText w:val=""/>
      <w:lvlJc w:val="left"/>
    </w:lvl>
    <w:lvl w:ilvl="4" w:tplc="70723ED6">
      <w:start w:val="1"/>
      <w:numFmt w:val="decimal"/>
      <w:lvlText w:val=""/>
      <w:lvlJc w:val="left"/>
    </w:lvl>
    <w:lvl w:ilvl="5" w:tplc="1A9C2456">
      <w:start w:val="1"/>
      <w:numFmt w:val="decimal"/>
      <w:lvlText w:val=""/>
      <w:lvlJc w:val="left"/>
    </w:lvl>
    <w:lvl w:ilvl="6" w:tplc="6F88326C">
      <w:start w:val="1"/>
      <w:numFmt w:val="decimal"/>
      <w:lvlText w:val=""/>
      <w:lvlJc w:val="left"/>
    </w:lvl>
    <w:lvl w:ilvl="7" w:tplc="BE569D6E">
      <w:start w:val="1"/>
      <w:numFmt w:val="decimal"/>
      <w:lvlText w:val=""/>
      <w:lvlJc w:val="left"/>
    </w:lvl>
    <w:lvl w:ilvl="8" w:tplc="1640E60E">
      <w:start w:val="1"/>
      <w:numFmt w:val="decimal"/>
      <w:lvlText w:val=""/>
      <w:lvlJc w:val="left"/>
    </w:lvl>
  </w:abstractNum>
  <w:abstractNum w:abstractNumId="21" w15:restartNumberingAfterBreak="0">
    <w:nsid w:val="7ACA7870"/>
    <w:multiLevelType w:val="multilevel"/>
    <w:tmpl w:val="6CCE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7E9EEC"/>
    <w:multiLevelType w:val="multilevel"/>
    <w:tmpl w:val="0000000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3" w15:restartNumberingAfterBreak="0">
    <w:nsid w:val="7DABC279"/>
    <w:multiLevelType w:val="hybridMultilevel"/>
    <w:tmpl w:val="00000000"/>
    <w:lvl w:ilvl="0" w:tplc="A9D040C2">
      <w:start w:val="1"/>
      <w:numFmt w:val="decimal"/>
      <w:lvlText w:val=""/>
      <w:lvlJc w:val="left"/>
      <w:pPr>
        <w:ind w:left="760" w:hanging="360"/>
      </w:pPr>
      <w:rPr>
        <w:rFonts w:ascii="Wingdings" w:eastAsia="Wingdings" w:hAnsi="Wingdings" w:cs="Wingdings"/>
      </w:rPr>
    </w:lvl>
    <w:lvl w:ilvl="1" w:tplc="B47C73D4">
      <w:start w:val="1"/>
      <w:numFmt w:val="decimal"/>
      <w:lvlText w:val=""/>
      <w:lvlJc w:val="left"/>
    </w:lvl>
    <w:lvl w:ilvl="2" w:tplc="2008148C">
      <w:start w:val="1"/>
      <w:numFmt w:val="decimal"/>
      <w:lvlText w:val=""/>
      <w:lvlJc w:val="left"/>
    </w:lvl>
    <w:lvl w:ilvl="3" w:tplc="8182C0FE">
      <w:start w:val="1"/>
      <w:numFmt w:val="decimal"/>
      <w:lvlText w:val=""/>
      <w:lvlJc w:val="left"/>
    </w:lvl>
    <w:lvl w:ilvl="4" w:tplc="682832FE">
      <w:start w:val="1"/>
      <w:numFmt w:val="decimal"/>
      <w:lvlText w:val=""/>
      <w:lvlJc w:val="left"/>
    </w:lvl>
    <w:lvl w:ilvl="5" w:tplc="89E45ABE">
      <w:start w:val="1"/>
      <w:numFmt w:val="decimal"/>
      <w:lvlText w:val=""/>
      <w:lvlJc w:val="left"/>
    </w:lvl>
    <w:lvl w:ilvl="6" w:tplc="8D2AF554">
      <w:start w:val="1"/>
      <w:numFmt w:val="decimal"/>
      <w:lvlText w:val=""/>
      <w:lvlJc w:val="left"/>
    </w:lvl>
    <w:lvl w:ilvl="7" w:tplc="5B961E12">
      <w:start w:val="1"/>
      <w:numFmt w:val="decimal"/>
      <w:lvlText w:val=""/>
      <w:lvlJc w:val="left"/>
    </w:lvl>
    <w:lvl w:ilvl="8" w:tplc="F13AF0B4">
      <w:start w:val="1"/>
      <w:numFmt w:val="decimal"/>
      <w:lvlText w:val=""/>
      <w:lvlJc w:val="left"/>
    </w:lvl>
  </w:abstractNum>
  <w:abstractNum w:abstractNumId="24" w15:restartNumberingAfterBreak="0">
    <w:nsid w:val="7FF22BFC"/>
    <w:multiLevelType w:val="multilevel"/>
    <w:tmpl w:val="3592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97474268">
    <w:abstractNumId w:val="13"/>
  </w:num>
  <w:num w:numId="2" w16cid:durableId="1667394497">
    <w:abstractNumId w:val="8"/>
  </w:num>
  <w:num w:numId="3" w16cid:durableId="1941721398">
    <w:abstractNumId w:val="20"/>
  </w:num>
  <w:num w:numId="4" w16cid:durableId="578640055">
    <w:abstractNumId w:val="2"/>
  </w:num>
  <w:num w:numId="5" w16cid:durableId="1270505711">
    <w:abstractNumId w:val="6"/>
  </w:num>
  <w:num w:numId="6" w16cid:durableId="602421230">
    <w:abstractNumId w:val="0"/>
  </w:num>
  <w:num w:numId="7" w16cid:durableId="373430094">
    <w:abstractNumId w:val="19"/>
  </w:num>
  <w:num w:numId="8" w16cid:durableId="386801804">
    <w:abstractNumId w:val="22"/>
  </w:num>
  <w:num w:numId="9" w16cid:durableId="762727970">
    <w:abstractNumId w:val="4"/>
  </w:num>
  <w:num w:numId="10" w16cid:durableId="1660034423">
    <w:abstractNumId w:val="23"/>
  </w:num>
  <w:num w:numId="11" w16cid:durableId="1027219913">
    <w:abstractNumId w:val="18"/>
  </w:num>
  <w:num w:numId="12" w16cid:durableId="341976983">
    <w:abstractNumId w:val="3"/>
  </w:num>
  <w:num w:numId="13" w16cid:durableId="1464998576">
    <w:abstractNumId w:val="12"/>
  </w:num>
  <w:num w:numId="14" w16cid:durableId="2095123342">
    <w:abstractNumId w:val="14"/>
  </w:num>
  <w:num w:numId="15" w16cid:durableId="1828548038">
    <w:abstractNumId w:val="21"/>
  </w:num>
  <w:num w:numId="16" w16cid:durableId="109397493">
    <w:abstractNumId w:val="5"/>
  </w:num>
  <w:num w:numId="17" w16cid:durableId="1476677191">
    <w:abstractNumId w:val="24"/>
  </w:num>
  <w:num w:numId="18" w16cid:durableId="2041927727">
    <w:abstractNumId w:val="16"/>
  </w:num>
  <w:num w:numId="19" w16cid:durableId="287129125">
    <w:abstractNumId w:val="15"/>
  </w:num>
  <w:num w:numId="20" w16cid:durableId="214893443">
    <w:abstractNumId w:val="17"/>
  </w:num>
  <w:num w:numId="21" w16cid:durableId="1109815902">
    <w:abstractNumId w:val="9"/>
  </w:num>
  <w:num w:numId="22" w16cid:durableId="1595282697">
    <w:abstractNumId w:val="11"/>
  </w:num>
  <w:num w:numId="23" w16cid:durableId="1792624451">
    <w:abstractNumId w:val="10"/>
  </w:num>
  <w:num w:numId="24" w16cid:durableId="443615748">
    <w:abstractNumId w:val="1"/>
  </w:num>
  <w:num w:numId="25" w16cid:durableId="1532105502">
    <w:abstractNumId w:val="7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0E4"/>
    <w:pPr>
      <w:spacing w:line="480" w:lineRule="auto"/>
    </w:pPr>
    <w:rPr>
      <w:rFonts w:ascii="Times New Roman" w:hAnsi="Times New Roman" w:eastAsia="Times New Roman" w:cs="Times New Roman"/>
      <w:sz w:val="24"/>
    </w:rPr>
  </w:style>
  <w:style w:type="paragraph" w:styleId="1">
    <w:name w:val="heading 1"/>
    <w:basedOn w:val="a"/>
    <w:next w:val="a"/>
    <w:qFormat/>
    <w:pPr>
      <w:keepNext/>
      <w:spacing w:line="480" w:lineRule="auto"/>
      <w:outlineLvl w:val="0"/>
    </w:pPr>
    <w:rPr>
      <w:rFonts w:ascii="Times New Roman" w:eastAsia="Times New Roman" w:hAnsi="Times New Roman" w:cs="Times New Roman"/>
      <w:b/>
      <w:sz w:val="24"/>
    </w:rPr>
  </w:style>
  <w:style w:type="paragraph" w:styleId="2">
    <w:name w:val="heading 2"/>
    <w:basedOn w:val="a"/>
    <w:next w:val="a"/>
    <w:qFormat/>
    <w:pPr>
      <w:keepNext/>
      <w:spacing w:line="480" w:lineRule="auto"/>
      <w:outlineLvl w:val="1"/>
    </w:pPr>
    <w:rPr>
      <w:rFonts w:ascii="Times New Roman" w:eastAsia="Times New Roman" w:hAnsi="Times New Roman" w:cs="Times New Roman"/>
      <w:b/>
      <w:sz w:val="24"/>
    </w:rPr>
  </w:style>
  <w:style w:type="paragraph" w:styleId="4">
    <w:name w:val="heading 4"/>
    <w:basedOn w:val="a"/>
    <w:next w:val="a"/>
    <w:pPr>
      <w:keepNext/>
      <w:keepLines/>
      <w:spacing w:before="40" w:line="480" w:lineRule="auto"/>
      <w:outlineLvl w:val="3"/>
    </w:pPr>
    <w:rPr>
      <w:rFonts w:ascii="Times New Roman" w:eastAsia="Times New Roman" w:hAnsi="Times New Roman" w:cs="Times New Roman"/>
      <w:b/>
      <w:i/>
      <w:color w:val="2F5496"/>
      <w:sz w:val="24"/>
    </w:rPr>
  </w:style>
  <w:style w:type="paragraph" w:styleId="5">
    <w:name w:val="heading 5"/>
    <w:basedOn w:val="a"/>
    <w:next w:val="a"/>
    <w:pPr>
      <w:keepNext/>
      <w:keepLines/>
      <w:spacing w:before="40"/>
      <w:outlineLvl w:val="4"/>
    </w:pPr>
    <w:rPr>
      <w:rFonts w:ascii="Calibri Light" w:eastAsia="Calibri Light" w:hAnsi="Calibri Light" w:cs="Calibri Light"/>
      <w:color w:val="2F549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11">
    <w:name w:val="TOC 1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customStyle="1" w:styleId="TOC21">
    <w:name w:val="TOC 21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customStyle="1" w:styleId="TOC31">
    <w:name w:val="TOC 31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customStyle="1" w:styleId="TOC41">
    <w:name w:val="TOC 4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51">
    <w:name w:val="TOC 5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61">
    <w:name w:val="TOC 6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71">
    <w:name w:val="TOC 7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81">
    <w:name w:val="TOC 81"/>
    <w:basedOn w:val="a"/>
    <w:pPr>
      <w:spacing w:line="330" w:lineRule="exact"/>
    </w:pPr>
    <w:rPr>
      <w:rFonts w:ascii="Calibri" w:eastAsia="Calibri" w:hAnsi="Calibri" w:cs="Calibri"/>
    </w:rPr>
  </w:style>
  <w:style w:type="paragraph" w:customStyle="1" w:styleId="TOC91">
    <w:name w:val="TOC 91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CommentReference1">
    <w:name w:val="Comment Reference1"/>
    <w:basedOn w:val="a0"/>
    <w:rPr>
      <w:sz w:val="16"/>
    </w:rPr>
  </w:style>
  <w:style w:type="character" w:customStyle="1" w:styleId="EndnoteReference1">
    <w:name w:val="Endnote Reference1"/>
    <w:basedOn w:val="a0"/>
    <w:rPr>
      <w:vertAlign w:val="superscript"/>
    </w:rPr>
  </w:style>
  <w:style w:type="character" w:customStyle="1" w:styleId="FootnoteReference1">
    <w:name w:val="Footnote Reference1"/>
    <w:basedOn w:val="a0"/>
    <w:rPr>
      <w:vertAlign w:val="superscript"/>
    </w:rPr>
  </w:style>
  <w:style w:type="paragraph" w:customStyle="1" w:styleId="EndNoteBibliographyTitle">
    <w:name w:val="EndNote Bibliography Title"/>
    <w:basedOn w:val="a"/>
    <w:qFormat/>
    <w:pPr>
      <w:jc w:val="center"/>
    </w:pPr>
    <w:rPr>
      <w:rFonts w:ascii="Calibri" w:eastAsia="Calibri" w:hAnsi="Calibri" w:cs="Calibri"/>
    </w:rPr>
  </w:style>
  <w:style w:type="paragraph" w:customStyle="1" w:styleId="EndNoteBibliography">
    <w:name w:val="EndNote Bibliography"/>
    <w:basedOn w:val="a"/>
    <w:pPr>
      <w:spacing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pPr>
      <w:ind w:left="800"/>
    </w:pPr>
  </w:style>
  <w:style w:type="paragraph" w:styleId="a5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6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7">
    <w:name w:val="Hyperlink"/>
    <w:basedOn w:val="a0"/>
    <w:rPr>
      <w:color w:val="0563C1"/>
      <w:u w:val="single"/>
    </w:rPr>
  </w:style>
  <w:style w:type="character" w:styleId="a8">
    <w:name w:val="Unresolved Mention"/>
    <w:basedOn w:val="a0"/>
    <w:rPr>
      <w:color w:val="605E5C"/>
    </w:rPr>
  </w:style>
  <w:style w:type="character" w:styleId="a9">
    <w:name w:val="FollowedHyperlink"/>
    <w:basedOn w:val="a0"/>
    <w:rPr>
      <w:color w:val="954F72"/>
      <w:u w:val="single"/>
    </w:rPr>
  </w:style>
  <w:style w:type="paragraph" w:styleId="aa">
    <w:name w:val="Normal (Web)"/>
    <w:basedOn w:val="a"/>
    <w:uiPriority w:val="99"/>
    <w:qFormat/>
    <w:rPr>
      <w:rFonts w:ascii="Times New Roman" w:eastAsia="Times New Roman" w:hAnsi="Times New Roman" w:cs="Times New Roman"/>
      <w:sz w:val="24"/>
    </w:rPr>
  </w:style>
  <w:style w:type="paragraph" w:styleId="ab">
    <w:name w:val="Revision"/>
    <w:pPr>
      <w:spacing w:line="240" w:lineRule="auto"/>
      <w:jc w:val="left"/>
    </w:pPr>
  </w:style>
  <w:style w:type="character" w:styleId="ac">
    <w:name w:val="annotation reference"/>
    <w:basedOn w:val="a0"/>
    <w:rPr>
      <w:sz w:val="16"/>
    </w:rPr>
  </w:style>
  <w:style w:type="paragraph" w:styleId="ad">
    <w:name w:val="annotation text"/>
    <w:basedOn w:val="a"/>
    <w:pPr>
      <w:spacing w:line="240" w:lineRule="auto"/>
    </w:pPr>
  </w:style>
  <w:style w:type="paragraph" w:styleId="ae">
    <w:name w:val="annotation subject"/>
    <w:basedOn w:val="ad"/>
    <w:rPr>
      <w:b/>
    </w:rPr>
  </w:style>
  <w:style w:type="paragraph" w:styleId="af">
    <w:name w:val="Balloon Text"/>
    <w:basedOn w:val="a"/>
    <w:pPr>
      <w:spacing w:line="240" w:lineRule="auto"/>
    </w:pPr>
    <w:rPr>
      <w:rFonts w:ascii="Segoe UI" w:eastAsia="Segoe UI" w:hAnsi="Segoe UI" w:cs="Segoe UI"/>
      <w:sz w:val="18"/>
    </w:rPr>
  </w:style>
  <w:style w:type="paragraph" w:styleId="HTML">
    <w:name w:val="HTML Preformatted"/>
    <w:basedOn w:val="a"/>
    <w:rPr>
      <w:rFonts w:ascii="Courier New" w:eastAsia="Courier New" w:hAnsi="Courier New" w:cs="Courier New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Surtitle">
    <w:name w:val="Sur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Caption1">
    <w:name w:val="Caption1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Abstract">
    <w:name w:val="Abstract"/>
    <w:basedOn w:val="a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styleId="af0">
    <w:name w:val="Block Text"/>
    <w:basedOn w:val="a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Quotation">
    <w:name w:val="Quotation"/>
    <w:basedOn w:val="a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ommentText0">
    <w:name w:val="Comment Text_0"/>
    <w:basedOn w:val="a"/>
    <w:pPr>
      <w:jc w:val="left"/>
    </w:pPr>
    <w:rPr>
      <w:rFonts w:ascii="Calibri" w:eastAsia="Calibri" w:hAnsi="Calibri" w:cs="Calibri"/>
    </w:rPr>
  </w:style>
  <w:style w:type="paragraph" w:styleId="3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40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character" w:customStyle="1" w:styleId="Year">
    <w:name w:val="Year"/>
    <w:basedOn w:val="a0"/>
    <w:rPr>
      <w:shd w:val="clear" w:color="auto" w:fill="FFF9C9"/>
    </w:rPr>
  </w:style>
  <w:style w:type="paragraph" w:customStyle="1" w:styleId="FootnoteText1">
    <w:name w:val="Footnote Text1"/>
    <w:basedOn w:val="a"/>
    <w:rPr>
      <w:rFonts w:ascii="Calibri" w:eastAsia="Calibri" w:hAnsi="Calibri" w:cs="Calibri"/>
    </w:rPr>
  </w:style>
  <w:style w:type="paragraph" w:customStyle="1" w:styleId="TableBody">
    <w:name w:val="Table Body"/>
    <w:basedOn w:val="a"/>
    <w:pPr>
      <w:spacing w:after="160" w:line="396" w:lineRule="auto"/>
      <w:jc w:val="left"/>
    </w:pPr>
    <w:rPr>
      <w:rFonts w:ascii="Calibri" w:eastAsia="Calibri" w:hAnsi="Calibri" w:cs="Calibri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Acknowledgements">
    <w:name w:val="Acknowledgements"/>
    <w:basedOn w:val="a"/>
    <w:pPr>
      <w:shd w:val="clear" w:color="auto" w:fill="F9EDFF"/>
      <w:spacing w:after="160" w:line="396" w:lineRule="auto"/>
    </w:pPr>
    <w:rPr>
      <w:rFonts w:ascii="Calibri" w:eastAsia="Calibri" w:hAnsi="Calibri" w:cs="Calibri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styleId="af1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EndnoteText1">
    <w:name w:val="Endnote Text1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paragraph" w:styleId="af2">
    <w:name w:val="Subtitle"/>
    <w:basedOn w:val="a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character" w:customStyle="1" w:styleId="Source">
    <w:name w:val="Source"/>
    <w:basedOn w:val="a0"/>
    <w:rPr>
      <w:shd w:val="clear" w:color="auto" w:fill="C1EDFF"/>
    </w:rPr>
  </w:style>
  <w:style w:type="character" w:customStyle="1" w:styleId="Postcode">
    <w:name w:val="Postcode"/>
    <w:basedOn w:val="a0"/>
    <w:rPr>
      <w:shd w:val="clear" w:color="auto" w:fill="BEBEBE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paragraph" w:customStyle="1" w:styleId="Biography">
    <w:name w:val="Biography"/>
    <w:basedOn w:val="a"/>
    <w:pPr>
      <w:shd w:val="clear" w:color="auto" w:fill="EEFEF4"/>
      <w:spacing w:after="160" w:line="396" w:lineRule="auto"/>
    </w:pPr>
    <w:rPr>
      <w:rFonts w:ascii="Calibri" w:eastAsia="Calibri" w:hAnsi="Calibri" w:cs="Calibri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TableList">
    <w:name w:val="Table List"/>
    <w:basedOn w:val="a"/>
    <w:pPr>
      <w:ind w:left="300" w:hanging="300"/>
      <w:jc w:val="left"/>
    </w:pPr>
  </w:style>
  <w:style w:type="paragraph" w:customStyle="1" w:styleId="Annotation">
    <w:name w:val="Annotation"/>
    <w:basedOn w:val="a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af3">
    <w:name w:val="line number"/>
    <w:basedOn w:val="a0"/>
    <w:uiPriority w:val="99"/>
    <w:rsid w:val="00C94B6A"/>
  </w:style>
  <w:style w:type="character" w:styleId="af4">
    <w:name w:val="page number"/>
    <w:basedOn w:val="a0"/>
    <w:uiPriority w:val="99"/>
    <w:rsid w:val="00C94B6A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20</Pages>
  <Words>6529</Words>
  <Characters>37219</Characters>
  <Application>Microsoft Office Word</Application>
  <DocSecurity>0</DocSecurity>
  <Lines>310</Lines>
  <Paragraphs>87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2026-05-10T15:48:10Z</dcterms:created>
  <dcterms:modified xsi:type="dcterms:W3CDTF">2026-05-10T15:48:10Z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