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1"/>
        <w:spacing w:line="480" w:lineRule="auto"/>
        <w:ind w:firstLine="0"/>
      </w:pPr>
      <w:bookmarkStart w:id="20" w:name="additional-file-2-supplementary-tables"/>
      <w:r>
        <w:rPr>
          <w:rFonts w:ascii="Times New Roman" w:hAnsi="Times New Roman" w:eastAsia="Times New Roman" w:cs="Times New Roman"/>
          <w:b/>
          <w:sz w:val="24"/>
        </w:rPr>
        <w:t>Additional File 2 — Supplementary Tables and Figures</w:t>
      </w:r>
      <w:bookmarkEnd w:id="20"/>
    </w:p>
    <w:p>
      <w:pPr>
        <w:pStyle w:val="FirstParagraph"/>
        <w:spacing w:line="480" w:lineRule="auto"/>
        <w:ind w:firstLine="720"/>
      </w:pPr>
      <w:r>
        <w:rPr>
          <w:rFonts w:ascii="Times New Roman" w:hAnsi="Times New Roman" w:eastAsia="Times New Roman" w:cs="Times New Roman"/>
          <w:b/>
          <w:sz w:val="24"/>
        </w:rPr>
        <w:t xml:space="preserve">Manuscript title</w:t>
      </w:r>
      <w:r>
        <w:rPr>
          <w:rFonts w:ascii="Times New Roman" w:hAnsi="Times New Roman" w:eastAsia="Times New Roman" w:cs="Times New Roman"/>
          <w:sz w:val="24"/>
        </w:rPr>
        <w:t xml:space="preserve">: C-reactive Protein-to-Albumin Ratio Adds Independent Prognostic Value to the Clinical Frailty Scale in Older Emergency Department Patients: A Multicenter Cohort Study</w:t>
      </w:r>
    </w:p>
    <w:p>
      <w:pPr>
        <w:pStyle w:val="BodyText"/>
        <w:spacing w:line="480" w:lineRule="auto"/>
        <w:ind w:firstLine="720"/>
      </w:pPr>
      <w:r>
        <w:rPr>
          <w:rFonts w:ascii="Times New Roman" w:hAnsi="Times New Roman"/>
          <w:sz w:val="24"/>
        </w:rPr>
        <w:t>This file contains five supplementary tables (S1–S5) and two supplementary figures (S1–S2) referenced in the main manuscript.</w:t>
      </w:r>
    </w:p>
    <w:p>
      <w:pPr>
        <w:pStyle w:val="2"/>
        <w:spacing w:line="480" w:lineRule="auto"/>
        <w:ind w:firstLine="0"/>
      </w:pPr>
      <w:bookmarkStart w:id="21" w:name="Xa9213ce0354790a980dc4198d6a7e67f3a6b630"/>
      <w:r>
        <w:rPr>
          <w:rFonts w:ascii="Times New Roman" w:hAnsi="Times New Roman" w:eastAsia="Times New Roman" w:cs="Times New Roman"/>
          <w:b/>
          <w:sz w:val="24"/>
        </w:rPr>
        <w:t xml:space="preserve">Table S1. Mortality location and severity proxies</w:t>
      </w:r>
      <w:bookmarkEnd w:id="21"/>
    </w:p>
    <w:p>
      <w:pPr>
        <w:pStyle w:val="FirstParagraph"/>
        <w:spacing w:line="480" w:lineRule="auto"/>
        <w:ind w:firstLine="720"/>
      </w:pPr>
      <w:r>
        <w:rPr>
          <w:rFonts w:ascii="Times New Roman" w:hAnsi="Times New Roman" w:eastAsia="Times New Roman" w:cs="Times New Roman"/>
          <w:i/>
          <w:sz w:val="24"/>
        </w:rPr>
        <w:t xml:space="preserve">Provides the location-specific breakdown of in-hospital mortality and ICU severity indicators that contextualize the cohort’s mortality rate within the Korean tertiary-care setting.</w:t>
      </w:r>
    </w:p>
    <w:tbl>
      <w:tblPr>
        <w:tblStyle w:val="Table"/>
        <w:tblW w:type="pct" w:w="0.0"/>
        <w:tblLook w:firstRow="1"/>
        <w:tbl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blBorders>
      </w:tblPr>
      <w:tblGrid/>
      <w:tr>
        <w:trPr>
          <w:cnfStyle w:firstRow="1"/>
        </w:trPr>
        <w:tc>
          <w:tcPr>
            <w:vAlign w:val="bottom"/>
            <w:tcBorders>
              <w:bottom w:val="single" w:sz="4" w:space="0" w:color="auto"/>
            </w:tcBorders>
          </w:tcPr>
          <w:p>
            <w:pPr>
              <w:spacing w:line="240" w:lineRule="auto"/>
              <w:ind w:firstLine="0"/>
            </w:pP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Non-frail (CFS &lt; 5)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Frail (CFS ≥ 5)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ED disposition (overall)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 = 3,715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 = 2,213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 = 5,928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Discharged from ED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2,142 (57.7%)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852 (38.5%)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2,994 (50.5%)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Died in ED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 (0.03%)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17 (0.8%)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18 (0.3%)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Admitted to ward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1,206 (32.5%)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951 (43.0%)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2,157 (36.4%)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Admitted to ICU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366 (9.9%)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393 (17.8%)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759 (12.8%)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In-hospital mortality by location</w:t>
            </w: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ED death rate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1/1 (100%)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17/17 (100%)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18/18 (100%)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Ward death rate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28/1,206 (2.3%)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80/951 (8.4%)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108/2,157 (5.0%)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ICU death rate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49/366 (13.4%)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63/393 (16.0%)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112/759 (14.8%)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Distribution of in-hospital deaths (% of total deaths, N = 238)</w:t>
            </w: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ED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18 (7.6%)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Ward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108 (45.4%)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ICU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112 (47.1%)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Severity proxies among ICU admissions (N = 759)</w:t>
            </w: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Altered AVPU at presentation, n (%)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237 (31.2%)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Lactate &gt; 2 mmol/L (≈ 18 mg/dL), n (%)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240 (31.6%)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Median ICU/hospital LOS, days [IQR]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12 [6–22]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30-day in-hospital mortality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71 (1.9%)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153 (6.9%)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224 (3.8%)</w:t>
            </w:r>
          </w:p>
        </w:tc>
      </w:tr>
    </w:tbl>
    <w:p>
      <w:pPr>
        <w:pStyle w:val="BodyText"/>
        <w:spacing w:line="480" w:lineRule="auto"/>
        <w:ind w:firstLine="720"/>
      </w:pPr>
      <w:r>
        <w:rPr>
          <w:rFonts w:ascii="Times New Roman" w:hAnsi="Times New Roman" w:eastAsia="Times New Roman" w:cs="Times New Roman"/>
          <w:b/>
          <w:sz w:val="24"/>
        </w:rPr>
        <w:t xml:space="preserve">Interpretation.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4.0% in-hospital mortality observed in this cohort is somewhat lower than rates reported from some Western ED cohorts of older adults; this reflects the case-mix of the three Korean tertiary EDs in this study and Korean practice patterns in ICU triage thresholds. The 14.8% ICU mortality similarly reflects a Korean tertiary ICU case-mix that includes patients who would be managed in step-down or high-dependency beds in some Western health systems. Thirty-one percent of ICU patients had altered AVPU and 32% had elevated lactate, with median ICU stay of 12 days, confirming genuine critical-care intensity, but with a broader case-mix than a narrow Western definition of ICU. The 5.0% ward-level mortality reflects Korean hospitalization patterns in which patients with comfort-care preferences and unexpected deteriorations are managed on general wards. The frailty-associated relative mortality risk was largest on the ward (3.6×) and attenuated within ICU (1.2×), suggesting that frailty’s incremental prognostic information is most actionable for patients destined for non-critical-care beds—exactly the population that the proposed CFS + CAR framework is intended to triage.</w:t>
      </w:r>
    </w:p>
    <w:p>
      <w:pPr>
        <w:pStyle w:val="2"/>
        <w:spacing w:line="480" w:lineRule="auto"/>
        <w:ind w:firstLine="0"/>
      </w:pPr>
      <w:bookmarkStart w:id="22" w:name="X8afa9fa07b4b805de1f1437c1ecb937c79530bb"/>
      <w:r>
        <w:rPr>
          <w:rFonts w:ascii="Times New Roman" w:hAnsi="Times New Roman" w:eastAsia="Times New Roman" w:cs="Times New Roman"/>
          <w:b/>
          <w:sz w:val="24"/>
        </w:rPr>
        <w:t xml:space="preserve">Table S2. Univariable (unadjusted) prognostic performance</w:t>
      </w:r>
      <w:bookmarkEnd w:id="22"/>
    </w:p>
    <w:p>
      <w:pPr>
        <w:pStyle w:val="FirstParagraph"/>
        <w:spacing w:line="480" w:lineRule="auto"/>
        <w:ind w:firstLine="720"/>
      </w:pPr>
      <w:r>
        <w:rPr>
          <w:rFonts w:ascii="Times New Roman" w:hAnsi="Times New Roman" w:eastAsia="Times New Roman" w:cs="Times New Roman"/>
          <w:i/>
          <w:sz w:val="24"/>
        </w:rPr>
        <w:t xml:space="preserve">Presented in parallel to the multivariable adjusted analysis (main Tables 2 and 3) for direct comparison with prior CFS literature that reports unadjusted associations.</w:t>
      </w:r>
    </w:p>
    <w:tbl>
      <w:tblPr>
        <w:tblStyle w:val="Table"/>
        <w:tblW w:type="pct" w:w="5000.0"/>
        <w:tblLook w:firstRow="1"/>
        <w:tbl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Outcome / Model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Unadjusted OR (95% CI);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2"/>
              </w:rPr>
              <w:t xml:space="preserve">p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AUROC (95% CI)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ΔAUC vs. CFS-alone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i/>
                <w:sz w:val="22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(DeLong)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In-hospital mortality</w:t>
            </w: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alone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1.50 (1.40–1.61); &lt;0.001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0.703 (0.666–0.737)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reference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CAR alone (per unit log[1+CAR])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1.47 (1.30–1.67); &lt;0.001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0.637 (0.597–0.677)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−0.066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&lt;0.001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+ CAR (unadjusted combination)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1.44; CAR 1.35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0.726 (0.691–0.759)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+0.023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0.013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Hospital admission</w:t>
            </w: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alone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1.25 (1.21–1.30); &lt;0.001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0.609 (0.595–0.623)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reference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CAR alone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1.31 (1.23–1.39); &lt;0.001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0.599 (0.585–0.613)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−0.010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0.27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+ CAR (unadjusted combination)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1.22; CAR 1.25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0.634 (0.620–0.649)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+0.025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&lt;0.001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ICU admission</w:t>
            </w: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  <w:tc>
          <w:tcPr/>
          <w:p>
            <w:pPr>
              <w:spacing w:line="240" w:lineRule="auto"/>
              <w:ind w:firstLine="0"/>
            </w:pP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alone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1.22 (1.14–1.29); &lt;0.001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0.602 (0.579–0.621)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reference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CAR alone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1.19 (1.07–1.31); &lt;0.001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0.565 (0.543–0.586)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−0.037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0.020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+ CAR (unadjusted combination)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1.20; CAR 1.13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0.613 (0.592–0.632)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+0.011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0.022</w:t>
            </w:r>
          </w:p>
        </w:tc>
      </w:tr>
    </w:tbl>
    <w:p>
      <w:pPr>
        <w:pStyle w:val="BodyText"/>
        <w:spacing w:line="480" w:lineRule="auto"/>
        <w:ind w:firstLine="720"/>
      </w:pPr>
      <w:r>
        <w:rPr>
          <w:rFonts w:ascii="Times New Roman" w:hAnsi="Times New Roman" w:eastAsia="Times New Roman" w:cs="Times New Roman"/>
          <w:sz w:val="24"/>
        </w:rPr>
        <w:t xml:space="preserve">In the unadjusted combined model, both predictors retained statistically significant independent associations with the outcome, paralleling the multivariable adjusted analysis presented in main Table 2.</w:t>
      </w:r>
    </w:p>
    <w:p>
      <w:pPr>
        <w:pStyle w:val="2"/>
        <w:spacing w:line="480" w:lineRule="auto"/>
        <w:ind w:firstLine="0"/>
      </w:pPr>
      <w:bookmarkStart w:id="23" w:name="table-s3.-sensitivity-analyses"/>
      <w:r>
        <w:rPr>
          <w:rFonts w:ascii="Times New Roman" w:hAnsi="Times New Roman" w:eastAsia="Times New Roman" w:cs="Times New Roman"/>
          <w:b/>
          <w:sz w:val="24"/>
        </w:rPr>
        <w:t xml:space="preserve">Table S3. Sensitivity analyses</w:t>
      </w:r>
      <w:bookmarkEnd w:id="23"/>
    </w:p>
    <w:p>
      <w:pPr>
        <w:pStyle w:val="FirstParagraph"/>
        <w:spacing w:line="480" w:lineRule="auto"/>
        <w:ind w:firstLine="720"/>
      </w:pPr>
      <w:r>
        <w:rPr>
          <w:rFonts w:ascii="Times New Roman" w:hAnsi="Times New Roman" w:eastAsia="Times New Roman" w:cs="Times New Roman"/>
          <w:i/>
          <w:sz w:val="24"/>
        </w:rPr>
        <w:t xml:space="preserve">Robustness of incremental CFS + CAR performance across inflammation strata, comorbidity sensitivity adjustment, and the alternative outcome of 30-day in-hospital mortality.</w:t>
      </w:r>
    </w:p>
    <w:tbl>
      <w:tblPr>
        <w:tblStyle w:val="Table"/>
        <w:tblW w:type="pct" w:w="5000.0"/>
        <w:tblLook w:firstRow="1"/>
        <w:tbl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blBorders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Sensitivity analysis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Mortality, n (%)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Baseline AUROC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Full AUROC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ΔAUC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aOR (</w:t>
            </w:r>
            <w:r>
              <w:rPr>
                <w:rFonts w:ascii="Times New Roman" w:hAnsi="Times New Roman" w:eastAsia="Times New Roman" w:cs="Times New Roman"/>
                <w:i/>
                <w:sz w:val="22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)</w:t>
            </w:r>
          </w:p>
        </w:tc>
        <w:tc>
          <w:tcPr>
            <w:vAlign w:val="bottom"/>
            <w:tcBorders>
              <w:bottom w:val="single" w:sz="4" w:space="0" w:color="auto"/>
            </w:tcBorders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log(1+CAR) aOR (</w:t>
            </w:r>
            <w:r>
              <w:rPr>
                <w:rFonts w:ascii="Times New Roman" w:hAnsi="Times New Roman" w:eastAsia="Times New Roman" w:cs="Times New Roman"/>
                <w:i/>
                <w:sz w:val="22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Sepsis-likely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(CRP ≥ 50 mg/L OR lactate &gt; 2 mmol/L)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2,073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155 (7.5)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0.850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0.852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+0.003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1.11 (0.052)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1.03 (0.679)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Low inflammation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(CRP &lt; 10 mg/L AND lactate ≤ 2 mmol/L)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2,892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59 (2.0)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0.909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0.923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+0.014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1.11 (0.214)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2.55 (0.020)</w:t>
            </w:r>
          </w:p>
        </w:tc>
      </w:tr>
      <w:tr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Baseline + kidney dysfunction (Cr ≥ 1.5) + anaemia (Hb &lt; 12)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5,928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238 (4.0)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0.874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0.884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+0.010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1.12 (0.007)</w:t>
            </w:r>
          </w:p>
        </w:tc>
        <w:tc>
          <w:tcPr/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1.22 (&lt;0.001)</w:t>
            </w:r>
          </w:p>
        </w:tc>
      </w:tr>
      <w:tr>
        <w:tc>
          <w:tcPr/>
          <w:p>
            <w:r/>
            <w:r>
              <w:rPr>
                <w:rFonts w:ascii="Times New Roman" w:hAnsi="Times New Roman"/>
                <w:b/>
                <w:sz w:val="22"/>
              </w:rPr>
              <w:t>30-day in-hospital mortality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5,928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224 (3.8)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0.872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0.886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+0.014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1.13 (0.007)</w:t>
            </w:r>
          </w:p>
        </w:tc>
        <w:tc>
          <w:tcPr/>
          <w:p>
            <w:r/>
            <w:r>
              <w:rPr>
                <w:rFonts w:ascii="Times New Roman" w:hAnsi="Times New Roman"/>
                <w:sz w:val="22"/>
              </w:rPr>
              <w:t>1.29 (&lt;0.001)</w:t>
            </w:r>
          </w:p>
        </w:tc>
      </w:tr>
      <w:tr>
        <w:tc>
          <w:tcPr>
            <w:tcW w:type="dxa" w:w="990"/>
          </w:tcPr>
          <w:p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2"/>
              </w:rPr>
              <w:t>SpO₂-documented subset, with SpO₂ covariate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2,999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175 (5.8)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0.853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0.862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+0.009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1.08 (0.111)</w:t>
            </w:r>
          </w:p>
        </w:tc>
        <w:tc>
          <w:tcPr>
            <w:tcW w:type="dxa" w:w="990"/>
          </w:tcPr>
          <w:p>
            <w:r/>
            <w:r>
              <w:rPr>
                <w:rFonts w:ascii="Times New Roman" w:hAnsi="Times New Roman"/>
                <w:sz w:val="22"/>
              </w:rPr>
              <w:t>1.24 (0.001)</w:t>
            </w:r>
          </w:p>
        </w:tc>
      </w:tr>
      <w:tr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b/>
                <w:sz w:val="22"/>
              </w:rPr>
              <w:t>First encounter per patient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5,235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206 (3.9)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0.875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0.885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+0.010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1.13 (0.009)</w:t>
            </w:r>
          </w:p>
        </w:tc>
        <w:tc>
          <w:tcPr>
            <w:tcW w:type="dxa" w:w="99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1.26 (&lt;0.001)</w:t>
            </w:r>
          </w:p>
        </w:tc>
      </w:tr>
    </w:tbl>
    <w:p>
      <w:pPr>
        <w:pStyle w:val="BodyText"/>
        <w:spacing w:line="480" w:lineRule="auto"/>
        <w:ind w:firstLine="720"/>
      </w:pPr>
      <w:r>
        <w:rPr>
          <w:rFonts w:ascii="Times New Roman" w:hAnsi="Times New Roman" w:eastAsia="Times New Roman" w:cs="Times New Roman"/>
          <w:sz w:val="24"/>
        </w:rPr>
        <w:t xml:space="preserve">The incremental contribution of the combined CFS + CAR signal was preserved across (i) the addition of laboratory-based comorbidity proxies, arguing against confounding by unmeasured comorbidity; and (ii) the alternative outcome of 30-day in-hospital mortality, confirming that the principal findings are not driven by deaths occurring late in prolonged hospitalizations. In the sepsis-likely subgroup, where systemic inflammation already drives most of the prognostic signal, CFS retained borderline significance and CAR was no longer independently associated, consistent with attenuation of the inflammatory-axis information when its variance is constrained by inclusion criteria. In the low-inflammation subgroup, CAR retained a strong independent association (aOR 2.55), arguing against CAR functioning solely as a sepsis biomarker.</w:t>
      </w:r>
    </w:p>
    <w:p>
      <w:pPr>
        <w:pStyle w:val="2"/>
        <w:spacing w:line="480" w:lineRule="auto"/>
        <w:ind w:firstLine="0"/>
      </w:pPr>
      <w:bookmarkStart w:id="24" w:name="X03597ce0696a038c1a133370f73f33ebcbd4de9"/>
      <w:r>
        <w:rPr>
          <w:rFonts w:ascii="Times New Roman" w:hAnsi="Times New Roman" w:eastAsia="Times New Roman" w:cs="Times New Roman"/>
          <w:b/>
          <w:sz w:val="24"/>
        </w:rPr>
        <w:t xml:space="preserve">Table S4. Comparison of included (N = 5,928) and excluded (N = 369) older ED patients</w:t>
      </w:r>
      <w:bookmarkEnd w:id="24"/>
    </w:p>
    <w:p>
      <w:pPr>
        <w:pStyle w:val="FirstParagraph"/>
        <w:spacing w:line="480" w:lineRule="auto"/>
        <w:ind w:firstLine="720"/>
      </w:pPr>
      <w:r>
        <w:rPr>
          <w:rFonts w:ascii="Times New Roman" w:hAnsi="Times New Roman" w:eastAsia="Times New Roman" w:cs="Times New Roman"/>
          <w:i/>
          <w:sz w:val="24"/>
        </w:rPr>
        <w:t xml:space="preserve">To enable transparent assessment of selection bias arising from complete-case exclusion of patients with missing CFS, CRP, or albumin.</w:t>
      </w:r>
    </w:p>
    <w:tbl>
      <w:tblPr>
        <w:tblLook w:firstColumn="1" w:firstRow="1" w:lastColumn="0" w:lastRow="0" w:noHBand="0" w:noVBand="1" w:val="04A0"/>
        <w:tbl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blBorders>
        <w:tblLayout w:type="fixed"/>
        <w:tblW w:w="9026" w:type="dxa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126"/>
        <w:gridCol w:w="1500"/>
        <w:gridCol w:w="1400"/>
        <w:gridCol w:w="1000"/>
        <w:gridCol w:w="1000"/>
      </w:tblGrid>
      <w:tr>
        <w:tc>
          <w:tcPr>
            <w:tcW w:type="dxa" w:w="4126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Variable</w:t>
            </w:r>
          </w:p>
        </w:tc>
        <w:tc>
          <w:tcPr>
            <w:tcW w:type="dxa" w:w="150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Included (N = 5,928)</w:t>
            </w:r>
          </w:p>
        </w:tc>
        <w:tc>
          <w:tcPr>
            <w:tcW w:type="dxa" w:w="140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Excluded (N = 369)</w:t>
            </w:r>
          </w:p>
        </w:tc>
        <w:tc>
          <w:tcPr>
            <w:tcW w:type="dxa" w:w="100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i/>
                <w:sz w:val="22"/>
              </w:rPr>
              <w:t>p</w:t>
            </w:r>
          </w:p>
        </w:tc>
        <w:tc>
          <w:tcPr>
            <w:tcW w:type="dxa" w:w="100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SMD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2"/>
              </w:rPr>
              <w:t>Demographics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Age, years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76 [70–83]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75 [69–82]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0.052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0.10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Male,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2,673 (45.1)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198 (53.7)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0.002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0.17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2"/>
              </w:rPr>
              <w:t>Study site,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Ewha Womans Univ. Seoul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2,896 (48.9)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6 (1.6)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1.30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Ewha Womans Univ. Mokdong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2,013 (34.0)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352 (95.4)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1.68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Chung-Ang Univ. Gwangmyeong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1,019 (17.2)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11 (3.0)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0.49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2"/>
              </w:rPr>
              <w:t>Korean Triage and Acuity Scale,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Level 1 (Resuscitation)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40 (0.7)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 (0.0)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0.12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Level 2 (Emergent)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987 (16.6)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23 (6.2)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0.33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Level 3 (Urgent)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4,280 (72.2)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220 (59.6)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0.27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Level 4 (Less urgent)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573 (9.7)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112 (30.4)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0.54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 xml:space="preserve">  Level 5 (Non-urgent)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48 (0.8)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14 (3.8)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0.20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Clinical Frailty Scale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 [3–6]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 [3–5]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0.385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0.06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Systolic blood pressure, mmHg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138 [119–156]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138 [123–154]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0.592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0.04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Diastolic blood pressure, mmHg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73 [63–84]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72 [63–82]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0.355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0.03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Heart rate, /min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85 [72–99]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86 [75–98]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0.364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0.03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Respiratory rate, /min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20 [20–20]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20 [18–20]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0.27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Body temperature, °C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36.8 [36.4–37.3]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36.7 [36.4–37.0]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0.14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Oxygen saturation (when measured), %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97 [96–98]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98 [97–98]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0.135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0.25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Altered AVPU (V/P/U),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491 (8.3)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 (0.8)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0.36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White blood cell count, ×10⁹/L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7.5 [5.7–10.4]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8.0 [6.5–10.2]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0.155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0.05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Haemoglobin, g/dL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12.2 [10.5–13.6]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12.3 [10.9–13.4]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0.973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0.00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Creatinine, mg/dL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0.8 [0.7–1.1]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0.9 [0.7–1.3]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0.076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0.03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C-reactive protein, mg/L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4.0 [0.8–28.6]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Albumin, g/dL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4.0 [3.4–4.3]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C-reactive protein-to-albumin ratio (CAR)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1.0 [0.2–7.9]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—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Hospital admission,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2,916 (49.2)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93 (25.2)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0.51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ICU admission,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759 (12.8)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13 (3.5)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0.34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In-hospital mortality, n (%)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238 (4.0)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 (0.8)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0.003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0.21</w:t>
            </w:r>
          </w:p>
        </w:tc>
      </w:tr>
      <w:tr>
        <w:tc>
          <w:tcPr>
            <w:tcW w:type="dxa" w:w="412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ED length of stay, min</w:t>
            </w:r>
          </w:p>
        </w:tc>
        <w:tc>
          <w:tcPr>
            <w:tcW w:type="dxa" w:w="15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206 [136–299]</w:t>
            </w:r>
          </w:p>
        </w:tc>
        <w:tc>
          <w:tcPr>
            <w:tcW w:type="dxa" w:w="14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102 [60–174]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0.74</w:t>
            </w:r>
          </w:p>
        </w:tc>
      </w:tr>
    </w:tbl>
    <w:p>
      <w:pPr>
        <w:spacing w:line="240" w:lineRule="auto" w:before="40" w:after="120"/>
      </w:pPr>
      <w:r>
        <w:rPr>
          <w:rFonts w:ascii="Times New Roman" w:hAnsi="Times New Roman"/>
          <w:i w:val="0"/>
          <w:sz w:val="20"/>
        </w:rPr>
        <w:t xml:space="preserve">Continuous variables, median [IQR]; categorical, n (%). </w:t>
      </w:r>
      <w:r>
        <w:rPr>
          <w:rFonts w:ascii="Times New Roman" w:hAnsi="Times New Roman"/>
          <w:i/>
          <w:sz w:val="20"/>
        </w:rPr>
        <w:t>p</w:t>
      </w:r>
      <w:r>
        <w:rPr>
          <w:rFonts w:ascii="Times New Roman" w:hAnsi="Times New Roman"/>
          <w:i w:val="0"/>
          <w:sz w:val="20"/>
        </w:rPr>
        <w:t xml:space="preserve"> from Mann–Whitney U or χ² test. SMD, standardized mean difference; |SMD| &lt; 0.10 indicates a negligible difference. Exposure variables (CRP, albumin, CAR) were unavailable in excluded patients by definition. Among excluded patients, SpO₂ and ancillary laboratory values were documented only in a minority (SpO₂ n = 92; WBC/haemoglobin n = 83; creatinine n = 60).</w:t>
      </w:r>
    </w:p>
    <w:p/>
    <w:p>
      <w:r>
        <w:rPr>
          <w:b/>
        </w:rPr>
        <w:t>Table S5. Comparison of in-hospital survivors and non-survivors (N = 5,928)</w:t>
      </w:r>
    </w:p>
    <w:p>
      <w:r>
        <w:t>Provided in response to reviewer request for a direct comparison of patients who died in hospital versus those who survived.</w:t>
      </w:r>
    </w:p>
    <w:tbl>
      <w:tblPr>
        <w:tblLook w:firstColumn="1" w:firstRow="1" w:lastColumn="0" w:lastRow="0" w:noHBand="0" w:noVBand="1" w:val="04A0"/>
        <w:tbl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</w:tblBorders>
        <w:tblLayout w:type="fixed"/>
        <w:tblW w:w="9026" w:type="dxa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106"/>
        <w:gridCol w:w="1960"/>
        <w:gridCol w:w="1960"/>
        <w:gridCol w:w="1000"/>
      </w:tblGrid>
      <w:tr>
        <w:tc>
          <w:tcPr>
            <w:tcW w:type="dxa" w:w="4106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Variable</w:t>
            </w:r>
          </w:p>
        </w:tc>
        <w:tc>
          <w:tcPr>
            <w:tcW w:type="dxa" w:w="196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Survivors (N = 5,690)</w:t>
            </w:r>
          </w:p>
        </w:tc>
        <w:tc>
          <w:tcPr>
            <w:tcW w:type="dxa" w:w="196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Non-survivors (N = 238)</w:t>
            </w:r>
          </w:p>
        </w:tc>
        <w:tc>
          <w:tcPr>
            <w:tcW w:type="dxa" w:w="1000"/>
            <w:tcBorders>
              <w:bottom w:val="single" w:sz="4" w:space="0" w:color="auto"/>
            </w:tcBorders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i/>
                <w:sz w:val="22"/>
              </w:rPr>
              <w:t>p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Age, years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76 [70–83]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81 [75–86]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Clinical Frailty Scale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 [3–6]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6 [4–7]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Frail (CFS ≥ 5), n (%)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2,053 (36.1)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160 (67.2)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Systolic blood pressure, mmHg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139 [121–157]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114 [89–139]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Heart rate, /min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84 [72–98]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98 [78–112]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Altered AVPU (V/P/U), n (%)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371 (6.5)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120 (50.4)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C-reactive protein, mg/L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3.8 [0.8–27.2]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16.8 [1.6–91.9]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Albumin, g/dL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4.0 [3.5–4.3]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3.3 [2.7–4.1]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C-reactive protein-to-albumin ratio (CAR)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0.98 [0.20–7.40]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4.70 [0.48–33.25]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  <w:tr>
        <w:tc>
          <w:tcPr>
            <w:tcW w:type="dxa" w:w="4106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CAR upper quartile (&gt; 7.91), n (%)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1,375 (24.2)</w:t>
            </w:r>
          </w:p>
        </w:tc>
        <w:tc>
          <w:tcPr>
            <w:tcW w:type="dxa" w:w="196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107 (45.0)</w:t>
            </w:r>
          </w:p>
        </w:tc>
        <w:tc>
          <w:tcPr>
            <w:tcW w:type="dxa" w:w="1000"/>
          </w:tcPr>
          <w:p>
            <w:pPr>
              <w:spacing w:line="240" w:lineRule="auto" w:before="0" w:after="0"/>
            </w:pPr>
            <w:r/>
            <w:r>
              <w:rPr>
                <w:rFonts w:ascii="Times New Roman" w:hAnsi="Times New Roman"/>
                <w:sz w:val="22"/>
              </w:rPr>
              <w:t>&lt;0.001</w:t>
            </w:r>
          </w:p>
        </w:tc>
      </w:tr>
    </w:tbl>
    <w:p>
      <w:pPr>
        <w:spacing w:line="240" w:lineRule="auto" w:before="40" w:after="120"/>
      </w:pPr>
      <w:r>
        <w:rPr>
          <w:rFonts w:ascii="Times New Roman" w:hAnsi="Times New Roman"/>
          <w:i w:val="0"/>
          <w:sz w:val="20"/>
        </w:rPr>
        <w:t xml:space="preserve">Continuous variables, median [IQR]; categorical, n (%). </w:t>
      </w:r>
      <w:r>
        <w:rPr>
          <w:rFonts w:ascii="Times New Roman" w:hAnsi="Times New Roman"/>
          <w:i/>
          <w:sz w:val="20"/>
        </w:rPr>
        <w:t>p</w:t>
      </w:r>
      <w:r>
        <w:rPr>
          <w:rFonts w:ascii="Times New Roman" w:hAnsi="Times New Roman"/>
          <w:i w:val="0"/>
          <w:sz w:val="20"/>
        </w:rPr>
        <w:t xml:space="preserve"> from Mann–Whitney U or χ² test.</w:t>
      </w:r>
    </w:p>
    <w:p/>
    <w:p>
      <w:r>
        <w:rPr>
          <w:b/>
        </w:rPr>
        <w:t>Figure S1. Calibration plot for in-hospital mortality</w:t>
      </w:r>
    </w:p>
    <w:p>
      <w:r>
        <w:drawing>
          <wp:inline>
            <wp:extent cx="4572000" cy="41576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S1_calibr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157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Decile-binned observed versus predicted probabilities for the baseline and the baseline + CFS + CAR models; the dashed line denotes perfect calibration.</w:t>
      </w:r>
    </w:p>
    <w:p/>
    <w:p>
      <w:r>
        <w:rPr>
          <w:b/>
        </w:rPr>
        <w:t>Figure S2. Decision-curve analysis for in-hospital mortality</w:t>
      </w:r>
    </w:p>
    <w:p>
      <w:r>
        <w:drawing>
          <wp:inline>
            <wp:extent cx="4572000" cy="36669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S2_DC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6669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Net benefit of the baseline and the baseline + CFS + CAR models versus the treat-all and treat-none strategies across threshold probabilities of 1–20%.</w:t>
      </w:r>
    </w:p>
    <w:sectPr w:rsidR="00DF21BE" w:rsidRPr="007D75A3" w:rsidSect="00F878FD">
      <w:footerReference w:type="even" r:id="rId9"/>
      <w:footerReference w:type="default" r:id="rId10"/>
      <w:type w:val="continuous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272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-1734697448"/>
      <w:docPartObj>
        <w:docPartGallery w:val="Page Numbers (Bottom of Page)"/>
        <w:docPartUnique/>
      </w:docPartObj>
    </w:sdtPr>
    <w:sdtContent>
      <w:p w14:paraId="0E9A14A4" w14:textId="271784C6" w:rsidR="00C94B6A" w:rsidRDefault="00C94B6A" w:rsidP="00310B42">
        <w:pPr>
          <w:pStyle w:val="a6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71C43109" w14:textId="77777777" w:rsidR="00C94B6A" w:rsidRDefault="00C94B6A" w:rsidP="0066667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790010139"/>
      <w:docPartObj>
        <w:docPartGallery w:val="Page Numbers (Bottom of Page)"/>
        <w:docPartUnique/>
      </w:docPartObj>
    </w:sdtPr>
    <w:sdtContent>
      <w:p w14:paraId="6E76A8C9" w14:textId="3F8D8154" w:rsidR="00C94B6A" w:rsidRDefault="00C94B6A" w:rsidP="00310B42">
        <w:pPr>
          <w:pStyle w:val="a6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14:paraId="1C1BB836" w14:textId="77777777" w:rsidR="00C94B6A" w:rsidRDefault="00C94B6A" w:rsidP="00265BE6">
    <w:pPr>
      <w:pStyle w:val="a6"/>
      <w:ind w:right="360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E0C3"/>
    <w:multiLevelType w:val="hybridMultilevel"/>
    <w:tmpl w:val="00000000"/>
    <w:lvl w:ilvl="0" w:tplc="7174F68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38C4FFFC">
      <w:start w:val="1"/>
      <w:numFmt w:val="decimal"/>
      <w:lvlText w:val=""/>
      <w:lvlJc w:val="left"/>
    </w:lvl>
    <w:lvl w:ilvl="2" w:tplc="0428B668">
      <w:start w:val="1"/>
      <w:numFmt w:val="decimal"/>
      <w:lvlText w:val=""/>
      <w:lvlJc w:val="left"/>
    </w:lvl>
    <w:lvl w:ilvl="3" w:tplc="33FEF4F4">
      <w:start w:val="1"/>
      <w:numFmt w:val="decimal"/>
      <w:lvlText w:val=""/>
      <w:lvlJc w:val="left"/>
    </w:lvl>
    <w:lvl w:ilvl="4" w:tplc="C2A2731A">
      <w:start w:val="1"/>
      <w:numFmt w:val="decimal"/>
      <w:lvlText w:val=""/>
      <w:lvlJc w:val="left"/>
    </w:lvl>
    <w:lvl w:ilvl="5" w:tplc="4BE04F7E">
      <w:start w:val="1"/>
      <w:numFmt w:val="decimal"/>
      <w:lvlText w:val=""/>
      <w:lvlJc w:val="left"/>
    </w:lvl>
    <w:lvl w:ilvl="6" w:tplc="28F6C90A">
      <w:start w:val="1"/>
      <w:numFmt w:val="decimal"/>
      <w:lvlText w:val=""/>
      <w:lvlJc w:val="left"/>
    </w:lvl>
    <w:lvl w:ilvl="7" w:tplc="1E8C47D0">
      <w:start w:val="1"/>
      <w:numFmt w:val="decimal"/>
      <w:lvlText w:val=""/>
      <w:lvlJc w:val="left"/>
    </w:lvl>
    <w:lvl w:ilvl="8" w:tplc="6BC62456">
      <w:start w:val="1"/>
      <w:numFmt w:val="decimal"/>
      <w:lvlText w:val=""/>
      <w:lvlJc w:val="left"/>
    </w:lvl>
  </w:abstractNum>
  <w:abstractNum w:abstractNumId="1" w15:restartNumberingAfterBreak="0">
    <w:nsid w:val="08FE169D"/>
    <w:multiLevelType w:val="multilevel"/>
    <w:tmpl w:val="6FE4E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B3388"/>
    <w:multiLevelType w:val="hybridMultilevel"/>
    <w:tmpl w:val="00000000"/>
    <w:lvl w:ilvl="0" w:tplc="00089EB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E872184E">
      <w:start w:val="1"/>
      <w:numFmt w:val="decimal"/>
      <w:lvlText w:val=""/>
      <w:lvlJc w:val="left"/>
    </w:lvl>
    <w:lvl w:ilvl="2" w:tplc="BFEC694E">
      <w:start w:val="1"/>
      <w:numFmt w:val="decimal"/>
      <w:lvlText w:val=""/>
      <w:lvlJc w:val="left"/>
    </w:lvl>
    <w:lvl w:ilvl="3" w:tplc="522840E2">
      <w:start w:val="1"/>
      <w:numFmt w:val="decimal"/>
      <w:lvlText w:val=""/>
      <w:lvlJc w:val="left"/>
    </w:lvl>
    <w:lvl w:ilvl="4" w:tplc="870E9F80">
      <w:start w:val="1"/>
      <w:numFmt w:val="decimal"/>
      <w:lvlText w:val=""/>
      <w:lvlJc w:val="left"/>
    </w:lvl>
    <w:lvl w:ilvl="5" w:tplc="9E828CE4">
      <w:start w:val="1"/>
      <w:numFmt w:val="decimal"/>
      <w:lvlText w:val=""/>
      <w:lvlJc w:val="left"/>
    </w:lvl>
    <w:lvl w:ilvl="6" w:tplc="8EF85EE4">
      <w:start w:val="1"/>
      <w:numFmt w:val="decimal"/>
      <w:lvlText w:val=""/>
      <w:lvlJc w:val="left"/>
    </w:lvl>
    <w:lvl w:ilvl="7" w:tplc="D9D6A7A8">
      <w:start w:val="1"/>
      <w:numFmt w:val="decimal"/>
      <w:lvlText w:val=""/>
      <w:lvlJc w:val="left"/>
    </w:lvl>
    <w:lvl w:ilvl="8" w:tplc="7F80F70C">
      <w:start w:val="1"/>
      <w:numFmt w:val="decimal"/>
      <w:lvlText w:val=""/>
      <w:lvlJc w:val="left"/>
    </w:lvl>
  </w:abstractNum>
  <w:abstractNum w:abstractNumId="3" w15:restartNumberingAfterBreak="0">
    <w:nsid w:val="0D465B5B"/>
    <w:multiLevelType w:val="hybridMultilevel"/>
    <w:tmpl w:val="1C10D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8DEC"/>
    <w:multiLevelType w:val="hybridMultilevel"/>
    <w:tmpl w:val="00000000"/>
    <w:lvl w:ilvl="0" w:tplc="D4FA296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A9D614D2">
      <w:start w:val="1"/>
      <w:numFmt w:val="decimal"/>
      <w:lvlText w:val=""/>
      <w:lvlJc w:val="left"/>
    </w:lvl>
    <w:lvl w:ilvl="2" w:tplc="2EB2DAB4">
      <w:start w:val="1"/>
      <w:numFmt w:val="decimal"/>
      <w:lvlText w:val=""/>
      <w:lvlJc w:val="left"/>
    </w:lvl>
    <w:lvl w:ilvl="3" w:tplc="BB60C686">
      <w:start w:val="1"/>
      <w:numFmt w:val="decimal"/>
      <w:lvlText w:val=""/>
      <w:lvlJc w:val="left"/>
    </w:lvl>
    <w:lvl w:ilvl="4" w:tplc="A2A4FCE4">
      <w:start w:val="1"/>
      <w:numFmt w:val="decimal"/>
      <w:lvlText w:val=""/>
      <w:lvlJc w:val="left"/>
    </w:lvl>
    <w:lvl w:ilvl="5" w:tplc="4C663410">
      <w:start w:val="1"/>
      <w:numFmt w:val="decimal"/>
      <w:lvlText w:val=""/>
      <w:lvlJc w:val="left"/>
    </w:lvl>
    <w:lvl w:ilvl="6" w:tplc="CDC218EE">
      <w:start w:val="1"/>
      <w:numFmt w:val="decimal"/>
      <w:lvlText w:val=""/>
      <w:lvlJc w:val="left"/>
    </w:lvl>
    <w:lvl w:ilvl="7" w:tplc="A852F3A6">
      <w:start w:val="1"/>
      <w:numFmt w:val="decimal"/>
      <w:lvlText w:val=""/>
      <w:lvlJc w:val="left"/>
    </w:lvl>
    <w:lvl w:ilvl="8" w:tplc="A8AC78E8">
      <w:start w:val="1"/>
      <w:numFmt w:val="decimal"/>
      <w:lvlText w:val=""/>
      <w:lvlJc w:val="left"/>
    </w:lvl>
  </w:abstractNum>
  <w:abstractNum w:abstractNumId="5" w15:restartNumberingAfterBreak="0">
    <w:nsid w:val="18010205"/>
    <w:multiLevelType w:val="multilevel"/>
    <w:tmpl w:val="3D00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88211A"/>
    <w:multiLevelType w:val="hybridMultilevel"/>
    <w:tmpl w:val="00000000"/>
    <w:lvl w:ilvl="0" w:tplc="51406F9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D86E81BC">
      <w:start w:val="1"/>
      <w:numFmt w:val="decimal"/>
      <w:lvlText w:val=""/>
      <w:lvlJc w:val="left"/>
    </w:lvl>
    <w:lvl w:ilvl="2" w:tplc="9D625886">
      <w:start w:val="1"/>
      <w:numFmt w:val="decimal"/>
      <w:lvlText w:val=""/>
      <w:lvlJc w:val="left"/>
    </w:lvl>
    <w:lvl w:ilvl="3" w:tplc="9028EF50">
      <w:start w:val="1"/>
      <w:numFmt w:val="decimal"/>
      <w:lvlText w:val=""/>
      <w:lvlJc w:val="left"/>
    </w:lvl>
    <w:lvl w:ilvl="4" w:tplc="62A25F30">
      <w:start w:val="1"/>
      <w:numFmt w:val="decimal"/>
      <w:lvlText w:val=""/>
      <w:lvlJc w:val="left"/>
    </w:lvl>
    <w:lvl w:ilvl="5" w:tplc="3F82C616">
      <w:start w:val="1"/>
      <w:numFmt w:val="decimal"/>
      <w:lvlText w:val=""/>
      <w:lvlJc w:val="left"/>
    </w:lvl>
    <w:lvl w:ilvl="6" w:tplc="F20072AC">
      <w:start w:val="1"/>
      <w:numFmt w:val="decimal"/>
      <w:lvlText w:val=""/>
      <w:lvlJc w:val="left"/>
    </w:lvl>
    <w:lvl w:ilvl="7" w:tplc="A270368C">
      <w:start w:val="1"/>
      <w:numFmt w:val="decimal"/>
      <w:lvlText w:val=""/>
      <w:lvlJc w:val="left"/>
    </w:lvl>
    <w:lvl w:ilvl="8" w:tplc="277415E4">
      <w:start w:val="1"/>
      <w:numFmt w:val="decimal"/>
      <w:lvlText w:val=""/>
      <w:lvlJc w:val="left"/>
    </w:lvl>
  </w:abstractNum>
  <w:abstractNum w:abstractNumId="7" w15:restartNumberingAfterBreak="0">
    <w:nsid w:val="20D13C3A"/>
    <w:multiLevelType w:val="multilevel"/>
    <w:tmpl w:val="6FAC9F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64306"/>
    <w:multiLevelType w:val="hybridMultilevel"/>
    <w:tmpl w:val="00000000"/>
    <w:lvl w:ilvl="0" w:tplc="F8463DB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53E87940">
      <w:start w:val="1"/>
      <w:numFmt w:val="decimal"/>
      <w:lvlText w:val=""/>
      <w:lvlJc w:val="left"/>
    </w:lvl>
    <w:lvl w:ilvl="2" w:tplc="128E2778">
      <w:start w:val="1"/>
      <w:numFmt w:val="decimal"/>
      <w:lvlText w:val=""/>
      <w:lvlJc w:val="left"/>
    </w:lvl>
    <w:lvl w:ilvl="3" w:tplc="9C5C1B46">
      <w:start w:val="1"/>
      <w:numFmt w:val="decimal"/>
      <w:lvlText w:val=""/>
      <w:lvlJc w:val="left"/>
    </w:lvl>
    <w:lvl w:ilvl="4" w:tplc="B93CBED6">
      <w:start w:val="1"/>
      <w:numFmt w:val="decimal"/>
      <w:lvlText w:val=""/>
      <w:lvlJc w:val="left"/>
    </w:lvl>
    <w:lvl w:ilvl="5" w:tplc="882CA768">
      <w:start w:val="1"/>
      <w:numFmt w:val="decimal"/>
      <w:lvlText w:val=""/>
      <w:lvlJc w:val="left"/>
    </w:lvl>
    <w:lvl w:ilvl="6" w:tplc="C6181492">
      <w:start w:val="1"/>
      <w:numFmt w:val="decimal"/>
      <w:lvlText w:val=""/>
      <w:lvlJc w:val="left"/>
    </w:lvl>
    <w:lvl w:ilvl="7" w:tplc="9662D8BE">
      <w:start w:val="1"/>
      <w:numFmt w:val="decimal"/>
      <w:lvlText w:val=""/>
      <w:lvlJc w:val="left"/>
    </w:lvl>
    <w:lvl w:ilvl="8" w:tplc="9AC4E73C">
      <w:start w:val="1"/>
      <w:numFmt w:val="decimal"/>
      <w:lvlText w:val=""/>
      <w:lvlJc w:val="left"/>
    </w:lvl>
  </w:abstractNum>
  <w:abstractNum w:abstractNumId="9" w15:restartNumberingAfterBreak="0">
    <w:nsid w:val="270811E9"/>
    <w:multiLevelType w:val="multilevel"/>
    <w:tmpl w:val="632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0332A"/>
    <w:multiLevelType w:val="multilevel"/>
    <w:tmpl w:val="1C24E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EE0366"/>
    <w:multiLevelType w:val="multilevel"/>
    <w:tmpl w:val="26EED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615B81"/>
    <w:multiLevelType w:val="multilevel"/>
    <w:tmpl w:val="4006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5D0B1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14" w15:restartNumberingAfterBreak="0">
    <w:nsid w:val="49451B43"/>
    <w:multiLevelType w:val="multilevel"/>
    <w:tmpl w:val="2922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38295F"/>
    <w:multiLevelType w:val="multilevel"/>
    <w:tmpl w:val="C952E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7F66E9"/>
    <w:multiLevelType w:val="multilevel"/>
    <w:tmpl w:val="7CA4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F55C45"/>
    <w:multiLevelType w:val="multilevel"/>
    <w:tmpl w:val="28A6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44FDE"/>
    <w:multiLevelType w:val="multilevel"/>
    <w:tmpl w:val="790E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109651"/>
    <w:multiLevelType w:val="hybridMultilevel"/>
    <w:tmpl w:val="00000000"/>
    <w:lvl w:ilvl="0" w:tplc="8EB40D2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F2847CCE">
      <w:start w:val="1"/>
      <w:numFmt w:val="decimal"/>
      <w:lvlText w:val=""/>
      <w:lvlJc w:val="left"/>
    </w:lvl>
    <w:lvl w:ilvl="2" w:tplc="927AB712">
      <w:start w:val="1"/>
      <w:numFmt w:val="decimal"/>
      <w:lvlText w:val=""/>
      <w:lvlJc w:val="left"/>
    </w:lvl>
    <w:lvl w:ilvl="3" w:tplc="E4041168">
      <w:start w:val="1"/>
      <w:numFmt w:val="decimal"/>
      <w:lvlText w:val=""/>
      <w:lvlJc w:val="left"/>
    </w:lvl>
    <w:lvl w:ilvl="4" w:tplc="12B6148A">
      <w:start w:val="1"/>
      <w:numFmt w:val="decimal"/>
      <w:lvlText w:val=""/>
      <w:lvlJc w:val="left"/>
    </w:lvl>
    <w:lvl w:ilvl="5" w:tplc="5A1C5CBE">
      <w:start w:val="1"/>
      <w:numFmt w:val="decimal"/>
      <w:lvlText w:val=""/>
      <w:lvlJc w:val="left"/>
    </w:lvl>
    <w:lvl w:ilvl="6" w:tplc="4A307C3E">
      <w:start w:val="1"/>
      <w:numFmt w:val="decimal"/>
      <w:lvlText w:val=""/>
      <w:lvlJc w:val="left"/>
    </w:lvl>
    <w:lvl w:ilvl="7" w:tplc="DF323770">
      <w:start w:val="1"/>
      <w:numFmt w:val="decimal"/>
      <w:lvlText w:val=""/>
      <w:lvlJc w:val="left"/>
    </w:lvl>
    <w:lvl w:ilvl="8" w:tplc="1B2A7B28">
      <w:start w:val="1"/>
      <w:numFmt w:val="decimal"/>
      <w:lvlText w:val=""/>
      <w:lvlJc w:val="left"/>
    </w:lvl>
  </w:abstractNum>
  <w:abstractNum w:abstractNumId="20" w15:restartNumberingAfterBreak="0">
    <w:nsid w:val="7AB85B36"/>
    <w:multiLevelType w:val="hybridMultilevel"/>
    <w:tmpl w:val="00000000"/>
    <w:lvl w:ilvl="0" w:tplc="7A9888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4B404892">
      <w:start w:val="1"/>
      <w:numFmt w:val="decimal"/>
      <w:lvlText w:val=""/>
      <w:lvlJc w:val="left"/>
    </w:lvl>
    <w:lvl w:ilvl="2" w:tplc="6B4A6744">
      <w:start w:val="1"/>
      <w:numFmt w:val="decimal"/>
      <w:lvlText w:val=""/>
      <w:lvlJc w:val="left"/>
    </w:lvl>
    <w:lvl w:ilvl="3" w:tplc="192065D0">
      <w:start w:val="1"/>
      <w:numFmt w:val="decimal"/>
      <w:lvlText w:val=""/>
      <w:lvlJc w:val="left"/>
    </w:lvl>
    <w:lvl w:ilvl="4" w:tplc="70723ED6">
      <w:start w:val="1"/>
      <w:numFmt w:val="decimal"/>
      <w:lvlText w:val=""/>
      <w:lvlJc w:val="left"/>
    </w:lvl>
    <w:lvl w:ilvl="5" w:tplc="1A9C2456">
      <w:start w:val="1"/>
      <w:numFmt w:val="decimal"/>
      <w:lvlText w:val=""/>
      <w:lvlJc w:val="left"/>
    </w:lvl>
    <w:lvl w:ilvl="6" w:tplc="6F88326C">
      <w:start w:val="1"/>
      <w:numFmt w:val="decimal"/>
      <w:lvlText w:val=""/>
      <w:lvlJc w:val="left"/>
    </w:lvl>
    <w:lvl w:ilvl="7" w:tplc="BE569D6E">
      <w:start w:val="1"/>
      <w:numFmt w:val="decimal"/>
      <w:lvlText w:val=""/>
      <w:lvlJc w:val="left"/>
    </w:lvl>
    <w:lvl w:ilvl="8" w:tplc="1640E60E">
      <w:start w:val="1"/>
      <w:numFmt w:val="decimal"/>
      <w:lvlText w:val=""/>
      <w:lvlJc w:val="left"/>
    </w:lvl>
  </w:abstractNum>
  <w:abstractNum w:abstractNumId="21" w15:restartNumberingAfterBreak="0">
    <w:nsid w:val="7ACA7870"/>
    <w:multiLevelType w:val="multilevel"/>
    <w:tmpl w:val="6CCE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7E9EEC"/>
    <w:multiLevelType w:val="multilevel"/>
    <w:tmpl w:val="0000000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3" w15:restartNumberingAfterBreak="0">
    <w:nsid w:val="7DABC279"/>
    <w:multiLevelType w:val="hybridMultilevel"/>
    <w:tmpl w:val="00000000"/>
    <w:lvl w:ilvl="0" w:tplc="A9D040C2">
      <w:start w:val="1"/>
      <w:numFmt w:val="decimal"/>
      <w:lvlText w:val=""/>
      <w:lvlJc w:val="left"/>
      <w:pPr>
        <w:ind w:left="760" w:hanging="360"/>
      </w:pPr>
      <w:rPr>
        <w:rFonts w:ascii="Wingdings" w:eastAsia="Wingdings" w:hAnsi="Wingdings" w:cs="Wingdings"/>
      </w:rPr>
    </w:lvl>
    <w:lvl w:ilvl="1" w:tplc="B47C73D4">
      <w:start w:val="1"/>
      <w:numFmt w:val="decimal"/>
      <w:lvlText w:val=""/>
      <w:lvlJc w:val="left"/>
    </w:lvl>
    <w:lvl w:ilvl="2" w:tplc="2008148C">
      <w:start w:val="1"/>
      <w:numFmt w:val="decimal"/>
      <w:lvlText w:val=""/>
      <w:lvlJc w:val="left"/>
    </w:lvl>
    <w:lvl w:ilvl="3" w:tplc="8182C0FE">
      <w:start w:val="1"/>
      <w:numFmt w:val="decimal"/>
      <w:lvlText w:val=""/>
      <w:lvlJc w:val="left"/>
    </w:lvl>
    <w:lvl w:ilvl="4" w:tplc="682832FE">
      <w:start w:val="1"/>
      <w:numFmt w:val="decimal"/>
      <w:lvlText w:val=""/>
      <w:lvlJc w:val="left"/>
    </w:lvl>
    <w:lvl w:ilvl="5" w:tplc="89E45ABE">
      <w:start w:val="1"/>
      <w:numFmt w:val="decimal"/>
      <w:lvlText w:val=""/>
      <w:lvlJc w:val="left"/>
    </w:lvl>
    <w:lvl w:ilvl="6" w:tplc="8D2AF554">
      <w:start w:val="1"/>
      <w:numFmt w:val="decimal"/>
      <w:lvlText w:val=""/>
      <w:lvlJc w:val="left"/>
    </w:lvl>
    <w:lvl w:ilvl="7" w:tplc="5B961E12">
      <w:start w:val="1"/>
      <w:numFmt w:val="decimal"/>
      <w:lvlText w:val=""/>
      <w:lvlJc w:val="left"/>
    </w:lvl>
    <w:lvl w:ilvl="8" w:tplc="F13AF0B4">
      <w:start w:val="1"/>
      <w:numFmt w:val="decimal"/>
      <w:lvlText w:val=""/>
      <w:lvlJc w:val="left"/>
    </w:lvl>
  </w:abstractNum>
  <w:abstractNum w:abstractNumId="24" w15:restartNumberingAfterBreak="0">
    <w:nsid w:val="7FF22BFC"/>
    <w:multiLevelType w:val="multilevel"/>
    <w:tmpl w:val="3592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97474268">
    <w:abstractNumId w:val="13"/>
  </w:num>
  <w:num w:numId="2" w16cid:durableId="1667394497">
    <w:abstractNumId w:val="8"/>
  </w:num>
  <w:num w:numId="3" w16cid:durableId="1941721398">
    <w:abstractNumId w:val="20"/>
  </w:num>
  <w:num w:numId="4" w16cid:durableId="578640055">
    <w:abstractNumId w:val="2"/>
  </w:num>
  <w:num w:numId="5" w16cid:durableId="1270505711">
    <w:abstractNumId w:val="6"/>
  </w:num>
  <w:num w:numId="6" w16cid:durableId="602421230">
    <w:abstractNumId w:val="0"/>
  </w:num>
  <w:num w:numId="7" w16cid:durableId="373430094">
    <w:abstractNumId w:val="19"/>
  </w:num>
  <w:num w:numId="8" w16cid:durableId="386801804">
    <w:abstractNumId w:val="22"/>
  </w:num>
  <w:num w:numId="9" w16cid:durableId="762727970">
    <w:abstractNumId w:val="4"/>
  </w:num>
  <w:num w:numId="10" w16cid:durableId="1660034423">
    <w:abstractNumId w:val="23"/>
  </w:num>
  <w:num w:numId="11" w16cid:durableId="1027219913">
    <w:abstractNumId w:val="18"/>
  </w:num>
  <w:num w:numId="12" w16cid:durableId="341976983">
    <w:abstractNumId w:val="3"/>
  </w:num>
  <w:num w:numId="13" w16cid:durableId="1464998576">
    <w:abstractNumId w:val="12"/>
  </w:num>
  <w:num w:numId="14" w16cid:durableId="2095123342">
    <w:abstractNumId w:val="14"/>
  </w:num>
  <w:num w:numId="15" w16cid:durableId="1828548038">
    <w:abstractNumId w:val="21"/>
  </w:num>
  <w:num w:numId="16" w16cid:durableId="109397493">
    <w:abstractNumId w:val="5"/>
  </w:num>
  <w:num w:numId="17" w16cid:durableId="1476677191">
    <w:abstractNumId w:val="24"/>
  </w:num>
  <w:num w:numId="18" w16cid:durableId="2041927727">
    <w:abstractNumId w:val="16"/>
  </w:num>
  <w:num w:numId="19" w16cid:durableId="287129125">
    <w:abstractNumId w:val="15"/>
  </w:num>
  <w:num w:numId="20" w16cid:durableId="214893443">
    <w:abstractNumId w:val="17"/>
  </w:num>
  <w:num w:numId="21" w16cid:durableId="1109815902">
    <w:abstractNumId w:val="9"/>
  </w:num>
  <w:num w:numId="22" w16cid:durableId="1595282697">
    <w:abstractNumId w:val="11"/>
  </w:num>
  <w:num w:numId="23" w16cid:durableId="1792624451">
    <w:abstractNumId w:val="10"/>
  </w:num>
  <w:num w:numId="24" w16cid:durableId="443615748">
    <w:abstractNumId w:val="1"/>
  </w:num>
  <w:num w:numId="25" w16cid:durableId="1532105502">
    <w:abstractNumId w:val="7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0E4"/>
    <w:pPr>
      <w:spacing w:line="480" w:lineRule="auto"/>
    </w:pPr>
    <w:rPr>
      <w:rFonts w:ascii="Times New Roman" w:hAnsi="Times New Roman" w:eastAsia="Times New Roman" w:cs="Times New Roman"/>
      <w:sz w:val="24"/>
    </w:rPr>
  </w:style>
  <w:style w:type="paragraph" w:styleId="1">
    <w:name w:val="heading 1"/>
    <w:basedOn w:val="a"/>
    <w:next w:val="a"/>
    <w:qFormat/>
    <w:pPr>
      <w:keepNext/>
      <w:spacing w:line="480" w:lineRule="auto"/>
      <w:outlineLvl w:val="0"/>
    </w:pPr>
    <w:rPr>
      <w:rFonts w:ascii="Times New Roman" w:eastAsia="Times New Roman" w:hAnsi="Times New Roman" w:cs="Times New Roman"/>
      <w:b/>
      <w:sz w:val="24"/>
    </w:rPr>
  </w:style>
  <w:style w:type="paragraph" w:styleId="2">
    <w:name w:val="heading 2"/>
    <w:basedOn w:val="a"/>
    <w:next w:val="a"/>
    <w:qFormat/>
    <w:pPr>
      <w:keepNext/>
      <w:spacing w:line="480" w:lineRule="auto"/>
      <w:outlineLvl w:val="1"/>
    </w:pPr>
    <w:rPr>
      <w:rFonts w:ascii="Times New Roman" w:eastAsia="Times New Roman" w:hAnsi="Times New Roman" w:cs="Times New Roman"/>
      <w:b/>
      <w:sz w:val="24"/>
    </w:rPr>
  </w:style>
  <w:style w:type="paragraph" w:styleId="4">
    <w:name w:val="heading 4"/>
    <w:basedOn w:val="a"/>
    <w:next w:val="a"/>
    <w:pPr>
      <w:keepNext/>
      <w:keepLines/>
      <w:spacing w:before="40" w:line="480" w:lineRule="auto"/>
      <w:outlineLvl w:val="3"/>
    </w:pPr>
    <w:rPr>
      <w:rFonts w:ascii="Times New Roman" w:eastAsia="Times New Roman" w:hAnsi="Times New Roman" w:cs="Times New Roman"/>
      <w:b/>
      <w:i/>
      <w:sz w:val="24"/>
    </w:rPr>
  </w:style>
  <w:style w:type="paragraph" w:styleId="5">
    <w:name w:val="heading 5"/>
    <w:basedOn w:val="a"/>
    <w:next w:val="a"/>
    <w:pPr>
      <w:keepNext/>
      <w:keepLines/>
      <w:spacing w:before="40"/>
      <w:outlineLvl w:val="4"/>
    </w:pPr>
    <w:rPr>
      <w:rFonts w:ascii="Calibri Light" w:eastAsia="Calibri Light" w:hAnsi="Calibri Light" w:cs="Calibri Light"/>
      <w:color w:val="2F549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customStyle="1" w:styleId="EndNoteBibliographyTitle">
    <w:name w:val="EndNote Bibliography Title"/>
    <w:basedOn w:val="a"/>
    <w:qFormat/>
    <w:pPr>
      <w:jc w:val="center"/>
    </w:pPr>
    <w:rPr>
      <w:rFonts w:ascii="Calibri" w:eastAsia="Calibri" w:hAnsi="Calibri" w:cs="Calibri"/>
    </w:rPr>
  </w:style>
  <w:style w:type="paragraph" w:customStyle="1" w:styleId="EndNoteBibliography">
    <w:name w:val="EndNote Bibliography"/>
    <w:basedOn w:val="a"/>
    <w:pPr>
      <w:spacing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pPr>
      <w:ind w:left="800"/>
    </w:pPr>
  </w:style>
  <w:style w:type="paragraph" w:styleId="a5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6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7">
    <w:name w:val="Hyperlink"/>
    <w:basedOn w:val="a0"/>
    <w:rPr>
      <w:color w:val="0563C1"/>
      <w:u w:val="single"/>
    </w:rPr>
  </w:style>
  <w:style w:type="character" w:styleId="a8">
    <w:name w:val="Unresolved Mention"/>
    <w:basedOn w:val="a0"/>
    <w:rPr>
      <w:color w:val="605E5C"/>
    </w:rPr>
  </w:style>
  <w:style w:type="character" w:styleId="a9">
    <w:name w:val="FollowedHyperlink"/>
    <w:basedOn w:val="a0"/>
    <w:rPr>
      <w:color w:val="954F72"/>
      <w:u w:val="single"/>
    </w:rPr>
  </w:style>
  <w:style w:type="paragraph" w:styleId="aa">
    <w:name w:val="Normal (Web)"/>
    <w:basedOn w:val="a"/>
    <w:uiPriority w:val="99"/>
    <w:qFormat/>
    <w:rPr>
      <w:rFonts w:ascii="Times New Roman" w:eastAsia="Times New Roman" w:hAnsi="Times New Roman" w:cs="Times New Roman"/>
      <w:sz w:val="24"/>
    </w:rPr>
  </w:style>
  <w:style w:type="paragraph" w:styleId="ab">
    <w:name w:val="Revision"/>
    <w:pPr>
      <w:spacing w:line="240" w:lineRule="auto"/>
      <w:jc w:val="left"/>
    </w:pPr>
  </w:style>
  <w:style w:type="character" w:styleId="ac">
    <w:name w:val="annotation reference"/>
    <w:basedOn w:val="a0"/>
    <w:rPr>
      <w:sz w:val="16"/>
    </w:rPr>
  </w:style>
  <w:style w:type="paragraph" w:styleId="ad">
    <w:name w:val="annotation text"/>
    <w:basedOn w:val="a"/>
    <w:pPr>
      <w:spacing w:line="240" w:lineRule="auto"/>
    </w:pPr>
  </w:style>
  <w:style w:type="paragraph" w:styleId="ae">
    <w:name w:val="annotation subject"/>
    <w:basedOn w:val="ad"/>
    <w:rPr>
      <w:b/>
    </w:rPr>
  </w:style>
  <w:style w:type="paragraph" w:styleId="af">
    <w:name w:val="Balloon Text"/>
    <w:basedOn w:val="a"/>
    <w:pPr>
      <w:spacing w:line="240" w:lineRule="auto"/>
    </w:pPr>
    <w:rPr>
      <w:rFonts w:ascii="Segoe UI" w:eastAsia="Segoe UI" w:hAnsi="Segoe UI" w:cs="Segoe UI"/>
      <w:sz w:val="18"/>
    </w:rPr>
  </w:style>
  <w:style w:type="paragraph" w:styleId="HTML">
    <w:name w:val="HTML Preformatted"/>
    <w:basedOn w:val="a"/>
    <w:rPr>
      <w:rFonts w:ascii="Courier New" w:eastAsia="Courier New" w:hAnsi="Courier New" w:cs="Courier New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styleId="af0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TableList">
    <w:name w:val="Table List"/>
    <w:basedOn w:val="a"/>
    <w:pPr>
      <w:ind w:left="300" w:hanging="300"/>
      <w:jc w:val="left"/>
    </w:p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3">
    <w:name w:val="line number"/>
    <w:basedOn w:val="a0"/>
    <w:uiPriority w:val="99"/>
    <w:rsid w:val="00C94B6A"/>
  </w:style>
  <w:style w:type="character" w:styleId="af4">
    <w:name w:val="page number"/>
    <w:basedOn w:val="a0"/>
    <w:uiPriority w:val="99"/>
    <w:rsid w:val="00C94B6A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6529</Words>
  <Characters>37219</Characters>
  <Application>Microsoft Office Word</Application>
  <DocSecurity>0</DocSecurity>
  <Lines>310</Lines>
  <Paragraphs>87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2026-05-10T15:44:12Z</dcterms:created>
  <dcterms:modified xsi:type="dcterms:W3CDTF">2026-05-10T15:44:12Z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