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9815D0" w14:textId="77777777" w:rsidR="00A12AD8" w:rsidRPr="00CD4025" w:rsidRDefault="00000000">
      <w:pPr>
        <w:spacing w:after="80"/>
        <w:rPr>
          <w:sz w:val="28"/>
          <w:szCs w:val="28"/>
        </w:rPr>
      </w:pPr>
      <w:r w:rsidRPr="00CD4025">
        <w:rPr>
          <w:rFonts w:eastAsia="Times New Roman"/>
          <w:b/>
          <w:bCs/>
          <w:sz w:val="28"/>
          <w:szCs w:val="28"/>
        </w:rPr>
        <w:t>Supplementary Material</w:t>
      </w:r>
    </w:p>
    <w:p w14:paraId="12898F54" w14:textId="77777777" w:rsidR="00A12AD8" w:rsidRPr="00CD4025" w:rsidRDefault="00000000">
      <w:pPr>
        <w:spacing w:after="200"/>
        <w:rPr>
          <w:sz w:val="28"/>
          <w:szCs w:val="28"/>
        </w:rPr>
      </w:pPr>
      <w:r w:rsidRPr="00CD4025">
        <w:rPr>
          <w:rFonts w:eastAsia="Times New Roman"/>
          <w:i/>
          <w:iCs/>
          <w:sz w:val="28"/>
          <w:szCs w:val="28"/>
        </w:rPr>
        <w:t xml:space="preserve">Early Prediction of Clinical Deterioration in Older Adults </w:t>
      </w:r>
      <w:proofErr w:type="gramStart"/>
      <w:r w:rsidRPr="00CD4025">
        <w:rPr>
          <w:rFonts w:eastAsia="Times New Roman"/>
          <w:i/>
          <w:iCs/>
          <w:sz w:val="28"/>
          <w:szCs w:val="28"/>
        </w:rPr>
        <w:t>With</w:t>
      </w:r>
      <w:proofErr w:type="gramEnd"/>
      <w:r w:rsidRPr="00CD4025">
        <w:rPr>
          <w:rFonts w:eastAsia="Times New Roman"/>
          <w:i/>
          <w:iCs/>
          <w:sz w:val="28"/>
          <w:szCs w:val="28"/>
        </w:rPr>
        <w:t xml:space="preserve"> Suspected Infection Admitted </w:t>
      </w:r>
      <w:proofErr w:type="gramStart"/>
      <w:r w:rsidRPr="00CD4025">
        <w:rPr>
          <w:rFonts w:eastAsia="Times New Roman"/>
          <w:i/>
          <w:iCs/>
          <w:sz w:val="28"/>
          <w:szCs w:val="28"/>
        </w:rPr>
        <w:t>From</w:t>
      </w:r>
      <w:proofErr w:type="gramEnd"/>
      <w:r w:rsidRPr="00CD4025">
        <w:rPr>
          <w:rFonts w:eastAsia="Times New Roman"/>
          <w:i/>
          <w:iCs/>
          <w:sz w:val="28"/>
          <w:szCs w:val="28"/>
        </w:rPr>
        <w:t xml:space="preserve"> the Emergency Department to General Wards: A Multicenter Machine Learning Study</w:t>
      </w:r>
    </w:p>
    <w:p w14:paraId="424C36EC" w14:textId="77777777" w:rsidR="00A12AD8" w:rsidRPr="00CD4025" w:rsidRDefault="00000000">
      <w:pPr>
        <w:spacing w:before="60" w:after="60"/>
        <w:rPr>
          <w:sz w:val="28"/>
          <w:szCs w:val="28"/>
        </w:rPr>
      </w:pPr>
      <w:r w:rsidRPr="00CD4025">
        <w:rPr>
          <w:rFonts w:eastAsia="Times New Roman"/>
          <w:b/>
          <w:bCs/>
          <w:sz w:val="28"/>
          <w:szCs w:val="28"/>
        </w:rPr>
        <w:t>Contents:</w:t>
      </w:r>
    </w:p>
    <w:p w14:paraId="00E3D86D" w14:textId="77777777" w:rsidR="00A12AD8" w:rsidRPr="00CD4025" w:rsidRDefault="00000000">
      <w:pPr>
        <w:spacing w:after="20"/>
        <w:rPr>
          <w:sz w:val="28"/>
          <w:szCs w:val="28"/>
        </w:rPr>
      </w:pPr>
      <w:r w:rsidRPr="00CD4025">
        <w:rPr>
          <w:rFonts w:eastAsia="Times New Roman"/>
          <w:sz w:val="28"/>
          <w:szCs w:val="28"/>
        </w:rPr>
        <w:t>Table S1. TRIPOD+AI reporting checklist</w:t>
      </w:r>
    </w:p>
    <w:p w14:paraId="3FF27529" w14:textId="77777777" w:rsidR="00A12AD8" w:rsidRPr="00CD4025" w:rsidRDefault="00000000">
      <w:pPr>
        <w:spacing w:after="20"/>
        <w:rPr>
          <w:sz w:val="28"/>
          <w:szCs w:val="28"/>
        </w:rPr>
      </w:pPr>
      <w:r w:rsidRPr="00CD4025">
        <w:rPr>
          <w:rFonts w:eastAsia="Times New Roman"/>
          <w:sz w:val="28"/>
          <w:szCs w:val="28"/>
        </w:rPr>
        <w:t>Table S2. Proportion of missing values per variable</w:t>
      </w:r>
    </w:p>
    <w:p w14:paraId="53857C23" w14:textId="77777777" w:rsidR="00A12AD8" w:rsidRPr="00CD4025" w:rsidRDefault="00000000">
      <w:pPr>
        <w:spacing w:after="20"/>
        <w:rPr>
          <w:sz w:val="28"/>
          <w:szCs w:val="28"/>
        </w:rPr>
      </w:pPr>
      <w:r w:rsidRPr="00CD4025">
        <w:rPr>
          <w:rFonts w:eastAsia="Times New Roman"/>
          <w:sz w:val="28"/>
          <w:szCs w:val="28"/>
        </w:rPr>
        <w:t>Table S3. Model performance at clinically defined operating thresholds</w:t>
      </w:r>
    </w:p>
    <w:p w14:paraId="42F832A4" w14:textId="77777777" w:rsidR="00A12AD8" w:rsidRPr="00CD4025" w:rsidRDefault="00000000">
      <w:pPr>
        <w:spacing w:after="20"/>
        <w:rPr>
          <w:sz w:val="28"/>
          <w:szCs w:val="28"/>
        </w:rPr>
      </w:pPr>
      <w:r w:rsidRPr="00CD4025">
        <w:rPr>
          <w:rFonts w:eastAsia="Times New Roman"/>
          <w:sz w:val="28"/>
          <w:szCs w:val="28"/>
        </w:rPr>
        <w:t>Table S4. Proposed risk tiers and illustrative clinical actions</w:t>
      </w:r>
    </w:p>
    <w:p w14:paraId="254DD9D0" w14:textId="77777777" w:rsidR="00A12AD8" w:rsidRDefault="00000000">
      <w:pPr>
        <w:spacing w:after="20"/>
        <w:rPr>
          <w:sz w:val="28"/>
        </w:rPr>
      </w:pPr>
      <w:r>
        <w:rPr>
          <w:sz w:val="28"/>
        </w:rPr>
        <w:t>Table S5. Cumulative proportion of composite events within increasing time windows after ward admission (blanking-period sensitivity analysis)</w:t>
      </w:r>
    </w:p>
    <w:p w14:paraId="37CF1807" w14:textId="77777777" w:rsidR="00081674" w:rsidRDefault="00081674" w:rsidP="00081674">
      <w:pPr>
        <w:spacing w:after="20"/>
        <w:rPr>
          <w:rFonts w:eastAsia="Times New Roman"/>
          <w:sz w:val="28"/>
          <w:szCs w:val="28"/>
        </w:rPr>
      </w:pPr>
      <w:r w:rsidRPr="00CD4025">
        <w:rPr>
          <w:rFonts w:eastAsia="Times New Roman"/>
          <w:sz w:val="28"/>
          <w:szCs w:val="28"/>
        </w:rPr>
        <w:t>Figure S1. Decision-curve analysis</w:t>
      </w:r>
    </w:p>
    <w:p w14:paraId="3CF35843" w14:textId="77777777" w:rsidR="00081674" w:rsidRDefault="00081674">
      <w:pPr>
        <w:spacing w:after="20"/>
        <w:rPr>
          <w:rFonts w:eastAsia="Times New Roman"/>
          <w:sz w:val="28"/>
          <w:szCs w:val="28"/>
        </w:rPr>
      </w:pPr>
    </w:p>
    <w:p w14:paraId="578B3CF6" w14:textId="77777777" w:rsidR="00081674" w:rsidRDefault="00CD4025" w:rsidP="00081674">
      <w:pPr>
        <w:widowControl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14:paraId="2A7D7200" w14:textId="7A52DA3D" w:rsidR="00A12AD8" w:rsidRPr="00081674" w:rsidRDefault="00000000" w:rsidP="00081674">
      <w:pPr>
        <w:widowControl/>
        <w:rPr>
          <w:rFonts w:eastAsia="Times New Roman"/>
          <w:sz w:val="28"/>
          <w:szCs w:val="28"/>
        </w:rPr>
      </w:pPr>
      <w:r w:rsidRPr="00CD4025">
        <w:rPr>
          <w:rFonts w:eastAsia="Times New Roman"/>
          <w:b/>
          <w:bCs/>
          <w:color w:val="1F3864"/>
          <w:sz w:val="24"/>
          <w:szCs w:val="24"/>
        </w:rPr>
        <w:lastRenderedPageBreak/>
        <w:t>Table S1. TRIPOD+AI reporting checklist</w:t>
      </w:r>
    </w:p>
    <w:p w14:paraId="4F374F49" w14:textId="77777777" w:rsidR="0072485C" w:rsidRPr="00CD4025" w:rsidRDefault="0072485C">
      <w:pPr>
        <w:spacing w:before="40"/>
        <w:rPr>
          <w:sz w:val="24"/>
          <w:szCs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650"/>
        <w:gridCol w:w="4700"/>
        <w:gridCol w:w="3160"/>
      </w:tblGrid>
      <w:tr w:rsidR="00A12AD8" w:rsidRPr="00CD4025" w14:paraId="5F22703B" w14:textId="77777777">
        <w:trPr>
          <w:tblHeader/>
        </w:trPr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CC5172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015FC9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D/E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68853B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700A76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Reported in</w:t>
            </w:r>
          </w:p>
        </w:tc>
      </w:tr>
      <w:tr w:rsidR="00A12AD8" w:rsidRPr="00CD4025" w14:paraId="5D343B58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7387D8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Title</w:t>
            </w:r>
          </w:p>
        </w:tc>
      </w:tr>
      <w:tr w:rsidR="00A12AD8" w:rsidRPr="00CD4025" w14:paraId="024A625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7D58B9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59EE6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31C0CF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Identify the study as developing or evaluating a multivariable prediction model, the target population, and the outcome to be predicted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629F28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Title</w:t>
            </w:r>
          </w:p>
        </w:tc>
      </w:tr>
      <w:tr w:rsidR="00A12AD8" w:rsidRPr="00CD4025" w14:paraId="76B76B3A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AAA6A2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Abstract</w:t>
            </w:r>
          </w:p>
        </w:tc>
      </w:tr>
      <w:tr w:rsidR="00A12AD8" w:rsidRPr="00CD4025" w14:paraId="76BF59E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999A0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0B64E5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CE9279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Structured summary (see TRIPOD+AI for Abstracts checklist)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79FC11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Abstract</w:t>
            </w:r>
          </w:p>
        </w:tc>
      </w:tr>
      <w:tr w:rsidR="00A12AD8" w:rsidRPr="00CD4025" w14:paraId="78F9AD6F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5E90F3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Introduction</w:t>
            </w:r>
          </w:p>
        </w:tc>
      </w:tr>
      <w:tr w:rsidR="00A12AD8" w:rsidRPr="00CD4025" w14:paraId="739C703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7F703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D00AF3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E4FBF6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Healthcare context and rationale for developing/evaluating the model, including references to existing models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46DCE9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Introduction</w:t>
            </w:r>
          </w:p>
        </w:tc>
      </w:tr>
      <w:tr w:rsidR="00A12AD8" w:rsidRPr="00CD4025" w14:paraId="26698203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88FE1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989712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C7D8F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Target population and intended purpose of the model in the care pathway, including intended users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5DB3AB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Introduction</w:t>
            </w:r>
          </w:p>
        </w:tc>
      </w:tr>
      <w:tr w:rsidR="00A12AD8" w:rsidRPr="00CD4025" w14:paraId="019D2C2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AD71A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0EDCED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E25BAC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Known health inequalities between sociodemographic groups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7BD4B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Not assessed (Discussion, Limitations)</w:t>
            </w:r>
          </w:p>
        </w:tc>
      </w:tr>
      <w:tr w:rsidR="00A12AD8" w:rsidRPr="00CD4025" w14:paraId="7A8EA114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5B3B7A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A9A23B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590DD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Study objectives, specifying development and/or validation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174D7F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Introduction</w:t>
            </w:r>
          </w:p>
        </w:tc>
      </w:tr>
      <w:tr w:rsidR="00A12AD8" w:rsidRPr="00CD4025" w14:paraId="7756D112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CC687D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Methods</w:t>
            </w:r>
          </w:p>
        </w:tc>
      </w:tr>
      <w:tr w:rsidR="00A12AD8" w:rsidRPr="00CD4025" w14:paraId="141EC42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9F8AA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98520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9003C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Sources of data (development and evaluation separately), rationale, and representativeness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EDC15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Study Setting and Population</w:t>
            </w:r>
          </w:p>
        </w:tc>
      </w:tr>
      <w:tr w:rsidR="00A12AD8" w:rsidRPr="00CD4025" w14:paraId="584EB2DC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56EF3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23166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A1F1A9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Dates of participant data, including start and end of accrual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64C4DB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 (2016–2023)</w:t>
            </w:r>
          </w:p>
        </w:tc>
      </w:tr>
      <w:tr w:rsidR="00A12AD8" w:rsidRPr="00CD4025" w14:paraId="07FFCDA7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E30770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453A1A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6DA0D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Key elements of the study setting, including number and location of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centres</w:t>
            </w:r>
            <w:proofErr w:type="spellEnd"/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3C141A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Study Setting and Population</w:t>
            </w:r>
          </w:p>
        </w:tc>
      </w:tr>
      <w:tr w:rsidR="00A12AD8" w:rsidRPr="00CD4025" w14:paraId="30D038F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81456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951448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DBFF33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Eligibility criteria for participants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7E394C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Study Setting and Population</w:t>
            </w:r>
          </w:p>
        </w:tc>
      </w:tr>
      <w:tr w:rsidR="00A12AD8" w:rsidRPr="00CD4025" w14:paraId="2B6829BE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F253F6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2FF3C8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4C29BA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Treatments received and how handled, if relevant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8DB2D5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 (ED management variables)</w:t>
            </w:r>
          </w:p>
        </w:tc>
      </w:tr>
      <w:tr w:rsidR="00A12AD8" w:rsidRPr="00CD4025" w14:paraId="0CE4573F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616398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DA9281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D74ABF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Data pre-processing and quality checking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FF6DF6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Data Extraction and Feature Preparation; Table S2</w:t>
            </w:r>
          </w:p>
        </w:tc>
      </w:tr>
      <w:tr w:rsidR="00A12AD8" w:rsidRPr="00CD4025" w14:paraId="7E45660B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F3B88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6FB903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BD8D1D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Outcome definition and time horizon, including how and when assessed and rationale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F71DF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Outcome (48-hour composite)</w:t>
            </w:r>
          </w:p>
        </w:tc>
      </w:tr>
      <w:tr w:rsidR="00A12AD8" w:rsidRPr="00CD4025" w14:paraId="0CAB9E0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768A19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40CFA5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0ECFAE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Qualifications of outcome assessors, if subjective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62503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Not applicable (objective EHR-defined outcome)</w:t>
            </w:r>
          </w:p>
        </w:tc>
      </w:tr>
      <w:tr w:rsidR="00A12AD8" w:rsidRPr="00CD4025" w14:paraId="521C6979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DA42C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6412DD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D87EDD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Blinding of outcome assessment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BB2F9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Not applicable</w:t>
            </w:r>
          </w:p>
        </w:tc>
      </w:tr>
      <w:tr w:rsidR="00A12AD8" w:rsidRPr="00CD4025" w14:paraId="21DF93AD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7072FB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9BE0A0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A94394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Choice of initial predictors and any pre-selection before model building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6697E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Data Extraction and Feature Preparation</w:t>
            </w:r>
          </w:p>
        </w:tc>
      </w:tr>
      <w:tr w:rsidR="00A12AD8" w:rsidRPr="00CD4025" w14:paraId="45B26AE4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931244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D485AE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BD43DD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Definition of all predictors, including how and when measured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855267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Methods; Table 1</w:t>
            </w:r>
          </w:p>
        </w:tc>
      </w:tr>
      <w:tr w:rsidR="00A12AD8" w:rsidRPr="00CD4025" w14:paraId="72A37FB5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8BB92B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EF8EAF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5B208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Qualifications of predictor assessors, if subjective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8FBE59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Not applicable (structured EHR variables)</w:t>
            </w:r>
          </w:p>
        </w:tc>
      </w:tr>
      <w:tr w:rsidR="00A12AD8" w:rsidRPr="00CD4025" w14:paraId="16C586EB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567494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71F7E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D3F9EE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study size was arrived at and its justification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CC0AD4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Methods; Results (events and events per variable)</w:t>
            </w:r>
          </w:p>
        </w:tc>
      </w:tr>
      <w:tr w:rsidR="00A12AD8" w:rsidRPr="00CD4025" w14:paraId="230E7C0A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D5A95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9CDF20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CCBC43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missing data were handled; reasons for omitting data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32AC7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Data Extraction; Table S2</w:t>
            </w:r>
          </w:p>
        </w:tc>
      </w:tr>
      <w:tr w:rsidR="00A12AD8" w:rsidRPr="00CD4025" w14:paraId="1767F11E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DB9515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971676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99495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data were used (development and evaluation), including partitioning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9A0584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Model Development and Validation (patient-level split)</w:t>
            </w:r>
          </w:p>
        </w:tc>
      </w:tr>
      <w:tr w:rsidR="00A12AD8" w:rsidRPr="00CD4025" w14:paraId="31954109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999C47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B130EC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29CFD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predictors were handled (functional form, rescaling, transformation)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016465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Model Development and Validation</w:t>
            </w:r>
          </w:p>
        </w:tc>
      </w:tr>
      <w:tr w:rsidR="00A12AD8" w:rsidRPr="00CD4025" w14:paraId="4A68D70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ECD06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904135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66466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Type of model, rationale, building steps, hyperparameter tuning, internal validation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AA86CF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Model Development and Validation</w:t>
            </w:r>
          </w:p>
        </w:tc>
      </w:tr>
      <w:tr w:rsidR="00A12AD8" w:rsidRPr="00CD4025" w14:paraId="3FF3C440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30E3A8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12d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3E91B9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0D4976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Handling and quantification of heterogeneity across clusters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6C0DD3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External validation across hospitals (Methods; Results)</w:t>
            </w:r>
          </w:p>
        </w:tc>
      </w:tr>
      <w:tr w:rsidR="00A12AD8" w:rsidRPr="00CD4025" w14:paraId="3797A044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5BC9E5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12e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1380A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73BECC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Measures and plots used to evaluate model performance and compare models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0F73AC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Evaluation of Model Performance</w:t>
            </w:r>
          </w:p>
        </w:tc>
      </w:tr>
      <w:tr w:rsidR="00A12AD8" w:rsidRPr="00CD4025" w14:paraId="6A37B61E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EEC29B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12f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09499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059063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Model updating (e.g., recalibration) from evaluation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250361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 (isotonic recalibration)</w:t>
            </w:r>
          </w:p>
        </w:tc>
      </w:tr>
      <w:tr w:rsidR="00A12AD8" w:rsidRPr="00CD4025" w14:paraId="1578D953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6528BB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12g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7C6DE1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34421A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model predictions were calculated (formula, code, object, API)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7CBEE1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data and materials; GitHub repository</w:t>
            </w:r>
          </w:p>
        </w:tc>
      </w:tr>
      <w:tr w:rsidR="00A12AD8" w:rsidRPr="00CD4025" w14:paraId="530B725B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35F2C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8AFD44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C6E5CC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Class imbalance methods, why and how, and any subsequent recalibration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EB6EE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 (AUPRC as primary metric; no resampling)</w:t>
            </w:r>
          </w:p>
        </w:tc>
      </w:tr>
      <w:tr w:rsidR="00A12AD8" w:rsidRPr="00CD4025" w14:paraId="4E117019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92EFB5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A6D93E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8D091A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Approaches used to address model fairness and their rationale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471D55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Not formally assessed (Discussion, Limitations)</w:t>
            </w:r>
          </w:p>
        </w:tc>
      </w:tr>
      <w:tr w:rsidR="00A12AD8" w:rsidRPr="00CD4025" w14:paraId="10953510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E0649A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245161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F6E2D1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Model output (e.g., probabilities, classification) and threshold identification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0C42A3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Methods; Tables S3–S4</w:t>
            </w:r>
          </w:p>
        </w:tc>
      </w:tr>
      <w:tr w:rsidR="00A12AD8" w:rsidRPr="00CD4025" w14:paraId="08360CAB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721648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71B68D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191BE0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Differences between development and evaluation data (setting, eligibility, outcome, predictors)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F32BAD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Methods; Table 1; Results</w:t>
            </w:r>
          </w:p>
        </w:tc>
      </w:tr>
      <w:tr w:rsidR="00A12AD8" w:rsidRPr="00CD4025" w14:paraId="7A54A7CF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90B1B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FDCEA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4ECF5F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Ethics committee approval and informed consent or waiver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1A3F75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Methods, Ethics</w:t>
            </w:r>
          </w:p>
        </w:tc>
      </w:tr>
      <w:tr w:rsidR="00A12AD8" w:rsidRPr="00CD4025" w14:paraId="24AED2CB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CB69CE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Open science</w:t>
            </w:r>
          </w:p>
        </w:tc>
      </w:tr>
      <w:tr w:rsidR="00A12AD8" w:rsidRPr="00CD4025" w14:paraId="69D40D0D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D96D0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D391AC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2C5580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Source of funding and role of funders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7CFCC0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Funding</w:t>
            </w:r>
          </w:p>
        </w:tc>
      </w:tr>
      <w:tr w:rsidR="00A12AD8" w:rsidRPr="00CD4025" w14:paraId="51C029A0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7058F0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4BE6B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9DDD92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Conflicts of interest and financial disclosures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EE0D10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Declarations, Competing interests</w:t>
            </w:r>
          </w:p>
        </w:tc>
      </w:tr>
      <w:tr w:rsidR="00A12AD8" w:rsidRPr="00CD4025" w14:paraId="7D91700B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09B36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334F6F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1F385E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Where the study protocol can be accessed, or that none was prepared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664A16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No protocol was prepared</w:t>
            </w:r>
          </w:p>
        </w:tc>
      </w:tr>
      <w:tr w:rsidR="00A12AD8" w:rsidRPr="00CD4025" w14:paraId="4A04321A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F843E9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18d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F623CF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C8965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Registration information, or that the study was not registered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83D12B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The study was not registered</w:t>
            </w:r>
          </w:p>
        </w:tc>
      </w:tr>
      <w:tr w:rsidR="00A12AD8" w:rsidRPr="00CD4025" w14:paraId="2AE9F9B2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02E2B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18e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FBF729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9B35D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the study data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36C404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data and materials</w:t>
            </w:r>
          </w:p>
        </w:tc>
      </w:tr>
      <w:tr w:rsidR="00A12AD8" w:rsidRPr="00CD4025" w14:paraId="75770BA3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D1CF3B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18f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ABE62F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4E83D8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the analytical code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8D580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data and materials; GitHub repository</w:t>
            </w:r>
          </w:p>
        </w:tc>
      </w:tr>
      <w:tr w:rsidR="00A12AD8" w:rsidRPr="00CD4025" w14:paraId="559757C7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306592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Patient and public involvement</w:t>
            </w:r>
          </w:p>
        </w:tc>
      </w:tr>
      <w:tr w:rsidR="00A12AD8" w:rsidRPr="00CD4025" w14:paraId="2DED7E5F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0F5E1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984D7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FE0131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Patient and public involvement, or a statement </w:t>
            </w:r>
            <w:r w:rsidRPr="00CD402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of no involvement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24A0D5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No patient or public </w:t>
            </w:r>
            <w:r w:rsidRPr="00CD402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involvement</w:t>
            </w:r>
          </w:p>
        </w:tc>
      </w:tr>
      <w:tr w:rsidR="00A12AD8" w:rsidRPr="00CD4025" w14:paraId="5C9449D4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B15C0D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lastRenderedPageBreak/>
              <w:t>Results</w:t>
            </w:r>
          </w:p>
        </w:tc>
      </w:tr>
      <w:tr w:rsidR="00A12AD8" w:rsidRPr="00CD4025" w14:paraId="44013459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FE133A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20a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D87DEF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080A9C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Flow of participants, including numbers with and without the outcome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2FD21A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Figure 1</w:t>
            </w:r>
          </w:p>
        </w:tc>
      </w:tr>
      <w:tr w:rsidR="00A12AD8" w:rsidRPr="00CD4025" w14:paraId="2EF6DF02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D42200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20b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CD2F03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356B28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Characteristics overall and by data source, including key dates, predictors, and missing data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00B5CE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Table 1</w:t>
            </w:r>
          </w:p>
        </w:tc>
      </w:tr>
      <w:tr w:rsidR="00A12AD8" w:rsidRPr="00CD4025" w14:paraId="45DAC53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FD61D3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20c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42B26A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77FCC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Comparison with development data of the distribution of important predictors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428A1F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Table 1 (standardized mean differences)</w:t>
            </w:r>
          </w:p>
        </w:tc>
      </w:tr>
      <w:tr w:rsidR="00A12AD8" w:rsidRPr="00CD4025" w14:paraId="74AEEE0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4CBCCA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9780DE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BAE0F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Number of participants and outcome events in each analysis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55623F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Methods; Results</w:t>
            </w:r>
          </w:p>
        </w:tc>
      </w:tr>
      <w:tr w:rsidR="00A12AD8" w:rsidRPr="00CD4025" w14:paraId="408D305A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EE9C4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DEEDEF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FEC44A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Full model specification to allow predictions in new individuals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11B65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Availability of data and materials; GitHub repository</w:t>
            </w:r>
          </w:p>
        </w:tc>
      </w:tr>
      <w:tr w:rsidR="00A12AD8" w:rsidRPr="00CD4025" w14:paraId="24819EFA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384B32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23a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4D8C8F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BA171C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Model performance estimates with confidence intervals, including key subgroups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B95FFC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Results; Figures 2–3; Tables S3–S4</w:t>
            </w:r>
          </w:p>
        </w:tc>
      </w:tr>
      <w:tr w:rsidR="00A12AD8" w:rsidRPr="00CD4025" w14:paraId="6417BE70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BBCAD1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23b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48539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BCCA8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Results of any heterogeneity in performance across clusters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2B3BAF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Results (external validation)</w:t>
            </w:r>
          </w:p>
        </w:tc>
      </w:tr>
      <w:tr w:rsidR="00A12AD8" w:rsidRPr="00CD4025" w14:paraId="3F1B0A3C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DF1B76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D171AF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A72DA3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Results of any model updating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329367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Results; Figure 3 (calibration)</w:t>
            </w:r>
          </w:p>
        </w:tc>
      </w:tr>
      <w:tr w:rsidR="00A12AD8" w:rsidRPr="00CD4025" w14:paraId="273F6389" w14:textId="77777777">
        <w:tc>
          <w:tcPr>
            <w:tcW w:w="9330" w:type="dxa"/>
            <w:gridSpan w:val="4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B64709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Discussion</w:t>
            </w:r>
          </w:p>
        </w:tc>
      </w:tr>
      <w:tr w:rsidR="00A12AD8" w:rsidRPr="00CD4025" w14:paraId="54578679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DA581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4720B3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626662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Overall interpretation of results, including fairness and prior studies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A28A53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Discussion</w:t>
            </w:r>
          </w:p>
        </w:tc>
      </w:tr>
      <w:tr w:rsidR="00A12AD8" w:rsidRPr="00CD4025" w14:paraId="7309A184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CCEB91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9F2E6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C3DBB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Limitations of the study and their effects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D1D5F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Discussion, Limitations</w:t>
            </w:r>
          </w:p>
        </w:tc>
      </w:tr>
      <w:tr w:rsidR="00A12AD8" w:rsidRPr="00CD4025" w14:paraId="37C34E58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8647C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27a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7C7CA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FC7DB7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How poor-quality or unavailable input data should be handled at implementation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13ACC7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Discussion; imputation pipeline (GitHub repository)</w:t>
            </w:r>
          </w:p>
        </w:tc>
      </w:tr>
      <w:tr w:rsidR="00A12AD8" w:rsidRPr="00CD4025" w14:paraId="1DE910C1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AA160A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27b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C04F87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5BC263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Whether users interact with the input data or model, and expertise required</w:t>
            </w:r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E1244D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Discussion (EHR-embedded, automated scoring)</w:t>
            </w:r>
          </w:p>
        </w:tc>
      </w:tr>
      <w:tr w:rsidR="00A12AD8" w:rsidRPr="00CD4025" w14:paraId="5A63CDFA" w14:textId="77777777"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1348B9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27c</w:t>
            </w:r>
          </w:p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7DCD52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proofErr w:type="gram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D;E</w:t>
            </w:r>
            <w:proofErr w:type="gramEnd"/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DEA588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Next steps for future research on applicability and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generalisability</w:t>
            </w:r>
            <w:proofErr w:type="spellEnd"/>
          </w:p>
        </w:tc>
        <w:tc>
          <w:tcPr>
            <w:tcW w:w="316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2538D6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Discussion</w:t>
            </w:r>
          </w:p>
        </w:tc>
      </w:tr>
    </w:tbl>
    <w:p w14:paraId="3DDD5A8A" w14:textId="77777777" w:rsidR="0072485C" w:rsidRDefault="0072485C" w:rsidP="0072485C">
      <w:pPr>
        <w:spacing w:before="40"/>
        <w:rPr>
          <w:rFonts w:eastAsia="Times New Roman"/>
          <w:i/>
          <w:iCs/>
          <w:sz w:val="24"/>
          <w:szCs w:val="24"/>
        </w:rPr>
      </w:pPr>
      <w:r w:rsidRPr="00CD4025">
        <w:rPr>
          <w:rFonts w:eastAsia="Times New Roman"/>
          <w:i/>
          <w:iCs/>
          <w:sz w:val="24"/>
          <w:szCs w:val="24"/>
        </w:rPr>
        <w:t>Adapted from Collins GS, Moons KGM, Dhiman P, et al. TRIPOD+AI statement: updated guidance for reporting clinical prediction models that use regression or machine learning methods. BMJ. 2024;</w:t>
      </w:r>
      <w:proofErr w:type="gramStart"/>
      <w:r w:rsidRPr="00CD4025">
        <w:rPr>
          <w:rFonts w:eastAsia="Times New Roman"/>
          <w:i/>
          <w:iCs/>
          <w:sz w:val="24"/>
          <w:szCs w:val="24"/>
        </w:rPr>
        <w:t>385:e</w:t>
      </w:r>
      <w:proofErr w:type="gramEnd"/>
      <w:r w:rsidRPr="00CD4025">
        <w:rPr>
          <w:rFonts w:eastAsia="Times New Roman"/>
          <w:i/>
          <w:iCs/>
          <w:sz w:val="24"/>
          <w:szCs w:val="24"/>
        </w:rPr>
        <w:t>078378. D, applies to model development; E, applies to model evaluation.</w:t>
      </w:r>
    </w:p>
    <w:p w14:paraId="41E1E6CF" w14:textId="77777777" w:rsidR="00CD4025" w:rsidRPr="0072485C" w:rsidRDefault="00CD4025">
      <w:pPr>
        <w:spacing w:before="220" w:after="80"/>
        <w:rPr>
          <w:rFonts w:eastAsia="Times New Roman"/>
          <w:b/>
          <w:bCs/>
          <w:color w:val="1F3864"/>
          <w:sz w:val="24"/>
          <w:szCs w:val="24"/>
        </w:rPr>
      </w:pPr>
    </w:p>
    <w:p w14:paraId="12606EC4" w14:textId="77777777" w:rsidR="00CD4025" w:rsidRDefault="00CD4025" w:rsidP="00CD4025">
      <w:pPr>
        <w:widowControl/>
        <w:rPr>
          <w:rFonts w:eastAsia="Times New Roman"/>
          <w:b/>
          <w:bCs/>
          <w:color w:val="1F3864"/>
          <w:sz w:val="24"/>
          <w:szCs w:val="24"/>
        </w:rPr>
      </w:pPr>
      <w:r>
        <w:rPr>
          <w:rFonts w:eastAsia="Times New Roman"/>
          <w:b/>
          <w:bCs/>
          <w:color w:val="1F3864"/>
          <w:sz w:val="24"/>
          <w:szCs w:val="24"/>
        </w:rPr>
        <w:br w:type="page"/>
      </w:r>
    </w:p>
    <w:p w14:paraId="18860755" w14:textId="77777777" w:rsidR="00A12AD8" w:rsidRPr="00CD4025" w:rsidRDefault="00000000">
      <w:pPr>
        <w:spacing w:before="220" w:after="80"/>
        <w:rPr>
          <w:sz w:val="24"/>
          <w:szCs w:val="24"/>
        </w:rPr>
      </w:pPr>
      <w:r w:rsidRPr="00CD4025">
        <w:rPr>
          <w:rFonts w:eastAsia="Times New Roman"/>
          <w:b/>
          <w:bCs/>
          <w:color w:val="1F3864"/>
          <w:sz w:val="24"/>
          <w:szCs w:val="24"/>
        </w:rPr>
        <w:lastRenderedPageBreak/>
        <w:t>Table S2. Proportion of missing values per variable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720"/>
        <w:gridCol w:w="1720"/>
        <w:gridCol w:w="1720"/>
      </w:tblGrid>
      <w:tr w:rsidR="00A12AD8" w:rsidRPr="00CD4025" w14:paraId="7CE511C5" w14:textId="77777777">
        <w:trPr>
          <w:tblHeader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8D40F3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Variable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58617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Overall, %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B9FB35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Development, %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B0421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External, %</w:t>
            </w:r>
          </w:p>
        </w:tc>
      </w:tr>
      <w:tr w:rsidR="00A12AD8" w:rsidRPr="00CD4025" w14:paraId="5F207C2F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AE7BE7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Body mass index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7826D2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44.8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A1C17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35.1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86CAD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71.5</w:t>
            </w:r>
          </w:p>
        </w:tc>
      </w:tr>
      <w:tr w:rsidR="00A12AD8" w:rsidRPr="00CD4025" w14:paraId="0E402DA5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C490E5B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Body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temperature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_a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9B8BFD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FA505B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D8BFB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</w:tr>
      <w:tr w:rsidR="00A12AD8" w:rsidRPr="00CD4025" w14:paraId="27D17AB2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F23DC12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Heart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rate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_a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DBE832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0BAE04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3B3E4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0.2</w:t>
            </w:r>
          </w:p>
        </w:tc>
      </w:tr>
      <w:tr w:rsidR="00A12AD8" w:rsidRPr="00CD4025" w14:paraId="2ED32765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5CCD8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Systolic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BP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_a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45817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852E2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E49587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0.7</w:t>
            </w:r>
          </w:p>
        </w:tc>
      </w:tr>
      <w:tr w:rsidR="00A12AD8" w:rsidRPr="00CD4025" w14:paraId="4BD3E9FC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9B0B9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Diastolic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BP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_a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182E5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B5B58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001458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0.9</w:t>
            </w:r>
          </w:p>
        </w:tc>
      </w:tr>
      <w:tr w:rsidR="00A12AD8" w:rsidRPr="00CD4025" w14:paraId="49261730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BC4420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Respiratory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rate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_a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25502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9807A3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DDD44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0.1</w:t>
            </w:r>
          </w:p>
        </w:tc>
      </w:tr>
      <w:tr w:rsidR="00A12AD8" w:rsidRPr="00CD4025" w14:paraId="5BB5993C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54736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Body temperature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_e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3DB8CD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B6A87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26A867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</w:tr>
      <w:tr w:rsidR="00A12AD8" w:rsidRPr="00CD4025" w14:paraId="619F1469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0C4855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Heart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rate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_e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E3D103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7A3AFC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9B15C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</w:tr>
      <w:tr w:rsidR="00A12AD8" w:rsidRPr="00CD4025" w14:paraId="33337D4F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DEE4E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Systolic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BP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_e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01175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E923C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70E1B2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0.2</w:t>
            </w:r>
          </w:p>
        </w:tc>
      </w:tr>
      <w:tr w:rsidR="00A12AD8" w:rsidRPr="00CD4025" w14:paraId="4C8B0222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95AFBA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Diastolic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BP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_e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274A86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06D71D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1B58A6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</w:tr>
      <w:tr w:rsidR="00A12AD8" w:rsidRPr="00CD4025" w14:paraId="7D9E0B5E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BDDAA1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 xml:space="preserve">Respiratory </w:t>
            </w: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rate</w:t>
            </w:r>
            <w:r w:rsidR="00955E74">
              <w:rPr>
                <w:rFonts w:eastAsia="Times New Roman"/>
                <w:color w:val="000000"/>
                <w:sz w:val="24"/>
                <w:szCs w:val="24"/>
              </w:rPr>
              <w:t>_e</w:t>
            </w:r>
            <w:proofErr w:type="spellEnd"/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D3291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CDC576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C121AE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&lt;0.1</w:t>
            </w:r>
          </w:p>
        </w:tc>
      </w:tr>
      <w:tr w:rsidR="00A12AD8" w:rsidRPr="00CD4025" w14:paraId="1F69235E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32708F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White blood cell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90A4B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70B829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F9D44E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1.4</w:t>
            </w:r>
          </w:p>
        </w:tc>
      </w:tr>
      <w:tr w:rsidR="00A12AD8" w:rsidRPr="00CD4025" w14:paraId="00FAAA17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F7E91A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Segmented neutrophil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A5CE7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ED8FA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ADDCC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2.8</w:t>
            </w:r>
          </w:p>
        </w:tc>
      </w:tr>
      <w:tr w:rsidR="00A12AD8" w:rsidRPr="00CD4025" w14:paraId="353F8114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B5BDCE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Band neutrophil†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E35FAE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7E87B9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CD9A94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2.8</w:t>
            </w:r>
          </w:p>
        </w:tc>
      </w:tr>
      <w:tr w:rsidR="00A12AD8" w:rsidRPr="00CD4025" w14:paraId="07F374CD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0479AE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Hemoglobin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60E8A6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E150C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CE4288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4.1</w:t>
            </w:r>
          </w:p>
        </w:tc>
      </w:tr>
      <w:tr w:rsidR="00A12AD8" w:rsidRPr="00CD4025" w14:paraId="57033728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1D480F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Platelet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06448D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24A3F8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5743AD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4.4</w:t>
            </w:r>
          </w:p>
        </w:tc>
      </w:tr>
      <w:tr w:rsidR="00A12AD8" w:rsidRPr="00CD4025" w14:paraId="2071C759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167D19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Glucose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6DFB84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FADB81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67C0FA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4.8</w:t>
            </w:r>
          </w:p>
        </w:tc>
      </w:tr>
      <w:tr w:rsidR="00A12AD8" w:rsidRPr="00CD4025" w14:paraId="1D85C9B7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7F96BF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Creatinine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6AF92E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A3C69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076A4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12.5</w:t>
            </w:r>
          </w:p>
        </w:tc>
      </w:tr>
      <w:tr w:rsidR="00A12AD8" w:rsidRPr="00CD4025" w14:paraId="7CAA74A6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983EB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AST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BAB703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76.8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AFBBCA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71.1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680222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92.6</w:t>
            </w:r>
          </w:p>
        </w:tc>
      </w:tr>
      <w:tr w:rsidR="00A12AD8" w:rsidRPr="00CD4025" w14:paraId="48FB9BD8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49FFA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ALT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BE0E94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23.9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E632E0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29.3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EA84F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9.1</w:t>
            </w:r>
          </w:p>
        </w:tc>
      </w:tr>
      <w:tr w:rsidR="00A12AD8" w:rsidRPr="00CD4025" w14:paraId="1936CD41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7969C6F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Total bilirubin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7FC4EE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72.0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6BC21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74.9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200F15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63.8</w:t>
            </w:r>
          </w:p>
        </w:tc>
      </w:tr>
      <w:tr w:rsidR="00A12AD8" w:rsidRPr="00CD4025" w14:paraId="55B98C51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6CF0C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Sodium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C5D1A8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ACF243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ACA81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3.7</w:t>
            </w:r>
          </w:p>
        </w:tc>
      </w:tr>
      <w:tr w:rsidR="00A12AD8" w:rsidRPr="00CD4025" w14:paraId="12F16039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A48D2F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Potassium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D2623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0F987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5848E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3.6</w:t>
            </w:r>
          </w:p>
        </w:tc>
      </w:tr>
      <w:tr w:rsidR="00A12AD8" w:rsidRPr="00CD4025" w14:paraId="5D7DB2F1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0514D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C-reactive protein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AFC72E9" w14:textId="77777777" w:rsidR="00A12AD8" w:rsidRPr="00CD4025" w:rsidRDefault="00616F89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D13E7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="00616F89" w:rsidRPr="00CD4025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CD4025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355612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="00616F89" w:rsidRPr="00CD4025">
              <w:rPr>
                <w:rFonts w:eastAsia="Times New Roman"/>
                <w:color w:val="000000"/>
                <w:sz w:val="24"/>
                <w:szCs w:val="24"/>
              </w:rPr>
              <w:t>.9</w:t>
            </w:r>
          </w:p>
        </w:tc>
      </w:tr>
      <w:tr w:rsidR="00A12AD8" w:rsidRPr="00CD4025" w14:paraId="2B7C2233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A46BF36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Albumin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722578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85.2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B84B8E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86.7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DB5334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81.1</w:t>
            </w:r>
          </w:p>
        </w:tc>
      </w:tr>
      <w:tr w:rsidR="00A12AD8" w:rsidRPr="00CD4025" w14:paraId="17133F17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38D36C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Troponin I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313A85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55.5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42E87E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64.2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820380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31.8</w:t>
            </w:r>
          </w:p>
        </w:tc>
      </w:tr>
      <w:tr w:rsidR="00A12AD8" w:rsidRPr="00CD4025" w14:paraId="50371332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680C3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Blood pH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A8FF3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88.0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0545A3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83.9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F14E8E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99.4</w:t>
            </w:r>
          </w:p>
        </w:tc>
      </w:tr>
    </w:tbl>
    <w:p w14:paraId="4A77BBFF" w14:textId="77777777" w:rsidR="00CD4025" w:rsidRDefault="00CD4025" w:rsidP="00CD4025">
      <w:pPr>
        <w:widowControl/>
        <w:rPr>
          <w:rFonts w:eastAsia="Times New Roman"/>
          <w:b/>
          <w:bCs/>
          <w:color w:val="1F3864"/>
          <w:sz w:val="24"/>
          <w:szCs w:val="24"/>
        </w:rPr>
      </w:pPr>
      <w:r>
        <w:rPr>
          <w:rFonts w:eastAsia="Times New Roman"/>
          <w:b/>
          <w:bCs/>
          <w:color w:val="1F3864"/>
          <w:sz w:val="24"/>
          <w:szCs w:val="24"/>
        </w:rPr>
        <w:br w:type="page"/>
      </w:r>
    </w:p>
    <w:p w14:paraId="6E74076A" w14:textId="77777777" w:rsidR="00A12AD8" w:rsidRPr="00CD4025" w:rsidRDefault="00000000">
      <w:pPr>
        <w:spacing w:before="220" w:after="80"/>
        <w:rPr>
          <w:sz w:val="24"/>
          <w:szCs w:val="24"/>
        </w:rPr>
      </w:pPr>
      <w:r w:rsidRPr="00CD4025">
        <w:rPr>
          <w:rFonts w:eastAsia="Times New Roman"/>
          <w:b/>
          <w:bCs/>
          <w:color w:val="1F3864"/>
          <w:sz w:val="24"/>
          <w:szCs w:val="24"/>
        </w:rPr>
        <w:lastRenderedPageBreak/>
        <w:t>Table S3. Model performance at clinically defined operating thresholds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4"/>
        <w:gridCol w:w="1885"/>
        <w:gridCol w:w="1194"/>
        <w:gridCol w:w="1299"/>
        <w:gridCol w:w="1299"/>
        <w:gridCol w:w="1042"/>
        <w:gridCol w:w="1043"/>
        <w:gridCol w:w="1194"/>
      </w:tblGrid>
      <w:tr w:rsidR="00A12AD8" w:rsidRPr="00CD4025" w14:paraId="1047EDCC" w14:textId="77777777">
        <w:trPr>
          <w:tblHeader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44D6F4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Model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9B30E1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Operating point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2FBE8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Threshold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AE044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Sensitivity, %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5E72EE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Specificity, %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0FFFBB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PPV, %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6939A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NPV, %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AD4C9A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Alerts per true positive</w:t>
            </w:r>
          </w:p>
        </w:tc>
      </w:tr>
      <w:tr w:rsidR="00A12AD8" w:rsidRPr="00CD4025" w14:paraId="1D2C3F6A" w14:textId="77777777">
        <w:tc>
          <w:tcPr>
            <w:tcW w:w="10350" w:type="dxa"/>
            <w:gridSpan w:val="8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27A697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Internal test set</w:t>
            </w:r>
          </w:p>
        </w:tc>
      </w:tr>
      <w:tr w:rsidR="00A12AD8" w:rsidRPr="00CD4025" w14:paraId="485DD14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8988CB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851B1E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123DDA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7FB934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93.2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94EFB4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52.0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0B370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74AC5A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A8DAE2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18.2</w:t>
            </w:r>
          </w:p>
        </w:tc>
      </w:tr>
      <w:tr w:rsidR="00A12AD8" w:rsidRPr="00CD4025" w14:paraId="37D9852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232477D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DED772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A01E15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52EF1A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80.4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4F9FAE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73.6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1B11D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A8909A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431DC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12.0</w:t>
            </w:r>
          </w:p>
        </w:tc>
      </w:tr>
      <w:tr w:rsidR="00A12AD8" w:rsidRPr="00CD4025" w14:paraId="2F593D8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D4FAD0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BA6BD67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Youden index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6BCE8F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8422FB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80.4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E2C324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73.6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090ADB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96652D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5844BB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12.0</w:t>
            </w:r>
          </w:p>
        </w:tc>
      </w:tr>
      <w:tr w:rsidR="00A12AD8" w:rsidRPr="00CD4025" w14:paraId="2C8142C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D9AA85C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1398101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616C3F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268312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91.8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232450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52.6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D8FD57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FBE40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68DA0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18.3</w:t>
            </w:r>
          </w:p>
        </w:tc>
      </w:tr>
      <w:tr w:rsidR="00A12AD8" w:rsidRPr="00CD4025" w14:paraId="322D3CCE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5EC3012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0FD29F0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B3E985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B67AF6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82.1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C1E22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70.2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00E6D8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8DA39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8C900B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13.1</w:t>
            </w:r>
          </w:p>
        </w:tc>
      </w:tr>
      <w:tr w:rsidR="00A12AD8" w:rsidRPr="00CD4025" w14:paraId="4AF5EA5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C8279E4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48AC525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Youden index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AB9E173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80ADDC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82.1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3EB15C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70.2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CB032A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E9376E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A452DA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13.1</w:t>
            </w:r>
          </w:p>
        </w:tc>
      </w:tr>
      <w:tr w:rsidR="00A12AD8" w:rsidRPr="00CD4025" w14:paraId="46F4BBC8" w14:textId="77777777">
        <w:tc>
          <w:tcPr>
            <w:tcW w:w="10350" w:type="dxa"/>
            <w:gridSpan w:val="8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D9E1F2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72BD0C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1F3864"/>
                <w:sz w:val="24"/>
                <w:szCs w:val="24"/>
              </w:rPr>
              <w:t>External test set</w:t>
            </w:r>
          </w:p>
        </w:tc>
      </w:tr>
      <w:tr w:rsidR="00A12AD8" w:rsidRPr="00CD4025" w14:paraId="3EC3A6E6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5D4B38F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BF94ED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534CE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4BAF55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90.9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363E5C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48.6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A71BEF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8B880E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9369A2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34.6</w:t>
            </w:r>
          </w:p>
        </w:tc>
      </w:tr>
      <w:tr w:rsidR="00A12AD8" w:rsidRPr="00CD4025" w14:paraId="0326618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2E6A755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5AE69A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F181C9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B0D7611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81.2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E77404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67.1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FE9659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7EB397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09058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25.1</w:t>
            </w:r>
          </w:p>
        </w:tc>
      </w:tr>
      <w:tr w:rsidR="00A12AD8" w:rsidRPr="00CD4025" w14:paraId="55485EC7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277CB62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CatBoost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8C264E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Youden index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A64E9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B21816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71.1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F6ED72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79.3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A41324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33E88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C6D39A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18.3</w:t>
            </w:r>
          </w:p>
        </w:tc>
      </w:tr>
      <w:tr w:rsidR="00A12AD8" w:rsidRPr="00CD4025" w14:paraId="22562DA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468E636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754915D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2597E4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4DDC9C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C15015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22.1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CE18168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22E56F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6CAEF9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48.6</w:t>
            </w:r>
          </w:p>
        </w:tc>
      </w:tr>
      <w:tr w:rsidR="00A12AD8" w:rsidRPr="00CD4025" w14:paraId="6956830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F212EB0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708EE6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80% sensitivity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CAFB94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C64491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87.5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E54BED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53.5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429FC8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9C95FFF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99.6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D747FC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32.6</w:t>
            </w:r>
          </w:p>
        </w:tc>
      </w:tr>
      <w:tr w:rsidR="00A12AD8" w:rsidRPr="00CD4025" w14:paraId="30C0FCA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6ECA06B" w14:textId="77777777" w:rsidR="00A12AD8" w:rsidRPr="00CD4025" w:rsidRDefault="00000000">
            <w:pPr>
              <w:rPr>
                <w:sz w:val="24"/>
                <w:szCs w:val="24"/>
              </w:rPr>
            </w:pPr>
            <w:proofErr w:type="spellStart"/>
            <w:r w:rsidRPr="00CD4025">
              <w:rPr>
                <w:rFonts w:eastAsia="Times New Roman"/>
                <w:color w:val="00000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ED307A8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Youden index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0D9894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473588E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72.0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819269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77.9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7EB2582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30AC93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99.4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FD6066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19.3</w:t>
            </w:r>
          </w:p>
        </w:tc>
      </w:tr>
    </w:tbl>
    <w:p w14:paraId="76A88A72" w14:textId="77777777" w:rsidR="00A12AD8" w:rsidRDefault="00000000">
      <w:pPr>
        <w:spacing w:before="40"/>
        <w:rPr>
          <w:rFonts w:eastAsia="Times New Roman"/>
          <w:i/>
          <w:iCs/>
          <w:sz w:val="24"/>
          <w:szCs w:val="24"/>
        </w:rPr>
      </w:pPr>
      <w:r w:rsidRPr="00CD4025">
        <w:rPr>
          <w:rFonts w:eastAsia="Times New Roman"/>
          <w:i/>
          <w:iCs/>
          <w:sz w:val="24"/>
          <w:szCs w:val="24"/>
        </w:rPr>
        <w:t>Thresholds achieve 90% and 80% sensitivity and the Youden-index maximum, applied to isotonic-calibrated probabilities. PPV, positive predictive value; NPV, negative predictive value. Alerts per true positive = 1/PPV.</w:t>
      </w:r>
    </w:p>
    <w:p w14:paraId="3AD42F13" w14:textId="77777777" w:rsidR="00CD4025" w:rsidRPr="00CD4025" w:rsidRDefault="00CD4025">
      <w:pPr>
        <w:spacing w:before="40"/>
        <w:rPr>
          <w:sz w:val="24"/>
          <w:szCs w:val="24"/>
        </w:rPr>
      </w:pPr>
    </w:p>
    <w:p w14:paraId="791EC8E3" w14:textId="77777777" w:rsidR="00A12AD8" w:rsidRPr="00CD4025" w:rsidRDefault="00000000">
      <w:pPr>
        <w:spacing w:before="220" w:after="80"/>
        <w:rPr>
          <w:sz w:val="24"/>
          <w:szCs w:val="24"/>
        </w:rPr>
      </w:pPr>
      <w:r w:rsidRPr="00CD4025">
        <w:rPr>
          <w:rFonts w:eastAsia="Times New Roman"/>
          <w:b/>
          <w:bCs/>
          <w:color w:val="1F3864"/>
          <w:sz w:val="24"/>
          <w:szCs w:val="24"/>
        </w:rPr>
        <w:t>Table S4. Proposed risk tiers and illustrative clinical actions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3"/>
        <w:gridCol w:w="1488"/>
        <w:gridCol w:w="1668"/>
        <w:gridCol w:w="1690"/>
        <w:gridCol w:w="3981"/>
      </w:tblGrid>
      <w:tr w:rsidR="00A12AD8" w:rsidRPr="00CD4025" w14:paraId="559C3E49" w14:textId="77777777">
        <w:trPr>
          <w:tblHeader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D0D9644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Risk tier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D4A7475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Calibrated 48-h risk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2C62B0D4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Patients, n (%)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126865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Observed deterioration rate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shd w:val="clear" w:color="auto" w:fill="1F3864"/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DFB87F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Suggested clinical action</w:t>
            </w:r>
          </w:p>
        </w:tc>
      </w:tr>
      <w:tr w:rsidR="00A12AD8" w:rsidRPr="00CD4025" w14:paraId="65980F33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60E66C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5189246D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&lt; 1%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5473E6B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18,313 (51.8%)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69325A0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0.34%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BB47923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Routine ward care and standard monitoring</w:t>
            </w:r>
          </w:p>
        </w:tc>
      </w:tr>
      <w:tr w:rsidR="00A12AD8" w:rsidRPr="00CD4025" w14:paraId="693E3E82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58C0F6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Intermediate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93820F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1% to &lt; 10%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395553D6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15,165 (42.9%)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97E03C0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1.95%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2628969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Enhanced monitoring and earlier clinical reassessment</w:t>
            </w:r>
          </w:p>
        </w:tc>
      </w:tr>
      <w:tr w:rsidR="00A12AD8" w:rsidRPr="00CD4025" w14:paraId="7EF57028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3F0F85E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1E74DA49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≥ 10%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03E6D57A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1,883 (5.3%)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49984A37" w14:textId="77777777" w:rsidR="00A12AD8" w:rsidRPr="00CD4025" w:rsidRDefault="00000000">
            <w:pPr>
              <w:jc w:val="center"/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12.06%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2" w:space="0" w:color="BFBFB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  <w:vAlign w:val="center"/>
          </w:tcPr>
          <w:p w14:paraId="7263EFDA" w14:textId="77777777" w:rsidR="00A12AD8" w:rsidRPr="00CD4025" w:rsidRDefault="00000000">
            <w:pPr>
              <w:rPr>
                <w:sz w:val="24"/>
                <w:szCs w:val="24"/>
              </w:rPr>
            </w:pPr>
            <w:r w:rsidRPr="00CD4025">
              <w:rPr>
                <w:rFonts w:eastAsia="Times New Roman"/>
                <w:color w:val="000000"/>
                <w:sz w:val="24"/>
                <w:szCs w:val="24"/>
              </w:rPr>
              <w:t>Senior or ICU review and reconsideration of monitoring intensity</w:t>
            </w:r>
          </w:p>
        </w:tc>
      </w:tr>
    </w:tbl>
    <w:p w14:paraId="28DCB960" w14:textId="77777777" w:rsidR="00A12AD8" w:rsidRDefault="00000000">
      <w:pPr>
        <w:spacing w:before="40"/>
        <w:rPr>
          <w:rFonts w:eastAsia="Times New Roman"/>
          <w:i/>
          <w:iCs/>
          <w:sz w:val="24"/>
          <w:szCs w:val="24"/>
        </w:rPr>
      </w:pPr>
      <w:r w:rsidRPr="00CD4025">
        <w:rPr>
          <w:rFonts w:eastAsia="Times New Roman"/>
          <w:i/>
          <w:iCs/>
          <w:sz w:val="24"/>
          <w:szCs w:val="24"/>
        </w:rPr>
        <w:t xml:space="preserve">Tiers are based on the isotonic-calibrated 48-hour risk from the </w:t>
      </w:r>
      <w:proofErr w:type="spellStart"/>
      <w:r w:rsidRPr="00CD4025">
        <w:rPr>
          <w:rFonts w:eastAsia="Times New Roman"/>
          <w:i/>
          <w:iCs/>
          <w:sz w:val="24"/>
          <w:szCs w:val="24"/>
        </w:rPr>
        <w:t>CatBoost</w:t>
      </w:r>
      <w:proofErr w:type="spellEnd"/>
      <w:r w:rsidRPr="00CD4025">
        <w:rPr>
          <w:rFonts w:eastAsia="Times New Roman"/>
          <w:i/>
          <w:iCs/>
          <w:sz w:val="24"/>
          <w:szCs w:val="24"/>
        </w:rPr>
        <w:t xml:space="preserve"> model in the external validation cohort (overall event rate 1.65%). The high-risk tier comprised 5.3% of patients but had an observed deterioration rate of 12.</w:t>
      </w:r>
      <w:r w:rsidR="00177FBF">
        <w:rPr>
          <w:rFonts w:eastAsia="Times New Roman"/>
          <w:i/>
          <w:iCs/>
          <w:sz w:val="24"/>
          <w:szCs w:val="24"/>
        </w:rPr>
        <w:t>06</w:t>
      </w:r>
      <w:r w:rsidRPr="00CD4025">
        <w:rPr>
          <w:rFonts w:eastAsia="Times New Roman"/>
          <w:i/>
          <w:iCs/>
          <w:sz w:val="24"/>
          <w:szCs w:val="24"/>
        </w:rPr>
        <w:t>%, approximately seven times the overall rate. Suggested actions are illustrative and require prospective validation.</w:t>
      </w:r>
    </w:p>
    <w:p w14:paraId="36C061AE" w14:textId="77777777" w:rsidR="00CD4025" w:rsidRDefault="00CD4025">
      <w:pPr>
        <w:widowControl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br w:type="page"/>
      </w:r>
    </w:p>
    <w:p w14:paraId="0D7026D5" w14:textId="77777777" w:rsidR="00CD4025" w:rsidRPr="00CD4025" w:rsidRDefault="00CD4025">
      <w:pPr>
        <w:spacing w:before="40"/>
        <w:rPr>
          <w:sz w:val="24"/>
          <w:szCs w:val="24"/>
        </w:rPr>
      </w:pPr>
    </w:p>
    <w:p w14:paraId="1CEDB172" w14:textId="77777777" w:rsidR="000407BB" w:rsidRDefault="00000000">
      <w:pPr>
        <w:rPr>
          <w:b/>
          <w:color w:val="1F3864"/>
          <w:sz w:val="24"/>
        </w:rPr>
      </w:pPr>
      <w:r>
        <w:rPr>
          <w:b/>
          <w:color w:val="1F3864"/>
          <w:sz w:val="24"/>
        </w:rPr>
        <w:t>Table S5. Cumulative proportion of composite events within increasing time windows after ward admission (blanking-period sensitivity analysis)</w:t>
      </w:r>
    </w:p>
    <w:p w14:paraId="123AD588" w14:textId="77777777" w:rsidR="00081674" w:rsidRDefault="00081674"/>
    <w:tbl>
      <w:tblPr>
        <w:tblW w:w="0" w:type="auto"/>
        <w:tblLook w:val="04A0" w:firstRow="1" w:lastRow="0" w:firstColumn="1" w:lastColumn="0" w:noHBand="0" w:noVBand="1"/>
      </w:tblPr>
      <w:tblGrid>
        <w:gridCol w:w="3357"/>
        <w:gridCol w:w="3357"/>
        <w:gridCol w:w="2920"/>
      </w:tblGrid>
      <w:tr w:rsidR="000407BB" w14:paraId="1EFA954C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3210" w14:textId="77777777" w:rsidR="000407BB" w:rsidRDefault="00000000" w:rsidP="00081674">
            <w:pPr>
              <w:jc w:val="center"/>
            </w:pPr>
            <w:r>
              <w:rPr>
                <w:b/>
                <w:sz w:val="22"/>
              </w:rPr>
              <w:t xml:space="preserve">Time </w:t>
            </w:r>
            <w:proofErr w:type="spellStart"/>
            <w:r>
              <w:rPr>
                <w:b/>
                <w:sz w:val="22"/>
              </w:rPr>
              <w:t>after ward</w:t>
            </w:r>
            <w:proofErr w:type="spellEnd"/>
            <w:r>
              <w:rPr>
                <w:b/>
                <w:sz w:val="22"/>
              </w:rPr>
              <w:t xml:space="preserve"> admission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6CE0" w14:textId="77777777" w:rsidR="000407BB" w:rsidRDefault="00000000" w:rsidP="00081674">
            <w:pPr>
              <w:jc w:val="center"/>
            </w:pPr>
            <w:r>
              <w:rPr>
                <w:b/>
                <w:sz w:val="22"/>
              </w:rPr>
              <w:t>Development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97C8" w14:textId="77777777" w:rsidR="000407BB" w:rsidRDefault="00000000" w:rsidP="00081674">
            <w:pPr>
              <w:jc w:val="center"/>
            </w:pPr>
            <w:r>
              <w:rPr>
                <w:b/>
                <w:sz w:val="22"/>
              </w:rPr>
              <w:t>External</w:t>
            </w:r>
          </w:p>
        </w:tc>
      </w:tr>
      <w:tr w:rsidR="000407BB" w14:paraId="413A5032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3C96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1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EDE9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5.2%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A597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2.0%</w:t>
            </w:r>
          </w:p>
        </w:tc>
      </w:tr>
      <w:tr w:rsidR="000407BB" w14:paraId="610618AC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6CCC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2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B7C2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14.9%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6BAA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4.6%</w:t>
            </w:r>
          </w:p>
        </w:tc>
      </w:tr>
      <w:tr w:rsidR="000407BB" w14:paraId="56FC16EF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5600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4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1DD5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31.1%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5A6E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9.6%</w:t>
            </w:r>
          </w:p>
        </w:tc>
      </w:tr>
      <w:tr w:rsidR="000407BB" w14:paraId="619068CD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BB19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6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739E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43.7%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3D75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16.9%</w:t>
            </w:r>
          </w:p>
        </w:tc>
      </w:tr>
      <w:tr w:rsidR="000407BB" w14:paraId="3EDACD94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5C42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12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48D6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54.4%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1322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32.1%</w:t>
            </w:r>
          </w:p>
        </w:tc>
      </w:tr>
      <w:tr w:rsidR="000407BB" w14:paraId="519FF095" w14:textId="77777777" w:rsidTr="00081674"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7284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≤ 24 h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244A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73.8%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221" w14:textId="77777777" w:rsidR="000407BB" w:rsidRDefault="00000000" w:rsidP="00081674">
            <w:pPr>
              <w:jc w:val="center"/>
            </w:pPr>
            <w:r>
              <w:rPr>
                <w:sz w:val="22"/>
              </w:rPr>
              <w:t>53.9%</w:t>
            </w:r>
          </w:p>
        </w:tc>
      </w:tr>
    </w:tbl>
    <w:p w14:paraId="7FDD60BD" w14:textId="1A568D0A" w:rsidR="000407BB" w:rsidRDefault="00000000">
      <w:pPr>
        <w:rPr>
          <w:i/>
          <w:sz w:val="20"/>
        </w:rPr>
      </w:pPr>
      <w:r>
        <w:rPr>
          <w:i/>
          <w:sz w:val="20"/>
        </w:rPr>
        <w:t xml:space="preserve">Values are the cumulative proportion of composite events occurring within each window </w:t>
      </w:r>
      <w:proofErr w:type="spellStart"/>
      <w:r>
        <w:rPr>
          <w:i/>
          <w:sz w:val="20"/>
        </w:rPr>
        <w:t>after ward</w:t>
      </w:r>
      <w:proofErr w:type="spellEnd"/>
      <w:r>
        <w:rPr>
          <w:i/>
          <w:sz w:val="20"/>
        </w:rPr>
        <w:t xml:space="preserve"> admission</w:t>
      </w:r>
      <w:r w:rsidR="00081674">
        <w:rPr>
          <w:i/>
          <w:sz w:val="20"/>
        </w:rPr>
        <w:t>.</w:t>
      </w:r>
    </w:p>
    <w:p w14:paraId="37B63479" w14:textId="77777777" w:rsidR="00081674" w:rsidRDefault="00081674">
      <w:pPr>
        <w:rPr>
          <w:i/>
          <w:sz w:val="20"/>
        </w:rPr>
      </w:pPr>
    </w:p>
    <w:p w14:paraId="58D66568" w14:textId="77777777" w:rsidR="00081674" w:rsidRDefault="00081674">
      <w:pPr>
        <w:rPr>
          <w:i/>
          <w:sz w:val="20"/>
        </w:rPr>
      </w:pPr>
    </w:p>
    <w:p w14:paraId="10089EEB" w14:textId="77777777" w:rsidR="00081674" w:rsidRPr="00CD4025" w:rsidRDefault="00081674" w:rsidP="00081674">
      <w:pPr>
        <w:spacing w:before="220" w:after="80"/>
        <w:rPr>
          <w:sz w:val="24"/>
          <w:szCs w:val="24"/>
        </w:rPr>
      </w:pPr>
      <w:r w:rsidRPr="00CD4025">
        <w:rPr>
          <w:rFonts w:eastAsia="Times New Roman"/>
          <w:b/>
          <w:bCs/>
          <w:color w:val="1F3864"/>
          <w:sz w:val="24"/>
          <w:szCs w:val="24"/>
        </w:rPr>
        <w:t>Figure S1. Decision-curve analysis</w:t>
      </w:r>
    </w:p>
    <w:p w14:paraId="35C55F02" w14:textId="77777777" w:rsidR="00081674" w:rsidRPr="00CD4025" w:rsidRDefault="00081674" w:rsidP="00081674">
      <w:pPr>
        <w:spacing w:before="60"/>
        <w:rPr>
          <w:sz w:val="24"/>
          <w:szCs w:val="24"/>
        </w:rPr>
      </w:pPr>
      <w:r w:rsidRPr="00CD4025">
        <w:rPr>
          <w:noProof/>
          <w:sz w:val="24"/>
          <w:szCs w:val="24"/>
        </w:rPr>
        <w:drawing>
          <wp:inline distT="0" distB="0" distL="0" distR="0" wp14:anchorId="33546997" wp14:editId="48638E29">
            <wp:extent cx="5715000" cy="24574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AAE0F" w14:textId="77777777" w:rsidR="00081674" w:rsidRPr="00CD4025" w:rsidRDefault="00081674" w:rsidP="00081674">
      <w:pPr>
        <w:spacing w:before="40"/>
        <w:rPr>
          <w:sz w:val="24"/>
          <w:szCs w:val="24"/>
        </w:rPr>
      </w:pPr>
      <w:r w:rsidRPr="00CD4025">
        <w:rPr>
          <w:rFonts w:eastAsia="Times New Roman"/>
          <w:i/>
          <w:iCs/>
          <w:sz w:val="24"/>
          <w:szCs w:val="24"/>
        </w:rPr>
        <w:t xml:space="preserve">Net benefit of the </w:t>
      </w:r>
      <w:proofErr w:type="spellStart"/>
      <w:r w:rsidRPr="00CD4025">
        <w:rPr>
          <w:rFonts w:eastAsia="Times New Roman"/>
          <w:i/>
          <w:iCs/>
          <w:sz w:val="24"/>
          <w:szCs w:val="24"/>
        </w:rPr>
        <w:t>CatBoost</w:t>
      </w:r>
      <w:proofErr w:type="spellEnd"/>
      <w:r w:rsidRPr="00CD4025">
        <w:rPr>
          <w:rFonts w:eastAsia="Times New Roman"/>
          <w:i/>
          <w:iCs/>
          <w:sz w:val="24"/>
          <w:szCs w:val="24"/>
        </w:rPr>
        <w:t xml:space="preserve"> and </w:t>
      </w:r>
      <w:proofErr w:type="spellStart"/>
      <w:r w:rsidRPr="00CD4025">
        <w:rPr>
          <w:rFonts w:eastAsia="Times New Roman"/>
          <w:i/>
          <w:iCs/>
          <w:sz w:val="24"/>
          <w:szCs w:val="24"/>
        </w:rPr>
        <w:t>XGBoost</w:t>
      </w:r>
      <w:proofErr w:type="spellEnd"/>
      <w:r w:rsidRPr="00CD4025">
        <w:rPr>
          <w:rFonts w:eastAsia="Times New Roman"/>
          <w:i/>
          <w:iCs/>
          <w:sz w:val="24"/>
          <w:szCs w:val="24"/>
        </w:rPr>
        <w:t xml:space="preserve"> models across threshold probabilities in the internal and external test sets, compared with treat-all and treat-none strategies. Across the clinically relevant range, both models provided higher net benefit than either default strategy.</w:t>
      </w:r>
    </w:p>
    <w:p w14:paraId="1B9A785F" w14:textId="77777777" w:rsidR="00081674" w:rsidRPr="00081674" w:rsidRDefault="00081674"/>
    <w:sectPr w:rsidR="00081674" w:rsidRPr="0008167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55217"/>
    <w:multiLevelType w:val="hybridMultilevel"/>
    <w:tmpl w:val="FDFC4156"/>
    <w:lvl w:ilvl="0" w:tplc="02C6ABC6">
      <w:start w:val="1"/>
      <w:numFmt w:val="bullet"/>
      <w:lvlText w:val="●"/>
      <w:lvlJc w:val="left"/>
      <w:pPr>
        <w:ind w:left="720" w:hanging="360"/>
      </w:pPr>
    </w:lvl>
    <w:lvl w:ilvl="1" w:tplc="6854BD8C">
      <w:start w:val="1"/>
      <w:numFmt w:val="bullet"/>
      <w:lvlText w:val="○"/>
      <w:lvlJc w:val="left"/>
      <w:pPr>
        <w:ind w:left="1440" w:hanging="360"/>
      </w:pPr>
    </w:lvl>
    <w:lvl w:ilvl="2" w:tplc="1D3A8BCE">
      <w:start w:val="1"/>
      <w:numFmt w:val="bullet"/>
      <w:lvlText w:val="■"/>
      <w:lvlJc w:val="left"/>
      <w:pPr>
        <w:ind w:left="2160" w:hanging="360"/>
      </w:pPr>
    </w:lvl>
    <w:lvl w:ilvl="3" w:tplc="BDDC3C9E">
      <w:start w:val="1"/>
      <w:numFmt w:val="bullet"/>
      <w:lvlText w:val="●"/>
      <w:lvlJc w:val="left"/>
      <w:pPr>
        <w:ind w:left="2880" w:hanging="360"/>
      </w:pPr>
    </w:lvl>
    <w:lvl w:ilvl="4" w:tplc="E9EA6EF4">
      <w:start w:val="1"/>
      <w:numFmt w:val="bullet"/>
      <w:lvlText w:val="○"/>
      <w:lvlJc w:val="left"/>
      <w:pPr>
        <w:ind w:left="3600" w:hanging="360"/>
      </w:pPr>
    </w:lvl>
    <w:lvl w:ilvl="5" w:tplc="1EBEB6CC">
      <w:start w:val="1"/>
      <w:numFmt w:val="bullet"/>
      <w:lvlText w:val="■"/>
      <w:lvlJc w:val="left"/>
      <w:pPr>
        <w:ind w:left="4320" w:hanging="360"/>
      </w:pPr>
    </w:lvl>
    <w:lvl w:ilvl="6" w:tplc="56FC90B8">
      <w:start w:val="1"/>
      <w:numFmt w:val="bullet"/>
      <w:lvlText w:val="●"/>
      <w:lvlJc w:val="left"/>
      <w:pPr>
        <w:ind w:left="5040" w:hanging="360"/>
      </w:pPr>
    </w:lvl>
    <w:lvl w:ilvl="7" w:tplc="6E9EFEEE">
      <w:start w:val="1"/>
      <w:numFmt w:val="bullet"/>
      <w:lvlText w:val="●"/>
      <w:lvlJc w:val="left"/>
      <w:pPr>
        <w:ind w:left="5760" w:hanging="360"/>
      </w:pPr>
    </w:lvl>
    <w:lvl w:ilvl="8" w:tplc="9A1A7892">
      <w:start w:val="1"/>
      <w:numFmt w:val="bullet"/>
      <w:lvlText w:val="●"/>
      <w:lvlJc w:val="left"/>
      <w:pPr>
        <w:ind w:left="6480" w:hanging="360"/>
      </w:pPr>
    </w:lvl>
  </w:abstractNum>
  <w:num w:numId="1" w16cid:durableId="14744431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8"/>
  <w:displayBackgroundShape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AD8"/>
    <w:rsid w:val="000407BB"/>
    <w:rsid w:val="00081674"/>
    <w:rsid w:val="00177FBF"/>
    <w:rsid w:val="005434D9"/>
    <w:rsid w:val="005B2667"/>
    <w:rsid w:val="00616F89"/>
    <w:rsid w:val="00637878"/>
    <w:rsid w:val="0072485C"/>
    <w:rsid w:val="00955E74"/>
    <w:rsid w:val="00A12AD8"/>
    <w:rsid w:val="00CD4025"/>
    <w:rsid w:val="00E238EF"/>
    <w:rsid w:val="00F53F50"/>
    <w:rsid w:val="00F8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53894"/>
  <w15:docId w15:val="{D0D80822-7259-CA45-8284-C9F73793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1497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baymaxstephen@gmail.com</cp:lastModifiedBy>
  <cp:revision>2</cp:revision>
  <dcterms:created xsi:type="dcterms:W3CDTF">2026-08-01T02:50:00Z</dcterms:created>
  <dcterms:modified xsi:type="dcterms:W3CDTF">2026-08-01T02:50:00Z</dcterms:modified>
</cp:coreProperties>
</file>