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41357">
      <w:pPr>
        <w:spacing w:line="360" w:lineRule="auto"/>
        <w:jc w:val="both"/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  <w:drawing>
          <wp:inline distT="0" distB="0" distL="114300" distR="114300">
            <wp:extent cx="5274310" cy="3637280"/>
            <wp:effectExtent l="0" t="0" r="2540" b="1270"/>
            <wp:docPr id="5" name="图片 5" descr="服务流程-英文版_01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服务流程-英文版_01(2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D27DC">
      <w:pPr>
        <w:spacing w:line="360" w:lineRule="auto"/>
        <w:jc w:val="center"/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highlight w:val="none"/>
        </w:rPr>
        <w:t xml:space="preserve">Figure </w:t>
      </w:r>
      <w:r>
        <w:rPr>
          <w:rFonts w:hint="eastAsia" w:ascii="Times New Roman" w:hAnsi="Times New Roman" w:cs="Times New Roman"/>
          <w:b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highlight w:val="none"/>
        </w:rPr>
        <w:t xml:space="preserve">1. Flowchart of Pharmaceutical Care for Elderly Patients with Chronic Diseases in </w:t>
      </w:r>
      <w:bookmarkStart w:id="1" w:name="_GoBack"/>
      <w:bookmarkEnd w:id="1"/>
      <w:r>
        <w:rPr>
          <w:rFonts w:hint="eastAsia" w:ascii="Times New Roman" w:hAnsi="Times New Roman" w:cs="Times New Roman"/>
          <w:b/>
          <w:highlight w:val="none"/>
        </w:rPr>
        <w:t>Medical-Nursing Care Integrated Institutions.</w:t>
      </w:r>
    </w:p>
    <w:p w14:paraId="171DE96D">
      <w:pPr>
        <w:spacing w:line="360" w:lineRule="auto"/>
        <w:jc w:val="both"/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</w:pPr>
    </w:p>
    <w:p w14:paraId="423C7AA3">
      <w:pPr>
        <w:spacing w:line="360" w:lineRule="auto"/>
        <w:jc w:val="both"/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  <w:t>Table S1 DRPs Classification</w:t>
      </w:r>
    </w:p>
    <w:tbl>
      <w:tblPr>
        <w:tblStyle w:val="4"/>
        <w:tblW w:w="5394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7"/>
        <w:gridCol w:w="4597"/>
      </w:tblGrid>
      <w:tr w14:paraId="2CE8F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50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7A69ABFD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Palatino Linotype" w:hAnsi="Palatino Linotype" w:eastAsia="宋体" w:cs="Times New Roman"/>
                <w:b/>
                <w:bCs w:val="0"/>
                <w:i/>
                <w:iCs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Palatino Linotype" w:hAnsi="Palatino Linotype" w:eastAsia="宋体" w:cs="Times New Roman"/>
                <w:b/>
                <w:bCs w:val="0"/>
                <w:i w:val="0"/>
                <w:iCs w:val="0"/>
                <w:color w:val="000000"/>
                <w:sz w:val="18"/>
                <w:szCs w:val="18"/>
                <w:highlight w:val="none"/>
              </w:rPr>
              <w:t>DRP subtypes</w:t>
            </w:r>
          </w:p>
        </w:tc>
        <w:tc>
          <w:tcPr>
            <w:tcW w:w="250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00A22E0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Palatino Linotype" w:hAnsi="Palatino Linotype" w:eastAsia="宋体" w:cs="Times New Roman"/>
                <w:b/>
                <w:bCs w:val="0"/>
                <w:i/>
                <w:iCs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18"/>
                <w:szCs w:val="18"/>
                <w:highlight w:val="none"/>
                <w:lang w:val="en-US" w:eastAsia="zh-CN"/>
              </w:rPr>
              <w:t>Common causes</w:t>
            </w:r>
          </w:p>
        </w:tc>
      </w:tr>
      <w:tr w14:paraId="28855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392727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Palatino Linotype" w:hAnsi="Palatino Linotype" w:eastAsia="宋体" w:cs="Times New Roman"/>
                <w:b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1. Need for additional drug therapy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EF80A8">
            <w:pPr>
              <w:widowControl/>
              <w:textAlignment w:val="center"/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(1)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resence of an untreated acute condition; (2)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Need for an additional medication to improve therapeutic efficacy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; (3)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I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ndication for prophylactic medication; (4)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U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ntreated chronic disease despite an established indication for treatment.</w:t>
            </w:r>
          </w:p>
        </w:tc>
      </w:tr>
      <w:tr w14:paraId="4F7E4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250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38E8BA6">
            <w:pPr>
              <w:snapToGrid w:val="0"/>
              <w:spacing w:line="240" w:lineRule="atLeast"/>
              <w:jc w:val="left"/>
              <w:rPr>
                <w:rFonts w:ascii="Palatino Linotype" w:hAnsi="Palatino Linotype" w:eastAsia="宋体" w:cs="Times New Roman"/>
                <w:b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2.</w:t>
            </w:r>
            <w:r>
              <w:rPr>
                <w:rFonts w:hint="eastAsia"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 Discontinue unnecessary medications</w:t>
            </w:r>
          </w:p>
        </w:tc>
        <w:tc>
          <w:tcPr>
            <w:tcW w:w="250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38EE6E0">
            <w:pPr>
              <w:widowControl/>
              <w:textAlignment w:val="center"/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(1)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 xml:space="preserve"> U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nnecessary pharmacological treatment;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(2)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U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nnecessary drug duplication;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(3)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bsence of an established indication for pharmacotherapy.</w:t>
            </w:r>
          </w:p>
        </w:tc>
      </w:tr>
      <w:tr w14:paraId="75AE1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D3DBB6">
            <w:pPr>
              <w:widowControl/>
              <w:numPr>
                <w:ilvl w:val="0"/>
                <w:numId w:val="1"/>
              </w:numPr>
              <w:snapToGrid w:val="0"/>
              <w:spacing w:line="240" w:lineRule="atLeast"/>
              <w:jc w:val="left"/>
              <w:textAlignment w:val="center"/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Inappropriate choice of medicines</w:t>
            </w:r>
          </w:p>
          <w:p w14:paraId="58BF1DC9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Palatino Linotype" w:hAnsi="Palatino Linotype" w:eastAsia="宋体" w:cs="Times New Roman"/>
                <w:b w:val="0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E3A371">
            <w:pPr>
              <w:widowControl/>
              <w:textAlignment w:val="center"/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(1) I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nappropriate dosage form selection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; (2) A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vailability of a more suitable alternative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; (3) 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xcessively complex dosing schedule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; (4) U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nnecessary use of combination products when a single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ingredient agent is adequate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; (5) C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linical contraindication to therapy.</w:t>
            </w:r>
          </w:p>
        </w:tc>
      </w:tr>
      <w:tr w14:paraId="08BB4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250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466719F">
            <w:pPr>
              <w:widowControl/>
              <w:numPr>
                <w:ilvl w:val="0"/>
                <w:numId w:val="0"/>
              </w:numPr>
              <w:snapToGrid w:val="0"/>
              <w:spacing w:line="240" w:lineRule="atLeast"/>
              <w:jc w:val="left"/>
              <w:textAlignment w:val="center"/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</w:pPr>
          </w:p>
          <w:p w14:paraId="481AF9B5">
            <w:pPr>
              <w:snapToGrid w:val="0"/>
              <w:spacing w:line="240" w:lineRule="atLeast"/>
              <w:jc w:val="left"/>
              <w:rPr>
                <w:rFonts w:ascii="Palatino Linotype" w:hAnsi="Palatino Linotype" w:eastAsia="宋体" w:cs="Times New Roman"/>
                <w:b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4.</w:t>
            </w:r>
            <w:r>
              <w:rPr>
                <w:rFonts w:hint="eastAsia"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Subtherapeutic drug exposure</w:t>
            </w:r>
          </w:p>
        </w:tc>
        <w:tc>
          <w:tcPr>
            <w:tcW w:w="250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top"/>
          </w:tcPr>
          <w:p w14:paraId="4B93E50F">
            <w:pPr>
              <w:widowControl/>
              <w:textAlignment w:val="top"/>
              <w:rPr>
                <w:rFonts w:ascii="Palatino Linotype" w:hAnsi="Palatino Linotype" w:eastAsia="宋体" w:cs="Times New Roman"/>
                <w:b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(1) S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ubtherapeutic dose or insufficient serum drug concentration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; (2) 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xcessively prolonged dosing interval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; (3) I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nadequate duration of therapy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; (4) R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educed drug concentration due to drug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drug interactions.</w:t>
            </w:r>
          </w:p>
        </w:tc>
      </w:tr>
      <w:tr w14:paraId="715B6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9272F8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Palatino Linotype" w:hAnsi="Palatino Linotype" w:eastAsia="宋体" w:cs="Times New Roman"/>
                <w:b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5. Supratherapeutic drug exposure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62AB3E">
            <w:pPr>
              <w:widowControl/>
              <w:textAlignment w:val="center"/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(1)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dministration of a supratherapeutic dose or attainment of a toxic serum drug concentration; (2)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xcessively short dosing interval; (3)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U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nnecessarily prolonged treatment duration resulting in cumulative toxicity; (4)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linically significant elevation in drug concentration attributable to pharmacokinetic interactions.</w:t>
            </w:r>
          </w:p>
        </w:tc>
      </w:tr>
      <w:tr w14:paraId="6A357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250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F4707F8">
            <w:pPr>
              <w:snapToGrid w:val="0"/>
              <w:spacing w:line="240" w:lineRule="atLeast"/>
              <w:jc w:val="left"/>
              <w:rPr>
                <w:rFonts w:ascii="Palatino Linotype" w:hAnsi="Palatino Linotype" w:eastAsia="宋体" w:cs="Times New Roman"/>
                <w:b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6.</w:t>
            </w:r>
            <w:r>
              <w:rPr>
                <w:rFonts w:hint="eastAsia"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Adverse drug event</w:t>
            </w:r>
          </w:p>
        </w:tc>
        <w:tc>
          <w:tcPr>
            <w:tcW w:w="250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FD3561">
            <w:pPr>
              <w:widowControl/>
              <w:textAlignment w:val="center"/>
              <w:rPr>
                <w:rFonts w:hint="eastAsia"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(1)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D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rug-drug interactions; (2)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H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istory of allergy or hypersensitivity to the prescribed agent; (3)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ontraindication due to patient-specific factors; (4)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 xml:space="preserve"> I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ncorrect administration technique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 xml:space="preserve">;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(5)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ccurrence of undesirable pharmacological effects within the normal dose range; (6)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verly rapid dose adjustment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.</w:t>
            </w:r>
          </w:p>
        </w:tc>
      </w:tr>
      <w:tr w14:paraId="51081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2ACCAA">
            <w:pPr>
              <w:widowControl/>
              <w:snapToGrid w:val="0"/>
              <w:spacing w:line="240" w:lineRule="atLeast"/>
              <w:jc w:val="left"/>
              <w:textAlignment w:val="center"/>
              <w:rPr>
                <w:rFonts w:ascii="Palatino Linotype" w:hAnsi="Palatino Linotype" w:eastAsia="宋体" w:cs="Times New Roman"/>
                <w:b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7.</w:t>
            </w:r>
            <w:r>
              <w:rPr>
                <w:rFonts w:hint="eastAsia"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Medication non-adherence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317029">
            <w:pPr>
              <w:widowControl/>
              <w:textAlignment w:val="center"/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(1) L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ack of understanding of the indication for medication use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; (2) 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xcessively complex dosing schedule involving multiple medications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; (3) Frequently forgetting to take medications; (4) V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oluntary omission of doses due to perceived ineffectiveness.</w:t>
            </w:r>
          </w:p>
        </w:tc>
      </w:tr>
      <w:tr w14:paraId="429D3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250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90F2D2F">
            <w:pPr>
              <w:snapToGrid w:val="0"/>
              <w:spacing w:line="240" w:lineRule="atLeast"/>
              <w:jc w:val="left"/>
              <w:rPr>
                <w:rFonts w:ascii="Palatino Linotype" w:hAnsi="Palatino Linotype" w:eastAsia="宋体" w:cs="Times New Roman"/>
                <w:b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8.</w:t>
            </w:r>
            <w:r>
              <w:rPr>
                <w:rFonts w:hint="eastAsia"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Inadequate self-care knowledge</w:t>
            </w:r>
          </w:p>
        </w:tc>
        <w:tc>
          <w:tcPr>
            <w:tcW w:w="250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81288D1">
            <w:pPr>
              <w:widowControl/>
              <w:textAlignment w:val="center"/>
              <w:rPr>
                <w:rFonts w:ascii="Palatino Linotype" w:hAnsi="Palatino Linotype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 xml:space="preserve">(1)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Inadequate understanding of the disease and appropriate healthcare-seeking behavior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 xml:space="preserve">; (2)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Suboptimal self-care skills or unhealthy lifestyle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 xml:space="preserve">; (3)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Misuse or misconceptions regarding over-the-counter (OTC) medications, supplements, or herbal medicines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 xml:space="preserve">; (4)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0"/>
                <w:sz w:val="18"/>
                <w:szCs w:val="18"/>
                <w:highlight w:val="none"/>
              </w:rPr>
              <w:t>Lack of awareness of precautions associated with prescribed medications.</w:t>
            </w:r>
          </w:p>
        </w:tc>
      </w:tr>
    </w:tbl>
    <w:p w14:paraId="2C92F2DD">
      <w:pPr>
        <w:spacing w:line="480" w:lineRule="auto"/>
        <w:rPr>
          <w:rFonts w:hint="default"/>
          <w:b/>
          <w:bCs/>
          <w:sz w:val="21"/>
          <w:szCs w:val="21"/>
          <w:highlight w:val="none"/>
          <w:lang w:val="en-US" w:eastAsia="zh-CN"/>
        </w:rPr>
      </w:pPr>
    </w:p>
    <w:p w14:paraId="38B88CAB">
      <w:pPr>
        <w:spacing w:line="360" w:lineRule="auto"/>
        <w:jc w:val="both"/>
        <w:rPr>
          <w:rFonts w:hint="eastAsia" w:ascii="Times New Roman" w:hAns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Cs w:val="21"/>
          <w:highlight w:val="none"/>
          <w:lang w:val="en-US" w:eastAsia="zh-CN"/>
        </w:rPr>
        <w:t xml:space="preserve">Table S2 </w:t>
      </w:r>
      <w:r>
        <w:rPr>
          <w:rFonts w:hint="eastAsia" w:ascii="Times New Roman" w:hAnsi="Times New Roman" w:cs="Times New Roman"/>
          <w:b/>
          <w:bCs/>
          <w:color w:val="auto"/>
          <w:szCs w:val="21"/>
          <w:highlight w:val="none"/>
        </w:rPr>
        <w:t>Comparison of blood pressure and changes before and after intervention in hypertensive patients</w:t>
      </w:r>
    </w:p>
    <w:tbl>
      <w:tblPr>
        <w:tblStyle w:val="9"/>
        <w:tblW w:w="5129" w:type="pct"/>
        <w:tblInd w:w="0" w:type="dxa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1438"/>
        <w:gridCol w:w="1624"/>
        <w:gridCol w:w="2476"/>
        <w:gridCol w:w="1101"/>
      </w:tblGrid>
      <w:tr w14:paraId="1C1C1743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20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insideV w:val="nil"/>
              <w:tl2br w:val="nil"/>
            </w:tcBorders>
            <w:shd w:val="clear" w:color="auto" w:fill="FFFFFF"/>
            <w:noWrap/>
          </w:tcPr>
          <w:p w14:paraId="25D602C7">
            <w:pPr>
              <w:widowControl/>
              <w:spacing w:before="0" w:after="0"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Outcome</w:t>
            </w:r>
          </w:p>
        </w:tc>
        <w:tc>
          <w:tcPr>
            <w:tcW w:w="822" w:type="pct"/>
            <w:tcBorders>
              <w:top w:val="single" w:color="000000" w:sz="12" w:space="0"/>
              <w:bottom w:val="single" w:color="000000" w:sz="4" w:space="0"/>
              <w:right w:val="nil"/>
              <w:insideV w:val="nil"/>
            </w:tcBorders>
            <w:shd w:val="clear" w:color="auto" w:fill="FFFFFF"/>
            <w:noWrap/>
          </w:tcPr>
          <w:p w14:paraId="026C836E">
            <w:pPr>
              <w:widowControl/>
              <w:spacing w:before="0" w:after="0"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 xml:space="preserve">Control </w:t>
            </w:r>
          </w:p>
          <w:p w14:paraId="4D0255F0">
            <w:pPr>
              <w:widowControl/>
              <w:spacing w:before="0" w:after="0"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(n=88)</w:t>
            </w:r>
          </w:p>
        </w:tc>
        <w:tc>
          <w:tcPr>
            <w:tcW w:w="928" w:type="pct"/>
            <w:tcBorders>
              <w:top w:val="single" w:color="000000" w:sz="12" w:space="0"/>
              <w:bottom w:val="single" w:color="000000" w:sz="4" w:space="0"/>
              <w:right w:val="nil"/>
              <w:insideV w:val="nil"/>
            </w:tcBorders>
            <w:shd w:val="clear" w:color="auto" w:fill="FFFFFF"/>
            <w:noWrap/>
          </w:tcPr>
          <w:p w14:paraId="027E60D6">
            <w:pPr>
              <w:widowControl/>
              <w:spacing w:before="0" w:after="0"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Intervention (n=86)</w:t>
            </w:r>
          </w:p>
        </w:tc>
        <w:tc>
          <w:tcPr>
            <w:tcW w:w="1416" w:type="pct"/>
            <w:tcBorders>
              <w:top w:val="single" w:color="000000" w:sz="12" w:space="0"/>
              <w:bottom w:val="single" w:color="000000" w:sz="4" w:space="0"/>
              <w:right w:val="nil"/>
              <w:insideV w:val="nil"/>
            </w:tcBorders>
            <w:shd w:val="clear" w:color="auto" w:fill="FFFFFF"/>
            <w:noWrap/>
          </w:tcPr>
          <w:p w14:paraId="2E507C66">
            <w:pPr>
              <w:widowControl/>
              <w:spacing w:before="0" w:after="0"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 xml:space="preserve">Mean difference (95% CI) </w:t>
            </w:r>
          </w:p>
        </w:tc>
        <w:tc>
          <w:tcPr>
            <w:tcW w:w="629" w:type="pct"/>
            <w:tcBorders>
              <w:top w:val="single" w:color="000000" w:sz="12" w:space="0"/>
              <w:bottom w:val="single" w:color="000000" w:sz="4" w:space="0"/>
              <w:right w:val="nil"/>
              <w:insideV w:val="nil"/>
            </w:tcBorders>
            <w:shd w:val="clear" w:color="auto" w:fill="FFFFFF"/>
            <w:noWrap/>
            <w:vAlign w:val="top"/>
          </w:tcPr>
          <w:p w14:paraId="6E02F662">
            <w:pPr>
              <w:widowControl/>
              <w:spacing w:before="0" w:after="0"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/>
                <w:iCs/>
                <w:color w:val="auto"/>
                <w:kern w:val="0"/>
                <w:sz w:val="18"/>
                <w:szCs w:val="18"/>
                <w:highlight w:val="none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</w:rPr>
              <w:t>value</w:t>
            </w:r>
          </w:p>
        </w:tc>
      </w:tr>
      <w:tr w14:paraId="634E5033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202" w:type="pct"/>
            <w:shd w:val="clear" w:color="auto" w:fill="FFFFFF"/>
            <w:noWrap/>
          </w:tcPr>
          <w:p w14:paraId="063D7457">
            <w:pPr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SBP at b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aseline, mean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SD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43BE0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136.09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17.62</w:t>
            </w:r>
          </w:p>
        </w:tc>
        <w:tc>
          <w:tcPr>
            <w:tcW w:w="928" w:type="pct"/>
            <w:shd w:val="clear" w:color="auto" w:fill="FFFFFF"/>
            <w:noWrap/>
            <w:vAlign w:val="center"/>
          </w:tcPr>
          <w:p w14:paraId="1B485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137.83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17.33</w:t>
            </w:r>
          </w:p>
        </w:tc>
        <w:tc>
          <w:tcPr>
            <w:tcW w:w="1416" w:type="pct"/>
            <w:shd w:val="clear" w:color="auto" w:fill="FFFFFF"/>
            <w:noWrap/>
            <w:vAlign w:val="center"/>
          </w:tcPr>
          <w:p w14:paraId="250117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1.74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(-3.49,6.96)</w:t>
            </w:r>
          </w:p>
        </w:tc>
        <w:tc>
          <w:tcPr>
            <w:tcW w:w="629" w:type="pct"/>
            <w:shd w:val="clear" w:color="auto" w:fill="FFFFFF"/>
            <w:noWrap/>
            <w:vAlign w:val="center"/>
          </w:tcPr>
          <w:p w14:paraId="4B885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0.514</w:t>
            </w:r>
          </w:p>
        </w:tc>
      </w:tr>
      <w:tr w14:paraId="63EE371A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202" w:type="pct"/>
            <w:shd w:val="clear" w:color="auto" w:fill="FFFFFF"/>
            <w:noWrap/>
          </w:tcPr>
          <w:p w14:paraId="3BC54817">
            <w:pPr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SBP</w:t>
            </w: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at follow-up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, mean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SD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1A9A4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136.97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21.59</w:t>
            </w:r>
          </w:p>
        </w:tc>
        <w:tc>
          <w:tcPr>
            <w:tcW w:w="928" w:type="pct"/>
            <w:shd w:val="clear" w:color="auto" w:fill="FFFFFF"/>
            <w:noWrap/>
            <w:vAlign w:val="center"/>
          </w:tcPr>
          <w:p w14:paraId="3F9BF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133.47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16.25</w:t>
            </w:r>
          </w:p>
        </w:tc>
        <w:tc>
          <w:tcPr>
            <w:tcW w:w="1416" w:type="pct"/>
            <w:shd w:val="clear" w:color="auto" w:fill="FFFFFF"/>
            <w:noWrap/>
            <w:vAlign w:val="center"/>
          </w:tcPr>
          <w:p w14:paraId="0A6A93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-3.50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(-9.17,2.17)</w:t>
            </w:r>
          </w:p>
        </w:tc>
        <w:tc>
          <w:tcPr>
            <w:tcW w:w="629" w:type="pct"/>
            <w:shd w:val="clear" w:color="auto" w:fill="FFFFFF"/>
            <w:noWrap/>
            <w:vAlign w:val="center"/>
          </w:tcPr>
          <w:p w14:paraId="51B49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0.225</w:t>
            </w:r>
          </w:p>
        </w:tc>
      </w:tr>
      <w:tr w14:paraId="03AC867E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202" w:type="pct"/>
            <w:shd w:val="clear" w:color="auto" w:fill="FFFFFF"/>
            <w:noWrap/>
            <w:vAlign w:val="top"/>
          </w:tcPr>
          <w:p w14:paraId="5971D76D">
            <w:pPr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SBP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difference change, mean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SD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0DEF2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18.36</w:t>
            </w:r>
          </w:p>
        </w:tc>
        <w:tc>
          <w:tcPr>
            <w:tcW w:w="928" w:type="pct"/>
            <w:shd w:val="clear" w:color="auto" w:fill="FFFFFF"/>
            <w:noWrap/>
            <w:vAlign w:val="center"/>
          </w:tcPr>
          <w:p w14:paraId="655C1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-4.34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18.93</w:t>
            </w:r>
          </w:p>
        </w:tc>
        <w:tc>
          <w:tcPr>
            <w:tcW w:w="1416" w:type="pct"/>
            <w:shd w:val="clear" w:color="auto" w:fill="FFFFFF"/>
            <w:noWrap/>
            <w:vAlign w:val="center"/>
          </w:tcPr>
          <w:p w14:paraId="2FA97E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-5.23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(-10.82,0.35)</w:t>
            </w:r>
          </w:p>
        </w:tc>
        <w:tc>
          <w:tcPr>
            <w:tcW w:w="629" w:type="pct"/>
            <w:shd w:val="clear" w:color="auto" w:fill="FFFFFF"/>
            <w:noWrap/>
            <w:vAlign w:val="center"/>
          </w:tcPr>
          <w:p w14:paraId="7073B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0.066</w:t>
            </w:r>
          </w:p>
        </w:tc>
      </w:tr>
      <w:tr w14:paraId="3F00C4D7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202" w:type="pct"/>
            <w:shd w:val="clear" w:color="auto" w:fill="FFFFFF"/>
            <w:noWrap/>
          </w:tcPr>
          <w:p w14:paraId="7EA7EAD5">
            <w:pPr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DBP at b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aseline, mean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SD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2706C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72.72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11.45</w:t>
            </w:r>
          </w:p>
        </w:tc>
        <w:tc>
          <w:tcPr>
            <w:tcW w:w="928" w:type="pct"/>
            <w:shd w:val="clear" w:color="auto" w:fill="FFFFFF"/>
            <w:noWrap/>
            <w:vAlign w:val="center"/>
          </w:tcPr>
          <w:p w14:paraId="0A890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72.35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10.64</w:t>
            </w:r>
          </w:p>
        </w:tc>
        <w:tc>
          <w:tcPr>
            <w:tcW w:w="1416" w:type="pct"/>
            <w:shd w:val="clear" w:color="auto" w:fill="FFFFFF"/>
            <w:noWrap/>
            <w:vAlign w:val="center"/>
          </w:tcPr>
          <w:p w14:paraId="3FA96C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-0.37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(-3.67,2.94)</w:t>
            </w:r>
          </w:p>
        </w:tc>
        <w:tc>
          <w:tcPr>
            <w:tcW w:w="629" w:type="pct"/>
            <w:shd w:val="clear" w:color="auto" w:fill="FFFFFF"/>
            <w:noWrap/>
            <w:vAlign w:val="center"/>
          </w:tcPr>
          <w:p w14:paraId="52B4B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0.827</w:t>
            </w:r>
          </w:p>
        </w:tc>
      </w:tr>
      <w:tr w14:paraId="623A6B19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202" w:type="pct"/>
            <w:shd w:val="clear" w:color="auto" w:fill="FFFFFF"/>
            <w:noWrap/>
          </w:tcPr>
          <w:p w14:paraId="661F3E57">
            <w:pPr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DBP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at follow-up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, mean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SD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25599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71.77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11.13</w:t>
            </w:r>
          </w:p>
        </w:tc>
        <w:tc>
          <w:tcPr>
            <w:tcW w:w="928" w:type="pct"/>
            <w:shd w:val="clear" w:color="auto" w:fill="FFFFFF"/>
            <w:noWrap/>
            <w:vAlign w:val="center"/>
          </w:tcPr>
          <w:p w14:paraId="693FC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71.24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9.68</w:t>
            </w:r>
          </w:p>
        </w:tc>
        <w:tc>
          <w:tcPr>
            <w:tcW w:w="1416" w:type="pct"/>
            <w:shd w:val="clear" w:color="auto" w:fill="FFFFFF"/>
            <w:noWrap/>
            <w:vAlign w:val="center"/>
          </w:tcPr>
          <w:p w14:paraId="17E478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-0.53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(-3.65,2.59)</w:t>
            </w:r>
          </w:p>
        </w:tc>
        <w:tc>
          <w:tcPr>
            <w:tcW w:w="629" w:type="pct"/>
            <w:shd w:val="clear" w:color="auto" w:fill="FFFFFF"/>
            <w:noWrap/>
            <w:vAlign w:val="center"/>
          </w:tcPr>
          <w:p w14:paraId="1AF32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0.739</w:t>
            </w:r>
          </w:p>
        </w:tc>
      </w:tr>
      <w:tr w14:paraId="55C67BEA"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202" w:type="pct"/>
            <w:shd w:val="clear" w:color="auto" w:fill="FFFFFF"/>
            <w:noWrap/>
          </w:tcPr>
          <w:p w14:paraId="1D33BE4E">
            <w:pPr>
              <w:jc w:val="left"/>
              <w:rPr>
                <w:rFonts w:hint="default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bookmarkStart w:id="0" w:name="OLE_LINK39"/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DBP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difference change, mean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SD</w:t>
            </w:r>
          </w:p>
        </w:tc>
        <w:tc>
          <w:tcPr>
            <w:tcW w:w="822" w:type="pct"/>
            <w:shd w:val="clear" w:color="auto" w:fill="FFFFFF"/>
            <w:noWrap/>
            <w:vAlign w:val="center"/>
          </w:tcPr>
          <w:p w14:paraId="1873B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-0.94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11.29</w:t>
            </w:r>
          </w:p>
        </w:tc>
        <w:tc>
          <w:tcPr>
            <w:tcW w:w="928" w:type="pct"/>
            <w:shd w:val="clear" w:color="auto" w:fill="FFFFFF"/>
            <w:noWrap/>
            <w:vAlign w:val="center"/>
          </w:tcPr>
          <w:p w14:paraId="319F0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-1.10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9.96</w:t>
            </w:r>
          </w:p>
        </w:tc>
        <w:tc>
          <w:tcPr>
            <w:tcW w:w="1416" w:type="pct"/>
            <w:shd w:val="clear" w:color="auto" w:fill="FFFFFF"/>
            <w:noWrap/>
            <w:vAlign w:val="center"/>
          </w:tcPr>
          <w:p w14:paraId="336B17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-0.16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(-3.35,3.03)</w:t>
            </w:r>
          </w:p>
        </w:tc>
        <w:tc>
          <w:tcPr>
            <w:tcW w:w="629" w:type="pct"/>
            <w:shd w:val="clear" w:color="auto" w:fill="FFFFFF"/>
            <w:noWrap/>
            <w:vAlign w:val="center"/>
          </w:tcPr>
          <w:p w14:paraId="48F97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0.921</w:t>
            </w:r>
          </w:p>
        </w:tc>
      </w:tr>
    </w:tbl>
    <w:p w14:paraId="0749095D">
      <w:pPr>
        <w:spacing w:line="360" w:lineRule="auto"/>
        <w:jc w:val="both"/>
        <w:rPr>
          <w:rFonts w:ascii="Times New Roman" w:hAnsi="Times New Roman" w:cs="Times New Roman"/>
          <w:b/>
          <w:bCs/>
          <w:szCs w:val="21"/>
          <w:highlight w:val="none"/>
        </w:rPr>
      </w:pPr>
    </w:p>
    <w:p w14:paraId="6D9F0E74">
      <w:pPr>
        <w:spacing w:line="360" w:lineRule="auto"/>
        <w:jc w:val="both"/>
        <w:rPr>
          <w:rFonts w:hint="default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Cs w:val="21"/>
          <w:highlight w:val="none"/>
          <w:lang w:val="en-US" w:eastAsia="zh-CN"/>
        </w:rPr>
        <w:t>Table S</w:t>
      </w:r>
      <w:bookmarkEnd w:id="0"/>
      <w:r>
        <w:rPr>
          <w:rFonts w:hint="eastAsia" w:ascii="Times New Roman" w:hAnsi="Times New Roman" w:cs="Times New Roman"/>
          <w:b/>
          <w:bCs/>
          <w:color w:val="auto"/>
          <w:szCs w:val="21"/>
          <w:highlight w:val="none"/>
          <w:lang w:val="en-US" w:eastAsia="zh-CN"/>
        </w:rPr>
        <w:t xml:space="preserve">3 </w:t>
      </w:r>
      <w:r>
        <w:rPr>
          <w:rFonts w:hint="eastAsia" w:ascii="Times New Roman" w:hAnsi="Times New Roman" w:cs="Times New Roman"/>
          <w:b/>
          <w:bCs/>
          <w:color w:val="auto"/>
          <w:szCs w:val="21"/>
          <w:highlight w:val="none"/>
        </w:rPr>
        <w:t xml:space="preserve">Comparison of </w:t>
      </w:r>
      <w:r>
        <w:rPr>
          <w:rFonts w:hint="eastAsia" w:ascii="Times New Roman" w:hAnsi="Times New Roman" w:cs="Times New Roman"/>
          <w:b/>
          <w:bCs/>
          <w:color w:val="auto"/>
          <w:szCs w:val="21"/>
          <w:highlight w:val="none"/>
          <w:lang w:val="en-US" w:eastAsia="zh-CN"/>
        </w:rPr>
        <w:t>glycemic</w:t>
      </w:r>
      <w:r>
        <w:rPr>
          <w:rFonts w:hint="eastAsia" w:ascii="Times New Roman" w:hAnsi="Times New Roman" w:cs="Times New Roman"/>
          <w:b/>
          <w:bCs/>
          <w:color w:val="auto"/>
          <w:szCs w:val="21"/>
          <w:highlight w:val="none"/>
        </w:rPr>
        <w:t xml:space="preserve"> and changes before and after intervention in diabetes mellitus patients</w:t>
      </w:r>
    </w:p>
    <w:tbl>
      <w:tblPr>
        <w:tblStyle w:val="4"/>
        <w:tblW w:w="485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3"/>
        <w:gridCol w:w="1542"/>
        <w:gridCol w:w="1527"/>
        <w:gridCol w:w="1763"/>
        <w:gridCol w:w="1326"/>
      </w:tblGrid>
      <w:tr w14:paraId="694DE375">
        <w:trPr>
          <w:trHeight w:val="270" w:hRule="atLeast"/>
          <w:jc w:val="center"/>
        </w:trPr>
        <w:tc>
          <w:tcPr>
            <w:tcW w:w="127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1F55DB35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Outcome</w:t>
            </w:r>
          </w:p>
        </w:tc>
        <w:tc>
          <w:tcPr>
            <w:tcW w:w="93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5CD61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Control (n=48)</w:t>
            </w:r>
          </w:p>
        </w:tc>
        <w:tc>
          <w:tcPr>
            <w:tcW w:w="92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5396E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Intervention (n=50)</w:t>
            </w:r>
          </w:p>
        </w:tc>
        <w:tc>
          <w:tcPr>
            <w:tcW w:w="106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FB6D1A8">
            <w:pPr>
              <w:widowControl/>
              <w:spacing w:before="0" w:after="0"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Mean difference</w:t>
            </w:r>
          </w:p>
          <w:p w14:paraId="61A857C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(95% CI) </w:t>
            </w:r>
          </w:p>
        </w:tc>
        <w:tc>
          <w:tcPr>
            <w:tcW w:w="80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16A8E7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highlight w:val="none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</w:rPr>
              <w:t xml:space="preserve"> value</w:t>
            </w:r>
          </w:p>
        </w:tc>
      </w:tr>
      <w:tr w14:paraId="79F55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5D9DC1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  <w:t>HbA1c</w:t>
            </w: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at b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aseline, mean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SD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95FD0B">
            <w:pPr>
              <w:rPr>
                <w:rFonts w:hint="default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  <w:t>6.91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± </w:t>
            </w: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  <w:t>1.82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3752E6">
            <w:pPr>
              <w:rPr>
                <w:rFonts w:hint="default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  <w:t>6.90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± </w:t>
            </w: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  <w:t>1.49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7E2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(-0.67,0.65)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03AFE5">
            <w:pPr>
              <w:rPr>
                <w:rFonts w:hint="eastAsia" w:ascii="Times New Roman" w:hAnsi="Times New Roman" w:cs="Times New Roman" w:eastAsiaTheme="minorEastAsia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  <w:t>0.98</w:t>
            </w:r>
            <w:r>
              <w:rPr>
                <w:rFonts w:hint="eastAsia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</w:tr>
      <w:tr w14:paraId="77855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04C945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  <w:t>HbA1c</w:t>
            </w: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at follow-up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, mean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SD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F4330A">
            <w:pPr>
              <w:rPr>
                <w:rFonts w:hint="default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  <w:t>6.73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± </w:t>
            </w: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  <w:t>1.61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3EB223">
            <w:pPr>
              <w:rPr>
                <w:rFonts w:hint="default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  <w:t>6.37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± </w:t>
            </w: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  <w:t>1.05</w:t>
            </w:r>
          </w:p>
        </w:tc>
        <w:tc>
          <w:tcPr>
            <w:tcW w:w="10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841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-0.36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(-0.91,0.18)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5E2E66">
            <w:pPr>
              <w:rPr>
                <w:rFonts w:hint="eastAsia" w:ascii="Times New Roman" w:hAnsi="Times New Roman" w:cs="Times New Roman" w:eastAsiaTheme="minorEastAsia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  <w:t>0.18</w:t>
            </w:r>
            <w:r>
              <w:rPr>
                <w:rFonts w:hint="eastAsia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</w:tr>
      <w:tr w14:paraId="49CC8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B6320D3">
            <w:pPr>
              <w:jc w:val="left"/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  <w:t>HbA1c</w:t>
            </w:r>
            <w: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difference change, mean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±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</w:rPr>
              <w:t>SD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50C7875">
            <w:pP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-0.17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±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1.38</w:t>
            </w:r>
          </w:p>
        </w:tc>
        <w:tc>
          <w:tcPr>
            <w:tcW w:w="92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7D74863">
            <w:pPr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-0.52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±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1.34</w:t>
            </w:r>
          </w:p>
        </w:tc>
        <w:tc>
          <w:tcPr>
            <w:tcW w:w="106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FF55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auto"/>
                <w:sz w:val="18"/>
                <w:szCs w:val="18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-0.35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(-0.9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,0.19)</w:t>
            </w:r>
          </w:p>
        </w:tc>
        <w:tc>
          <w:tcPr>
            <w:tcW w:w="80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B13372E">
            <w:pPr>
              <w:rPr>
                <w:rFonts w:hint="default" w:ascii="Times New Roman" w:hAnsi="Times New Roman" w:cs="Times New Roman" w:eastAsiaTheme="minor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0.2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00</w:t>
            </w:r>
          </w:p>
        </w:tc>
      </w:tr>
    </w:tbl>
    <w:p w14:paraId="4912B6B3">
      <w:pPr>
        <w:spacing w:line="360" w:lineRule="auto"/>
        <w:jc w:val="both"/>
        <w:rPr>
          <w:rFonts w:hint="default" w:ascii="Times New Roman" w:hAnsi="Times New Roman" w:cs="Times New Roman"/>
          <w:b/>
          <w:bCs/>
          <w:szCs w:val="21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710F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BB7E4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BB7E4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0FA212"/>
    <w:multiLevelType w:val="singleLevel"/>
    <w:tmpl w:val="AA0FA212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C39FC"/>
    <w:rsid w:val="01875DDB"/>
    <w:rsid w:val="01A20F1D"/>
    <w:rsid w:val="01FD445E"/>
    <w:rsid w:val="024B6E08"/>
    <w:rsid w:val="02C646E1"/>
    <w:rsid w:val="034741AF"/>
    <w:rsid w:val="03AF1619"/>
    <w:rsid w:val="04117ADE"/>
    <w:rsid w:val="044A1F5D"/>
    <w:rsid w:val="04B76357"/>
    <w:rsid w:val="04C3537C"/>
    <w:rsid w:val="05364ECC"/>
    <w:rsid w:val="05D71325"/>
    <w:rsid w:val="062474DB"/>
    <w:rsid w:val="06277B8D"/>
    <w:rsid w:val="06A116ED"/>
    <w:rsid w:val="07195727"/>
    <w:rsid w:val="079218FE"/>
    <w:rsid w:val="07C763C4"/>
    <w:rsid w:val="08493DEA"/>
    <w:rsid w:val="08601134"/>
    <w:rsid w:val="092C1016"/>
    <w:rsid w:val="094A2D56"/>
    <w:rsid w:val="097E7AC3"/>
    <w:rsid w:val="09885AFC"/>
    <w:rsid w:val="0A3C237F"/>
    <w:rsid w:val="0A9D1F61"/>
    <w:rsid w:val="0AC110ED"/>
    <w:rsid w:val="0ADF27E4"/>
    <w:rsid w:val="0B0A43BB"/>
    <w:rsid w:val="0B2544C5"/>
    <w:rsid w:val="0B5C2086"/>
    <w:rsid w:val="0B642CE9"/>
    <w:rsid w:val="0B785A87"/>
    <w:rsid w:val="0B786794"/>
    <w:rsid w:val="0B9335CE"/>
    <w:rsid w:val="0C542D5E"/>
    <w:rsid w:val="0D0364DD"/>
    <w:rsid w:val="0D2C3786"/>
    <w:rsid w:val="0DF95DD0"/>
    <w:rsid w:val="0E0E6736"/>
    <w:rsid w:val="0E663ABC"/>
    <w:rsid w:val="0EF94199"/>
    <w:rsid w:val="0F2033CB"/>
    <w:rsid w:val="0FA062BA"/>
    <w:rsid w:val="0FB72B2C"/>
    <w:rsid w:val="0FDA5824"/>
    <w:rsid w:val="10507EB4"/>
    <w:rsid w:val="107515F1"/>
    <w:rsid w:val="108617F0"/>
    <w:rsid w:val="10E36DA6"/>
    <w:rsid w:val="110A5242"/>
    <w:rsid w:val="11287383"/>
    <w:rsid w:val="11366ED6"/>
    <w:rsid w:val="1157728C"/>
    <w:rsid w:val="11DB0C82"/>
    <w:rsid w:val="123E4294"/>
    <w:rsid w:val="12BB1553"/>
    <w:rsid w:val="1319085D"/>
    <w:rsid w:val="140B4E5D"/>
    <w:rsid w:val="144E2788"/>
    <w:rsid w:val="14535C83"/>
    <w:rsid w:val="14895975"/>
    <w:rsid w:val="14F050B9"/>
    <w:rsid w:val="15ED30A0"/>
    <w:rsid w:val="15FD10AF"/>
    <w:rsid w:val="1606156C"/>
    <w:rsid w:val="161F262E"/>
    <w:rsid w:val="164F6FA2"/>
    <w:rsid w:val="16810BF3"/>
    <w:rsid w:val="16922E00"/>
    <w:rsid w:val="16F21AF1"/>
    <w:rsid w:val="17622D2A"/>
    <w:rsid w:val="17B467ED"/>
    <w:rsid w:val="17BD1490"/>
    <w:rsid w:val="17CF3BE0"/>
    <w:rsid w:val="17E21B65"/>
    <w:rsid w:val="182B2141"/>
    <w:rsid w:val="18377CB8"/>
    <w:rsid w:val="186E6B56"/>
    <w:rsid w:val="18AC5CCF"/>
    <w:rsid w:val="18ED4079"/>
    <w:rsid w:val="192E48BC"/>
    <w:rsid w:val="19791573"/>
    <w:rsid w:val="1A051B3B"/>
    <w:rsid w:val="1A5F3845"/>
    <w:rsid w:val="1A7D5B75"/>
    <w:rsid w:val="1AAB5668"/>
    <w:rsid w:val="1AEB0D31"/>
    <w:rsid w:val="1AFF273F"/>
    <w:rsid w:val="1B1A7868"/>
    <w:rsid w:val="1B5C00A2"/>
    <w:rsid w:val="1C0B3D0B"/>
    <w:rsid w:val="1C275D99"/>
    <w:rsid w:val="1C404B96"/>
    <w:rsid w:val="1C825BF4"/>
    <w:rsid w:val="1CA308FE"/>
    <w:rsid w:val="1DF4614E"/>
    <w:rsid w:val="1E2E5632"/>
    <w:rsid w:val="1E3F638E"/>
    <w:rsid w:val="1E563FD0"/>
    <w:rsid w:val="1EE845FC"/>
    <w:rsid w:val="1EE937D9"/>
    <w:rsid w:val="1F173FA9"/>
    <w:rsid w:val="1F7F413E"/>
    <w:rsid w:val="1FBE4C66"/>
    <w:rsid w:val="20383FC2"/>
    <w:rsid w:val="20AE221E"/>
    <w:rsid w:val="20D139E7"/>
    <w:rsid w:val="20D53AB5"/>
    <w:rsid w:val="216B6728"/>
    <w:rsid w:val="218E2416"/>
    <w:rsid w:val="219043E0"/>
    <w:rsid w:val="22317971"/>
    <w:rsid w:val="22CB70E1"/>
    <w:rsid w:val="2435301D"/>
    <w:rsid w:val="253D03DB"/>
    <w:rsid w:val="255045B2"/>
    <w:rsid w:val="25551BC9"/>
    <w:rsid w:val="25D44116"/>
    <w:rsid w:val="26F31699"/>
    <w:rsid w:val="26FB67A0"/>
    <w:rsid w:val="27085286"/>
    <w:rsid w:val="27343A60"/>
    <w:rsid w:val="27461AC9"/>
    <w:rsid w:val="27F1698F"/>
    <w:rsid w:val="281A0490"/>
    <w:rsid w:val="28357A8F"/>
    <w:rsid w:val="28822A13"/>
    <w:rsid w:val="289C18BC"/>
    <w:rsid w:val="28EC4ED6"/>
    <w:rsid w:val="29CF6348"/>
    <w:rsid w:val="29DE0B40"/>
    <w:rsid w:val="2A1A518F"/>
    <w:rsid w:val="2BA07916"/>
    <w:rsid w:val="2D4F15F3"/>
    <w:rsid w:val="2DB15E0A"/>
    <w:rsid w:val="2DC85380"/>
    <w:rsid w:val="2E237CC3"/>
    <w:rsid w:val="2EC13E2B"/>
    <w:rsid w:val="2FEE50F3"/>
    <w:rsid w:val="30142680"/>
    <w:rsid w:val="306B3570"/>
    <w:rsid w:val="314B1C20"/>
    <w:rsid w:val="314D1E5E"/>
    <w:rsid w:val="31CA5AFA"/>
    <w:rsid w:val="31CF2D03"/>
    <w:rsid w:val="32A97FCE"/>
    <w:rsid w:val="32EE0641"/>
    <w:rsid w:val="330B12A9"/>
    <w:rsid w:val="33370DB7"/>
    <w:rsid w:val="33B51B63"/>
    <w:rsid w:val="33EB40E9"/>
    <w:rsid w:val="345822A9"/>
    <w:rsid w:val="345E2F45"/>
    <w:rsid w:val="349A13A6"/>
    <w:rsid w:val="34BD4BA2"/>
    <w:rsid w:val="34D01D12"/>
    <w:rsid w:val="351729F7"/>
    <w:rsid w:val="36341386"/>
    <w:rsid w:val="36883480"/>
    <w:rsid w:val="370451FC"/>
    <w:rsid w:val="37074CED"/>
    <w:rsid w:val="37CA6825"/>
    <w:rsid w:val="38081FCB"/>
    <w:rsid w:val="38F6586A"/>
    <w:rsid w:val="39040B00"/>
    <w:rsid w:val="3934716A"/>
    <w:rsid w:val="39BC3B6C"/>
    <w:rsid w:val="3A8B75BA"/>
    <w:rsid w:val="3AAD388C"/>
    <w:rsid w:val="3AAF36D1"/>
    <w:rsid w:val="3AF70BD4"/>
    <w:rsid w:val="3B622797"/>
    <w:rsid w:val="3B921A3E"/>
    <w:rsid w:val="3BBF1BC8"/>
    <w:rsid w:val="3C553788"/>
    <w:rsid w:val="3CB12907"/>
    <w:rsid w:val="3CC435DC"/>
    <w:rsid w:val="3EA51073"/>
    <w:rsid w:val="3ECA13E6"/>
    <w:rsid w:val="3FC217B1"/>
    <w:rsid w:val="4070745F"/>
    <w:rsid w:val="40776A3F"/>
    <w:rsid w:val="40C15F4C"/>
    <w:rsid w:val="41322966"/>
    <w:rsid w:val="41434B73"/>
    <w:rsid w:val="41B33AA7"/>
    <w:rsid w:val="420F08E9"/>
    <w:rsid w:val="42F8252E"/>
    <w:rsid w:val="4308674D"/>
    <w:rsid w:val="431D0717"/>
    <w:rsid w:val="43487EAF"/>
    <w:rsid w:val="43AF6CB4"/>
    <w:rsid w:val="43F05C49"/>
    <w:rsid w:val="442946B9"/>
    <w:rsid w:val="44FB4E73"/>
    <w:rsid w:val="45783CBB"/>
    <w:rsid w:val="457C4AF8"/>
    <w:rsid w:val="46120993"/>
    <w:rsid w:val="461807D7"/>
    <w:rsid w:val="464E1FF0"/>
    <w:rsid w:val="468E358E"/>
    <w:rsid w:val="46A931B6"/>
    <w:rsid w:val="46FE06C7"/>
    <w:rsid w:val="47154607"/>
    <w:rsid w:val="47685334"/>
    <w:rsid w:val="47A0155D"/>
    <w:rsid w:val="47C14A44"/>
    <w:rsid w:val="47E2253F"/>
    <w:rsid w:val="47F941DE"/>
    <w:rsid w:val="489108BA"/>
    <w:rsid w:val="48B331F5"/>
    <w:rsid w:val="49033A36"/>
    <w:rsid w:val="495B7F32"/>
    <w:rsid w:val="499E328F"/>
    <w:rsid w:val="499F3C43"/>
    <w:rsid w:val="499F48B0"/>
    <w:rsid w:val="49F40C3D"/>
    <w:rsid w:val="4A8978D5"/>
    <w:rsid w:val="4AD77089"/>
    <w:rsid w:val="4AE567C4"/>
    <w:rsid w:val="4B204964"/>
    <w:rsid w:val="4B2F1CB6"/>
    <w:rsid w:val="4B94275C"/>
    <w:rsid w:val="4C6C3010"/>
    <w:rsid w:val="4CF05FF5"/>
    <w:rsid w:val="4D13189E"/>
    <w:rsid w:val="4D2116B6"/>
    <w:rsid w:val="4D752558"/>
    <w:rsid w:val="4DA04ECB"/>
    <w:rsid w:val="4E252DBF"/>
    <w:rsid w:val="4E56317A"/>
    <w:rsid w:val="4EBE0A18"/>
    <w:rsid w:val="4EEC5046"/>
    <w:rsid w:val="4EF13E61"/>
    <w:rsid w:val="4F0C63A5"/>
    <w:rsid w:val="4F492FA3"/>
    <w:rsid w:val="4F80187B"/>
    <w:rsid w:val="50606AF6"/>
    <w:rsid w:val="50AF405F"/>
    <w:rsid w:val="50F87728"/>
    <w:rsid w:val="515E4EF1"/>
    <w:rsid w:val="516C3C72"/>
    <w:rsid w:val="5283444E"/>
    <w:rsid w:val="52E73CE8"/>
    <w:rsid w:val="54295E4B"/>
    <w:rsid w:val="558E225D"/>
    <w:rsid w:val="56582A17"/>
    <w:rsid w:val="56BB2E67"/>
    <w:rsid w:val="57050FA0"/>
    <w:rsid w:val="570D48E3"/>
    <w:rsid w:val="57A2219C"/>
    <w:rsid w:val="57DF0C57"/>
    <w:rsid w:val="57F10D21"/>
    <w:rsid w:val="58156E12"/>
    <w:rsid w:val="585227FA"/>
    <w:rsid w:val="58937D37"/>
    <w:rsid w:val="58953AAF"/>
    <w:rsid w:val="591E00BC"/>
    <w:rsid w:val="592D1F39"/>
    <w:rsid w:val="5932373B"/>
    <w:rsid w:val="596F6522"/>
    <w:rsid w:val="59C15E66"/>
    <w:rsid w:val="5A5F4374"/>
    <w:rsid w:val="5AA91A93"/>
    <w:rsid w:val="5ADA39FB"/>
    <w:rsid w:val="5B3A26EB"/>
    <w:rsid w:val="5BA5225B"/>
    <w:rsid w:val="5C076A71"/>
    <w:rsid w:val="5C86411D"/>
    <w:rsid w:val="5C9550FB"/>
    <w:rsid w:val="5D894282"/>
    <w:rsid w:val="5D971C5A"/>
    <w:rsid w:val="5DE11544"/>
    <w:rsid w:val="5DF71793"/>
    <w:rsid w:val="5ECC7233"/>
    <w:rsid w:val="5ECE1AC8"/>
    <w:rsid w:val="5F83500A"/>
    <w:rsid w:val="5FF23595"/>
    <w:rsid w:val="60382B34"/>
    <w:rsid w:val="603F2C27"/>
    <w:rsid w:val="61164887"/>
    <w:rsid w:val="6140265D"/>
    <w:rsid w:val="61FC4B9F"/>
    <w:rsid w:val="62061579"/>
    <w:rsid w:val="6223212B"/>
    <w:rsid w:val="623F0BA1"/>
    <w:rsid w:val="643E4FFA"/>
    <w:rsid w:val="64B17EC2"/>
    <w:rsid w:val="651231C8"/>
    <w:rsid w:val="65913850"/>
    <w:rsid w:val="65A43583"/>
    <w:rsid w:val="661070A1"/>
    <w:rsid w:val="661B74FF"/>
    <w:rsid w:val="668E3AB2"/>
    <w:rsid w:val="675B2D5F"/>
    <w:rsid w:val="67B74A0C"/>
    <w:rsid w:val="68212C69"/>
    <w:rsid w:val="68751207"/>
    <w:rsid w:val="68EF2D67"/>
    <w:rsid w:val="69155FD5"/>
    <w:rsid w:val="696F20FA"/>
    <w:rsid w:val="69C251C2"/>
    <w:rsid w:val="69CB7928"/>
    <w:rsid w:val="6A2F784C"/>
    <w:rsid w:val="6A636F71"/>
    <w:rsid w:val="6A7B25F3"/>
    <w:rsid w:val="6AC02C0D"/>
    <w:rsid w:val="6B481681"/>
    <w:rsid w:val="6C1E0624"/>
    <w:rsid w:val="6C7D46C0"/>
    <w:rsid w:val="6CBF1EDF"/>
    <w:rsid w:val="6CF30F81"/>
    <w:rsid w:val="6D344EC4"/>
    <w:rsid w:val="6D4F2026"/>
    <w:rsid w:val="6E041063"/>
    <w:rsid w:val="6ED547AD"/>
    <w:rsid w:val="6F052765"/>
    <w:rsid w:val="6F4B5C65"/>
    <w:rsid w:val="6F8001BF"/>
    <w:rsid w:val="6F800BBD"/>
    <w:rsid w:val="6FB72B3F"/>
    <w:rsid w:val="6FC00FB9"/>
    <w:rsid w:val="6FD809F9"/>
    <w:rsid w:val="6FEC0D42"/>
    <w:rsid w:val="701E37A1"/>
    <w:rsid w:val="706627F5"/>
    <w:rsid w:val="70AD67CE"/>
    <w:rsid w:val="7124712B"/>
    <w:rsid w:val="719A6430"/>
    <w:rsid w:val="71A1306D"/>
    <w:rsid w:val="71C93715"/>
    <w:rsid w:val="724A34C0"/>
    <w:rsid w:val="72605B7B"/>
    <w:rsid w:val="72723E32"/>
    <w:rsid w:val="729A0BB7"/>
    <w:rsid w:val="73261A7B"/>
    <w:rsid w:val="736F4BE9"/>
    <w:rsid w:val="73D56A03"/>
    <w:rsid w:val="74086CFF"/>
    <w:rsid w:val="742C1037"/>
    <w:rsid w:val="74382034"/>
    <w:rsid w:val="74414007"/>
    <w:rsid w:val="74503971"/>
    <w:rsid w:val="74A52E74"/>
    <w:rsid w:val="75A33CE1"/>
    <w:rsid w:val="763E70DC"/>
    <w:rsid w:val="76966F18"/>
    <w:rsid w:val="76E47C83"/>
    <w:rsid w:val="77240332"/>
    <w:rsid w:val="775546DD"/>
    <w:rsid w:val="77737540"/>
    <w:rsid w:val="77C60D6E"/>
    <w:rsid w:val="783A5239"/>
    <w:rsid w:val="785D7AE3"/>
    <w:rsid w:val="78A376CA"/>
    <w:rsid w:val="79180E4D"/>
    <w:rsid w:val="792E168A"/>
    <w:rsid w:val="794815FC"/>
    <w:rsid w:val="7BEE5100"/>
    <w:rsid w:val="7C0C5586"/>
    <w:rsid w:val="7C4F37CE"/>
    <w:rsid w:val="7C5E0568"/>
    <w:rsid w:val="7C6D4277"/>
    <w:rsid w:val="7D360E8F"/>
    <w:rsid w:val="7D7635FF"/>
    <w:rsid w:val="7DB67EA0"/>
    <w:rsid w:val="7F442791"/>
    <w:rsid w:val="7F741D29"/>
    <w:rsid w:val="7F82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21"/>
    <w:basedOn w:val="6"/>
    <w:qFormat/>
    <w:uiPriority w:val="0"/>
    <w:rPr>
      <w:rFonts w:hint="eastAsia" w:ascii="宋体" w:hAnsi="宋体" w:eastAsia="宋体" w:cs="宋体"/>
      <w:i/>
      <w:iCs/>
      <w:color w:val="000000"/>
      <w:sz w:val="22"/>
      <w:szCs w:val="22"/>
      <w:u w:val="none"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table" w:customStyle="1" w:styleId="9">
    <w:name w:val="浅色底纹1"/>
    <w:basedOn w:val="4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1">
    <w:name w:val="EndNote Bibliography"/>
    <w:basedOn w:val="1"/>
    <w:qFormat/>
    <w:uiPriority w:val="0"/>
    <w:rPr>
      <w:rFonts w:ascii="Calibri" w:hAnsi="Calibri" w:cs="Calibri"/>
      <w:sz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485</Words>
  <Characters>3104</Characters>
  <Lines>0</Lines>
  <Paragraphs>0</Paragraphs>
  <TotalTime>346</TotalTime>
  <ScaleCrop>false</ScaleCrop>
  <LinksUpToDate>false</LinksUpToDate>
  <CharactersWithSpaces>3514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2025-05-06T06:45:00Z</dcterms:created>
  <dc:creator>Administrator</dc:creator>
  <cp:lastModifiedBy>糖葫芦根本咬不动</cp:lastModifiedBy>
  <dcterms:modified xsi:type="dcterms:W3CDTF">2026-08-21T04:09:27Z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eyJoZGlkIjoiNjY0Y2ZlYjk2MDcwYTBiOWVmNmY3ZWRjMWNmYjQyZTIiLCJ1c2VySWQiOiIzMDI4MjI4MjUifQ==</vt:lpwstr>
  </property>
  <property fmtid="{D5CDD505-2E9C-101B-9397-08002B2CF9AE}" pid="4" name="ICV">
    <vt:lpwstr>71572991B6924B0395FB948E28D5273D_12</vt:lpwstr>
  </property>
</Properties>
</file>