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DF8CA">
      <w:pPr>
        <w:rPr>
          <w:rFonts w:ascii="Times New Roman" w:hAnsi="Times New Roman" w:eastAsia="宋体" w:cs="Times New Roman"/>
          <w:b/>
          <w:bCs/>
          <w:color w:val="auto"/>
          <w:szCs w:val="21"/>
          <w:lang w:bidi="ar"/>
        </w:rPr>
      </w:pPr>
      <w:bookmarkStart w:id="1" w:name="_GoBack"/>
      <w:r>
        <w:rPr>
          <w:rFonts w:hint="eastAsia" w:ascii="Times New Roman" w:hAnsi="Times New Roman" w:eastAsia="宋体" w:cs="Times New Roman"/>
          <w:b/>
          <w:bCs/>
          <w:color w:val="auto"/>
          <w:szCs w:val="21"/>
          <w:lang w:bidi="ar"/>
        </w:rPr>
        <w:drawing>
          <wp:inline distT="0" distB="0" distL="114300" distR="114300">
            <wp:extent cx="8834755" cy="4210685"/>
            <wp:effectExtent l="0" t="0" r="4445" b="5715"/>
            <wp:docPr id="2" name="图片 2" descr="幻灯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幻灯片3"/>
                    <pic:cNvPicPr>
                      <a:picLocks noChangeAspect="1"/>
                    </pic:cNvPicPr>
                  </pic:nvPicPr>
                  <pic:blipFill>
                    <a:blip r:embed="rId4"/>
                    <a:stretch>
                      <a:fillRect/>
                    </a:stretch>
                  </pic:blipFill>
                  <pic:spPr>
                    <a:xfrm>
                      <a:off x="0" y="0"/>
                      <a:ext cx="8834755" cy="4210685"/>
                    </a:xfrm>
                    <a:prstGeom prst="rect">
                      <a:avLst/>
                    </a:prstGeom>
                  </pic:spPr>
                </pic:pic>
              </a:graphicData>
            </a:graphic>
          </wp:inline>
        </w:drawing>
      </w:r>
    </w:p>
    <w:p w14:paraId="412E19F6">
      <w:pPr>
        <w:rPr>
          <w:rFonts w:ascii="Times New Roman" w:hAnsi="Times New Roman" w:cs="Times New Roman"/>
          <w:b/>
          <w:bCs/>
          <w:color w:val="auto"/>
          <w:szCs w:val="21"/>
        </w:rPr>
      </w:pPr>
      <w:r>
        <w:rPr>
          <w:rFonts w:hint="eastAsia" w:ascii="Times New Roman" w:hAnsi="Times New Roman" w:eastAsia="宋体" w:cs="Times New Roman"/>
          <w:b/>
          <w:bCs/>
          <w:color w:val="auto"/>
          <w:szCs w:val="21"/>
          <w:lang w:bidi="ar"/>
        </w:rPr>
        <w:t>e</w:t>
      </w:r>
      <w:r>
        <w:rPr>
          <w:rFonts w:ascii="Times New Roman" w:hAnsi="Times New Roman" w:eastAsia="宋体" w:cs="Times New Roman"/>
          <w:b/>
          <w:bCs/>
          <w:color w:val="auto"/>
          <w:szCs w:val="21"/>
          <w:lang w:bidi="ar"/>
        </w:rPr>
        <w:t xml:space="preserve">Figure </w:t>
      </w:r>
      <w:r>
        <w:rPr>
          <w:rFonts w:hint="eastAsia" w:ascii="Times New Roman" w:hAnsi="Times New Roman" w:eastAsia="宋体" w:cs="Times New Roman"/>
          <w:b/>
          <w:bCs/>
          <w:color w:val="auto"/>
          <w:szCs w:val="21"/>
          <w:lang w:bidi="ar"/>
        </w:rPr>
        <w:t>1</w:t>
      </w:r>
      <w:r>
        <w:rPr>
          <w:rFonts w:ascii="Times New Roman" w:hAnsi="Times New Roman" w:eastAsia="宋体" w:cs="Times New Roman"/>
          <w:b/>
          <w:bCs/>
          <w:color w:val="auto"/>
          <w:szCs w:val="21"/>
          <w:lang w:bidi="ar"/>
        </w:rPr>
        <w:t xml:space="preserve"> Receiver operating characteristic curves for overall SOFA-1 and SOFA-2 scores and their individual organ-specific components to predict in-hospital mortality in MIMIC-IV participants</w:t>
      </w:r>
    </w:p>
    <w:p w14:paraId="20A6D9E2">
      <w:pPr>
        <w:rPr>
          <w:rFonts w:ascii="Times New Roman" w:hAnsi="Times New Roman" w:cs="Times New Roman"/>
          <w:b/>
          <w:bCs/>
          <w:color w:val="auto"/>
          <w:szCs w:val="21"/>
        </w:rPr>
      </w:pPr>
      <w:r>
        <w:rPr>
          <w:rFonts w:ascii="Times New Roman" w:hAnsi="Times New Roman" w:eastAsia="宋体" w:cs="Times New Roman"/>
          <w:color w:val="auto"/>
          <w:sz w:val="18"/>
          <w:szCs w:val="18"/>
          <w:lang w:bidi="ar"/>
        </w:rPr>
        <w:t>Abbreviation: SOFA, Sequential Organ Failure Assessment</w:t>
      </w:r>
    </w:p>
    <w:p w14:paraId="3C017749">
      <w:pPr>
        <w:rPr>
          <w:color w:val="auto"/>
        </w:rPr>
        <w:sectPr>
          <w:pgSz w:w="16838" w:h="11906" w:orient="landscape"/>
          <w:pgMar w:top="1797" w:right="1440" w:bottom="1797" w:left="1440" w:header="851" w:footer="992" w:gutter="0"/>
          <w:cols w:space="425" w:num="1"/>
          <w:docGrid w:type="lines" w:linePitch="312" w:charSpace="0"/>
        </w:sectPr>
      </w:pPr>
    </w:p>
    <w:p w14:paraId="1F4A109A">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drawing>
          <wp:inline distT="0" distB="0" distL="114300" distR="114300">
            <wp:extent cx="8834755" cy="4210685"/>
            <wp:effectExtent l="0" t="0" r="4445" b="5715"/>
            <wp:docPr id="3" name="图片 3" descr="幻灯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幻灯片4"/>
                    <pic:cNvPicPr>
                      <a:picLocks noChangeAspect="1"/>
                    </pic:cNvPicPr>
                  </pic:nvPicPr>
                  <pic:blipFill>
                    <a:blip r:embed="rId5"/>
                    <a:stretch>
                      <a:fillRect/>
                    </a:stretch>
                  </pic:blipFill>
                  <pic:spPr>
                    <a:xfrm>
                      <a:off x="0" y="0"/>
                      <a:ext cx="8834755" cy="4210685"/>
                    </a:xfrm>
                    <a:prstGeom prst="rect">
                      <a:avLst/>
                    </a:prstGeom>
                  </pic:spPr>
                </pic:pic>
              </a:graphicData>
            </a:graphic>
          </wp:inline>
        </w:drawing>
      </w:r>
    </w:p>
    <w:p w14:paraId="776B98B1">
      <w:pPr>
        <w:rPr>
          <w:rFonts w:ascii="Times New Roman" w:hAnsi="Times New Roman" w:cs="Times New Roman"/>
          <w:b/>
          <w:bCs/>
          <w:color w:val="auto"/>
          <w:szCs w:val="21"/>
        </w:rPr>
      </w:pPr>
      <w:r>
        <w:rPr>
          <w:rFonts w:hint="eastAsia" w:ascii="Times New Roman" w:hAnsi="Times New Roman" w:eastAsia="宋体" w:cs="Times New Roman"/>
          <w:b/>
          <w:bCs/>
          <w:color w:val="auto"/>
          <w:szCs w:val="21"/>
          <w:lang w:bidi="ar"/>
        </w:rPr>
        <w:t>e</w:t>
      </w:r>
      <w:r>
        <w:rPr>
          <w:rFonts w:ascii="Times New Roman" w:hAnsi="Times New Roman" w:eastAsia="宋体" w:cs="Times New Roman"/>
          <w:b/>
          <w:bCs/>
          <w:color w:val="auto"/>
          <w:szCs w:val="21"/>
          <w:lang w:bidi="ar"/>
        </w:rPr>
        <w:t xml:space="preserve">Figure </w:t>
      </w:r>
      <w:r>
        <w:rPr>
          <w:rFonts w:hint="eastAsia" w:ascii="Times New Roman" w:hAnsi="Times New Roman" w:eastAsia="宋体" w:cs="Times New Roman"/>
          <w:b/>
          <w:bCs/>
          <w:color w:val="auto"/>
          <w:szCs w:val="21"/>
          <w:lang w:bidi="ar"/>
        </w:rPr>
        <w:t>2</w:t>
      </w:r>
      <w:r>
        <w:rPr>
          <w:rFonts w:ascii="Times New Roman" w:hAnsi="Times New Roman" w:eastAsia="宋体" w:cs="Times New Roman"/>
          <w:b/>
          <w:bCs/>
          <w:color w:val="auto"/>
          <w:szCs w:val="21"/>
          <w:lang w:bidi="ar"/>
        </w:rPr>
        <w:t xml:space="preserve"> Receiver operating characteristic curves for overall SOFA-1 and SOFA-2 scores and their individual organ-specific components to predict in-hospital mortality in </w:t>
      </w:r>
      <w:r>
        <w:rPr>
          <w:rFonts w:hint="eastAsia" w:ascii="Times New Roman" w:hAnsi="Times New Roman" w:eastAsia="宋体" w:cs="Times New Roman"/>
          <w:b/>
          <w:bCs/>
          <w:color w:val="auto"/>
          <w:szCs w:val="21"/>
          <w:lang w:bidi="ar"/>
        </w:rPr>
        <w:t>eICU-CRD</w:t>
      </w:r>
      <w:r>
        <w:rPr>
          <w:rFonts w:ascii="Times New Roman" w:hAnsi="Times New Roman" w:eastAsia="宋体" w:cs="Times New Roman"/>
          <w:b/>
          <w:bCs/>
          <w:color w:val="auto"/>
          <w:szCs w:val="21"/>
          <w:lang w:bidi="ar"/>
        </w:rPr>
        <w:t xml:space="preserve"> participants</w:t>
      </w:r>
    </w:p>
    <w:p w14:paraId="75CDB9B4">
      <w:pPr>
        <w:rPr>
          <w:rFonts w:ascii="Times New Roman" w:hAnsi="Times New Roman" w:cs="Times New Roman"/>
          <w:b/>
          <w:bCs/>
          <w:color w:val="auto"/>
          <w:szCs w:val="21"/>
        </w:rPr>
      </w:pPr>
      <w:r>
        <w:rPr>
          <w:rFonts w:ascii="Times New Roman" w:hAnsi="Times New Roman" w:eastAsia="宋体" w:cs="Times New Roman"/>
          <w:color w:val="auto"/>
          <w:sz w:val="18"/>
          <w:szCs w:val="18"/>
          <w:lang w:bidi="ar"/>
        </w:rPr>
        <w:t>Abbreviation: SOFA, Sequential Organ Failure Assessment</w:t>
      </w:r>
    </w:p>
    <w:p w14:paraId="705A34E2">
      <w:pPr>
        <w:rPr>
          <w:color w:val="auto"/>
        </w:rPr>
        <w:sectPr>
          <w:pgSz w:w="16838" w:h="11906" w:orient="landscape"/>
          <w:pgMar w:top="1797" w:right="1440" w:bottom="1797" w:left="1440" w:header="851" w:footer="992" w:gutter="0"/>
          <w:cols w:space="425" w:num="1"/>
          <w:docGrid w:type="lines" w:linePitch="312" w:charSpace="0"/>
        </w:sectPr>
      </w:pPr>
    </w:p>
    <w:p w14:paraId="4FABC41A">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drawing>
          <wp:inline distT="0" distB="0" distL="114300" distR="114300">
            <wp:extent cx="8834755" cy="4210685"/>
            <wp:effectExtent l="0" t="0" r="4445" b="5715"/>
            <wp:docPr id="5" name="图片 5" descr="幻灯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幻灯片5"/>
                    <pic:cNvPicPr>
                      <a:picLocks noChangeAspect="1"/>
                    </pic:cNvPicPr>
                  </pic:nvPicPr>
                  <pic:blipFill>
                    <a:blip r:embed="rId6"/>
                    <a:stretch>
                      <a:fillRect/>
                    </a:stretch>
                  </pic:blipFill>
                  <pic:spPr>
                    <a:xfrm>
                      <a:off x="0" y="0"/>
                      <a:ext cx="8834755" cy="4210685"/>
                    </a:xfrm>
                    <a:prstGeom prst="rect">
                      <a:avLst/>
                    </a:prstGeom>
                  </pic:spPr>
                </pic:pic>
              </a:graphicData>
            </a:graphic>
          </wp:inline>
        </w:drawing>
      </w:r>
    </w:p>
    <w:p w14:paraId="0B8EF8FB">
      <w:pPr>
        <w:rPr>
          <w:rFonts w:ascii="Times New Roman" w:hAnsi="Times New Roman" w:cs="Times New Roman"/>
          <w:b/>
          <w:bCs/>
          <w:color w:val="auto"/>
          <w:szCs w:val="21"/>
        </w:rPr>
      </w:pPr>
      <w:r>
        <w:rPr>
          <w:rFonts w:hint="eastAsia" w:ascii="Times New Roman" w:hAnsi="Times New Roman" w:eastAsia="宋体" w:cs="Times New Roman"/>
          <w:b/>
          <w:bCs/>
          <w:color w:val="auto"/>
          <w:szCs w:val="21"/>
          <w:lang w:bidi="ar"/>
        </w:rPr>
        <w:t>e</w:t>
      </w:r>
      <w:r>
        <w:rPr>
          <w:rFonts w:ascii="Times New Roman" w:hAnsi="Times New Roman" w:eastAsia="宋体" w:cs="Times New Roman"/>
          <w:b/>
          <w:bCs/>
          <w:color w:val="auto"/>
          <w:szCs w:val="21"/>
          <w:lang w:bidi="ar"/>
        </w:rPr>
        <w:t xml:space="preserve">Figure </w:t>
      </w:r>
      <w:r>
        <w:rPr>
          <w:rFonts w:hint="eastAsia" w:ascii="Times New Roman" w:hAnsi="Times New Roman" w:eastAsia="宋体" w:cs="Times New Roman"/>
          <w:b/>
          <w:bCs/>
          <w:color w:val="auto"/>
          <w:szCs w:val="21"/>
          <w:lang w:bidi="ar"/>
        </w:rPr>
        <w:t>3</w:t>
      </w:r>
      <w:r>
        <w:rPr>
          <w:rFonts w:ascii="Times New Roman" w:hAnsi="Times New Roman" w:eastAsia="宋体" w:cs="Times New Roman"/>
          <w:b/>
          <w:bCs/>
          <w:color w:val="auto"/>
          <w:szCs w:val="21"/>
          <w:lang w:bidi="ar"/>
        </w:rPr>
        <w:t xml:space="preserve"> Receiver operating characteristic curves for overall SOFA-1 and SOFA-2 scores and their individual organ-specific components to predict </w:t>
      </w:r>
      <w:r>
        <w:rPr>
          <w:rFonts w:hint="eastAsia" w:ascii="Times New Roman" w:hAnsi="Times New Roman" w:eastAsia="宋体" w:cs="Times New Roman"/>
          <w:b/>
          <w:bCs/>
          <w:color w:val="auto"/>
          <w:szCs w:val="21"/>
          <w:lang w:bidi="ar"/>
        </w:rPr>
        <w:t>28-day</w:t>
      </w:r>
      <w:r>
        <w:rPr>
          <w:rFonts w:ascii="Times New Roman" w:hAnsi="Times New Roman" w:eastAsia="宋体" w:cs="Times New Roman"/>
          <w:b/>
          <w:bCs/>
          <w:color w:val="auto"/>
          <w:szCs w:val="21"/>
          <w:lang w:bidi="ar"/>
        </w:rPr>
        <w:t xml:space="preserve"> mortality in MIMIC-IV participants</w:t>
      </w:r>
    </w:p>
    <w:p w14:paraId="06F27F5E">
      <w:pPr>
        <w:rPr>
          <w:rFonts w:ascii="Times New Roman" w:hAnsi="Times New Roman" w:cs="Times New Roman"/>
          <w:b/>
          <w:bCs/>
          <w:color w:val="auto"/>
          <w:szCs w:val="21"/>
        </w:rPr>
      </w:pPr>
      <w:r>
        <w:rPr>
          <w:rFonts w:ascii="Times New Roman" w:hAnsi="Times New Roman" w:eastAsia="宋体" w:cs="Times New Roman"/>
          <w:color w:val="auto"/>
          <w:sz w:val="18"/>
          <w:szCs w:val="18"/>
          <w:lang w:bidi="ar"/>
        </w:rPr>
        <w:t>Abbreviation: SOFA, Sequential Organ Failure Assessment</w:t>
      </w:r>
    </w:p>
    <w:p w14:paraId="200CE5E2">
      <w:pPr>
        <w:rPr>
          <w:color w:val="auto"/>
        </w:rPr>
      </w:pPr>
    </w:p>
    <w:p w14:paraId="29DBD370">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drawing>
          <wp:inline distT="0" distB="0" distL="114300" distR="114300">
            <wp:extent cx="8834755" cy="4210685"/>
            <wp:effectExtent l="0" t="0" r="4445" b="5715"/>
            <wp:docPr id="1" name="图片 1" descr="/Users/suihua/Desktop/老年人一审/文章/演示文稿/幻灯片1.png幻灯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sers/suihua/Desktop/老年人一审/文章/演示文稿/幻灯片1.png幻灯片1"/>
                    <pic:cNvPicPr>
                      <a:picLocks noChangeAspect="1"/>
                    </pic:cNvPicPr>
                  </pic:nvPicPr>
                  <pic:blipFill>
                    <a:blip r:embed="rId7"/>
                    <a:srcRect t="4" b="4"/>
                    <a:stretch>
                      <a:fillRect/>
                    </a:stretch>
                  </pic:blipFill>
                  <pic:spPr>
                    <a:xfrm>
                      <a:off x="0" y="0"/>
                      <a:ext cx="8834755" cy="4210685"/>
                    </a:xfrm>
                    <a:prstGeom prst="rect">
                      <a:avLst/>
                    </a:prstGeom>
                  </pic:spPr>
                </pic:pic>
              </a:graphicData>
            </a:graphic>
          </wp:inline>
        </w:drawing>
      </w:r>
    </w:p>
    <w:p w14:paraId="714B3C56">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t>eFigure 4. Sensitivity analysis including patients aged 90 years or older: ROC curves for ICU mortality in MIMIC-IV participants</w:t>
      </w:r>
    </w:p>
    <w:p w14:paraId="6E56A879">
      <w:pPr>
        <w:rPr>
          <w:rFonts w:ascii="Times New Roman" w:hAnsi="Times New Roman" w:cs="Times New Roman"/>
          <w:b/>
          <w:bCs/>
          <w:color w:val="auto"/>
          <w:szCs w:val="21"/>
        </w:rPr>
      </w:pPr>
      <w:r>
        <w:rPr>
          <w:rFonts w:ascii="Times New Roman" w:hAnsi="Times New Roman" w:eastAsia="宋体" w:cs="Times New Roman"/>
          <w:color w:val="auto"/>
          <w:sz w:val="18"/>
          <w:szCs w:val="18"/>
          <w:lang w:bidi="ar"/>
        </w:rPr>
        <w:t>Abbreviation: SOFA, Sequential Organ Failure Assessment</w:t>
      </w:r>
    </w:p>
    <w:p w14:paraId="0D8A2644">
      <w:pPr>
        <w:rPr>
          <w:color w:val="auto"/>
        </w:rPr>
      </w:pPr>
    </w:p>
    <w:p w14:paraId="07EABF5F">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drawing>
          <wp:inline distT="0" distB="0" distL="114300" distR="114300">
            <wp:extent cx="8834755" cy="4210685"/>
            <wp:effectExtent l="0" t="0" r="4445" b="5715"/>
            <wp:docPr id="7" name="图片 7" descr="/Users/suihua/Desktop/老年人一审/文章/演示文稿/幻灯片4.png幻灯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Users/suihua/Desktop/老年人一审/文章/演示文稿/幻灯片4.png幻灯片4"/>
                    <pic:cNvPicPr>
                      <a:picLocks noChangeAspect="1"/>
                    </pic:cNvPicPr>
                  </pic:nvPicPr>
                  <pic:blipFill>
                    <a:blip r:embed="rId8"/>
                    <a:srcRect t="4" b="4"/>
                    <a:stretch>
                      <a:fillRect/>
                    </a:stretch>
                  </pic:blipFill>
                  <pic:spPr>
                    <a:xfrm>
                      <a:off x="0" y="0"/>
                      <a:ext cx="8834755" cy="4210685"/>
                    </a:xfrm>
                    <a:prstGeom prst="rect">
                      <a:avLst/>
                    </a:prstGeom>
                  </pic:spPr>
                </pic:pic>
              </a:graphicData>
            </a:graphic>
          </wp:inline>
        </w:drawing>
      </w:r>
    </w:p>
    <w:p w14:paraId="53BC499F">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t>eFigure 5. Sensitivity analysis including patients aged 90 years or older: ROC curves for ICU mortality in eICU-CRD participants</w:t>
      </w:r>
    </w:p>
    <w:p w14:paraId="796135BF">
      <w:pPr>
        <w:rPr>
          <w:rFonts w:ascii="Times New Roman" w:hAnsi="Times New Roman" w:cs="Times New Roman"/>
          <w:b/>
          <w:bCs/>
          <w:color w:val="auto"/>
          <w:szCs w:val="21"/>
        </w:rPr>
      </w:pPr>
      <w:r>
        <w:rPr>
          <w:rFonts w:ascii="Times New Roman" w:hAnsi="Times New Roman" w:eastAsia="宋体" w:cs="Times New Roman"/>
          <w:color w:val="auto"/>
          <w:sz w:val="18"/>
          <w:szCs w:val="18"/>
          <w:lang w:bidi="ar"/>
        </w:rPr>
        <w:t>Abbreviation: SOFA, Sequential Organ Failure Assessment</w:t>
      </w:r>
    </w:p>
    <w:p w14:paraId="2157CA30">
      <w:pPr>
        <w:rPr>
          <w:color w:val="auto"/>
        </w:rPr>
      </w:pPr>
    </w:p>
    <w:p w14:paraId="3FF45932">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drawing>
          <wp:inline distT="0" distB="0" distL="114300" distR="114300">
            <wp:extent cx="8834755" cy="4210685"/>
            <wp:effectExtent l="0" t="0" r="4445" b="5715"/>
            <wp:docPr id="4" name="图片 4" descr="/Users/suihua/Desktop/老年人一审/文章/演示文稿/幻灯片2.png幻灯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Users/suihua/Desktop/老年人一审/文章/演示文稿/幻灯片2.png幻灯片2"/>
                    <pic:cNvPicPr>
                      <a:picLocks noChangeAspect="1"/>
                    </pic:cNvPicPr>
                  </pic:nvPicPr>
                  <pic:blipFill>
                    <a:blip r:embed="rId9"/>
                    <a:srcRect t="4" b="4"/>
                    <a:stretch>
                      <a:fillRect/>
                    </a:stretch>
                  </pic:blipFill>
                  <pic:spPr>
                    <a:xfrm>
                      <a:off x="0" y="0"/>
                      <a:ext cx="8834755" cy="4210685"/>
                    </a:xfrm>
                    <a:prstGeom prst="rect">
                      <a:avLst/>
                    </a:prstGeom>
                  </pic:spPr>
                </pic:pic>
              </a:graphicData>
            </a:graphic>
          </wp:inline>
        </w:drawing>
      </w:r>
    </w:p>
    <w:p w14:paraId="1C0EB120">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t>eFigure 6. Sensitivity analysis including patients aged 90 years or older: ROC curves for in-hospital mortality in MIMIC-IV participants</w:t>
      </w:r>
    </w:p>
    <w:p w14:paraId="7AADE9EB">
      <w:pPr>
        <w:rPr>
          <w:rFonts w:ascii="Times New Roman" w:hAnsi="Times New Roman" w:cs="Times New Roman"/>
          <w:b/>
          <w:bCs/>
          <w:color w:val="auto"/>
          <w:szCs w:val="21"/>
        </w:rPr>
      </w:pPr>
      <w:r>
        <w:rPr>
          <w:rFonts w:ascii="Times New Roman" w:hAnsi="Times New Roman" w:eastAsia="宋体" w:cs="Times New Roman"/>
          <w:color w:val="auto"/>
          <w:sz w:val="18"/>
          <w:szCs w:val="18"/>
          <w:lang w:bidi="ar"/>
        </w:rPr>
        <w:t>Abbreviation: SOFA, Sequential Organ Failure Assessment</w:t>
      </w:r>
    </w:p>
    <w:p w14:paraId="7CF3DFA4">
      <w:pPr>
        <w:rPr>
          <w:color w:val="auto"/>
        </w:rPr>
      </w:pPr>
    </w:p>
    <w:p w14:paraId="32D79FC6">
      <w:pPr>
        <w:rPr>
          <w:color w:val="auto"/>
        </w:rPr>
      </w:pPr>
    </w:p>
    <w:p w14:paraId="151938E3">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drawing>
          <wp:inline distT="0" distB="0" distL="114300" distR="114300">
            <wp:extent cx="8834755" cy="4210685"/>
            <wp:effectExtent l="0" t="0" r="4445" b="5715"/>
            <wp:docPr id="8" name="图片 8" descr="/Users/suihua/Desktop/老年人一审/文章/演示文稿/幻灯片5.png幻灯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Users/suihua/Desktop/老年人一审/文章/演示文稿/幻灯片5.png幻灯片5"/>
                    <pic:cNvPicPr>
                      <a:picLocks noChangeAspect="1"/>
                    </pic:cNvPicPr>
                  </pic:nvPicPr>
                  <pic:blipFill>
                    <a:blip r:embed="rId10"/>
                    <a:srcRect t="4" b="4"/>
                    <a:stretch>
                      <a:fillRect/>
                    </a:stretch>
                  </pic:blipFill>
                  <pic:spPr>
                    <a:xfrm>
                      <a:off x="0" y="0"/>
                      <a:ext cx="8834755" cy="4210685"/>
                    </a:xfrm>
                    <a:prstGeom prst="rect">
                      <a:avLst/>
                    </a:prstGeom>
                  </pic:spPr>
                </pic:pic>
              </a:graphicData>
            </a:graphic>
          </wp:inline>
        </w:drawing>
      </w:r>
    </w:p>
    <w:p w14:paraId="03A81AA9">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t>eFigure 7. Sensitivity analysis including patients aged 90 years or older: ROC curves for in-hospital mortality in eICU-CRD participants</w:t>
      </w:r>
    </w:p>
    <w:p w14:paraId="63136FBA">
      <w:pPr>
        <w:rPr>
          <w:rFonts w:ascii="Times New Roman" w:hAnsi="Times New Roman" w:cs="Times New Roman"/>
          <w:b/>
          <w:bCs/>
          <w:color w:val="auto"/>
          <w:szCs w:val="21"/>
        </w:rPr>
      </w:pPr>
      <w:r>
        <w:rPr>
          <w:rFonts w:ascii="Times New Roman" w:hAnsi="Times New Roman" w:eastAsia="宋体" w:cs="Times New Roman"/>
          <w:color w:val="auto"/>
          <w:sz w:val="18"/>
          <w:szCs w:val="18"/>
          <w:lang w:bidi="ar"/>
        </w:rPr>
        <w:t>Abbreviation: SOFA, Sequential Organ Failure Assessment</w:t>
      </w:r>
    </w:p>
    <w:p w14:paraId="7BB22475">
      <w:pPr>
        <w:rPr>
          <w:color w:val="auto"/>
        </w:rPr>
      </w:pPr>
    </w:p>
    <w:p w14:paraId="7C2DA04D">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drawing>
          <wp:inline distT="0" distB="0" distL="114300" distR="114300">
            <wp:extent cx="8834755" cy="4210685"/>
            <wp:effectExtent l="0" t="0" r="4445" b="5715"/>
            <wp:docPr id="6" name="图片 6" descr="/Users/suihua/Desktop/老年人一审/文章/演示文稿/幻灯片3.png幻灯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Users/suihua/Desktop/老年人一审/文章/演示文稿/幻灯片3.png幻灯片3"/>
                    <pic:cNvPicPr>
                      <a:picLocks noChangeAspect="1"/>
                    </pic:cNvPicPr>
                  </pic:nvPicPr>
                  <pic:blipFill>
                    <a:blip r:embed="rId11"/>
                    <a:srcRect t="4" b="4"/>
                    <a:stretch>
                      <a:fillRect/>
                    </a:stretch>
                  </pic:blipFill>
                  <pic:spPr>
                    <a:xfrm>
                      <a:off x="0" y="0"/>
                      <a:ext cx="8834755" cy="4210685"/>
                    </a:xfrm>
                    <a:prstGeom prst="rect">
                      <a:avLst/>
                    </a:prstGeom>
                  </pic:spPr>
                </pic:pic>
              </a:graphicData>
            </a:graphic>
          </wp:inline>
        </w:drawing>
      </w:r>
    </w:p>
    <w:p w14:paraId="7D6B974A">
      <w:pPr>
        <w:rPr>
          <w:rFonts w:ascii="Times New Roman" w:hAnsi="Times New Roman" w:eastAsia="宋体" w:cs="Times New Roman"/>
          <w:b/>
          <w:bCs/>
          <w:color w:val="auto"/>
          <w:szCs w:val="21"/>
          <w:lang w:bidi="ar"/>
        </w:rPr>
      </w:pPr>
      <w:r>
        <w:rPr>
          <w:rFonts w:hint="eastAsia" w:ascii="Times New Roman" w:hAnsi="Times New Roman" w:eastAsia="宋体" w:cs="Times New Roman"/>
          <w:b/>
          <w:bCs/>
          <w:color w:val="auto"/>
          <w:szCs w:val="21"/>
          <w:lang w:bidi="ar"/>
        </w:rPr>
        <w:t>eFigure 8. Sensitivity analysis including patients aged 90 years or older: ROC curves for 28-day mortality in MIMIC-IV participants</w:t>
      </w:r>
    </w:p>
    <w:p w14:paraId="2397F2B0">
      <w:pPr>
        <w:rPr>
          <w:rFonts w:ascii="Times New Roman" w:hAnsi="Times New Roman" w:cs="Times New Roman"/>
          <w:b/>
          <w:bCs/>
          <w:color w:val="auto"/>
          <w:szCs w:val="21"/>
        </w:rPr>
      </w:pPr>
      <w:r>
        <w:rPr>
          <w:rFonts w:ascii="Times New Roman" w:hAnsi="Times New Roman" w:eastAsia="宋体" w:cs="Times New Roman"/>
          <w:color w:val="auto"/>
          <w:sz w:val="18"/>
          <w:szCs w:val="18"/>
          <w:lang w:bidi="ar"/>
        </w:rPr>
        <w:t>Abbreviation: SOFA, Sequential Organ Failure Assessment</w:t>
      </w:r>
    </w:p>
    <w:p w14:paraId="174606B5">
      <w:pPr>
        <w:rPr>
          <w:color w:val="auto"/>
        </w:rPr>
      </w:pPr>
    </w:p>
    <w:p w14:paraId="5611118B">
      <w:pPr>
        <w:rPr>
          <w:color w:val="auto"/>
        </w:rPr>
      </w:pPr>
    </w:p>
    <w:p w14:paraId="6AD6FD83">
      <w:pPr>
        <w:widowControl/>
        <w:jc w:val="left"/>
        <w:rPr>
          <w:color w:val="auto"/>
        </w:rPr>
      </w:pPr>
      <w:r>
        <w:rPr>
          <w:color w:val="auto"/>
        </w:rPr>
        <w:br w:type="page"/>
      </w:r>
      <w:r>
        <w:rPr>
          <w:rFonts w:hint="eastAsia"/>
          <w:color w:val="auto"/>
        </w:rPr>
        <w:drawing>
          <wp:inline distT="0" distB="0" distL="0" distR="0">
            <wp:extent cx="8559800" cy="3378200"/>
            <wp:effectExtent l="0" t="0" r="0" b="0"/>
            <wp:docPr id="8365755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75500"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59800" cy="3378200"/>
                    </a:xfrm>
                    <a:prstGeom prst="rect">
                      <a:avLst/>
                    </a:prstGeom>
                  </pic:spPr>
                </pic:pic>
              </a:graphicData>
            </a:graphic>
          </wp:inline>
        </w:drawing>
      </w:r>
    </w:p>
    <w:p w14:paraId="16F8CE95">
      <w:pPr>
        <w:rPr>
          <w:rFonts w:ascii="Times New Roman" w:hAnsi="Times New Roman" w:eastAsia="宋体" w:cs="Times New Roman"/>
          <w:b/>
          <w:bCs/>
          <w:color w:val="auto"/>
          <w:szCs w:val="21"/>
          <w:lang w:bidi="ar"/>
        </w:rPr>
      </w:pPr>
      <w:r>
        <w:rPr>
          <w:rFonts w:ascii="Times New Roman" w:hAnsi="Times New Roman" w:eastAsia="宋体" w:cs="Times New Roman"/>
          <w:b/>
          <w:bCs/>
          <w:color w:val="auto"/>
          <w:szCs w:val="21"/>
          <w:lang w:bidi="ar"/>
        </w:rPr>
        <w:t>eFigure 9. Calibration plots for ICU mortality in multivariable Model C</w:t>
      </w:r>
    </w:p>
    <w:p w14:paraId="517C37F0">
      <w:pPr>
        <w:widowControl/>
        <w:jc w:val="left"/>
        <w:rPr>
          <w:rFonts w:ascii="Times New Roman" w:hAnsi="Times New Roman" w:eastAsia="宋体" w:cs="Times New Roman"/>
          <w:color w:val="auto"/>
          <w:sz w:val="18"/>
          <w:szCs w:val="18"/>
          <w:lang w:bidi="ar"/>
        </w:rPr>
      </w:pPr>
      <w:r>
        <w:rPr>
          <w:rFonts w:ascii="Times New Roman" w:hAnsi="Times New Roman" w:eastAsia="宋体" w:cs="Times New Roman"/>
          <w:color w:val="auto"/>
          <w:sz w:val="18"/>
          <w:szCs w:val="18"/>
          <w:lang w:bidi="ar"/>
        </w:rPr>
        <w:t>(A) MIMIC-IV cohort. (B) eICU-CRD cohort. Calibration plots compare observed ICU mortality with mean predicted ICU mortality across deciles of predicted risk. The dashed diagonal line indicates perfect calibration. Model C included the corresponding total SOFA score, age, sex, documented sepsis, baseline comorbidities, white blood cell count, hemoglobin, blood glucose, and heart rate.</w:t>
      </w:r>
    </w:p>
    <w:p w14:paraId="4EDCB551">
      <w:pPr>
        <w:widowControl/>
        <w:jc w:val="left"/>
        <w:rPr>
          <w:rFonts w:ascii="Times New Roman" w:hAnsi="Times New Roman" w:eastAsia="宋体" w:cs="Times New Roman"/>
          <w:color w:val="auto"/>
          <w:sz w:val="18"/>
          <w:szCs w:val="18"/>
          <w:lang w:bidi="ar"/>
        </w:rPr>
      </w:pPr>
      <w:r>
        <w:rPr>
          <w:rFonts w:ascii="Times New Roman" w:hAnsi="Times New Roman" w:eastAsia="宋体" w:cs="Times New Roman"/>
          <w:color w:val="auto"/>
          <w:sz w:val="18"/>
          <w:szCs w:val="18"/>
          <w:lang w:bidi="ar"/>
        </w:rPr>
        <w:t>Abbreviations: SOFA, Sequential Organ Failure Assessment; ICU, intensive care unit.</w:t>
      </w:r>
    </w:p>
    <w:p w14:paraId="1737DE44">
      <w:pPr>
        <w:widowControl/>
        <w:jc w:val="left"/>
        <w:rPr>
          <w:rFonts w:ascii="Times New Roman" w:hAnsi="Times New Roman" w:eastAsia="宋体" w:cs="Times New Roman"/>
          <w:color w:val="auto"/>
          <w:sz w:val="18"/>
          <w:szCs w:val="18"/>
          <w:lang w:bidi="ar"/>
        </w:rPr>
      </w:pPr>
      <w:r>
        <w:rPr>
          <w:rFonts w:ascii="Times New Roman" w:hAnsi="Times New Roman" w:eastAsia="宋体" w:cs="Times New Roman"/>
          <w:color w:val="auto"/>
          <w:sz w:val="18"/>
          <w:szCs w:val="18"/>
          <w:lang w:bidi="ar"/>
        </w:rPr>
        <w:br w:type="page"/>
      </w:r>
    </w:p>
    <w:p w14:paraId="04F430BA">
      <w:pPr>
        <w:widowControl/>
        <w:jc w:val="left"/>
        <w:rPr>
          <w:rFonts w:ascii="Times New Roman" w:hAnsi="Times New Roman" w:eastAsia="宋体" w:cs="Times New Roman"/>
          <w:color w:val="auto"/>
          <w:sz w:val="18"/>
          <w:szCs w:val="18"/>
          <w:lang w:bidi="ar"/>
        </w:rPr>
      </w:pPr>
      <w:r>
        <w:rPr>
          <w:rFonts w:hint="eastAsia" w:ascii="Times New Roman" w:hAnsi="Times New Roman" w:eastAsia="宋体" w:cs="Times New Roman"/>
          <w:color w:val="auto"/>
          <w:sz w:val="18"/>
          <w:szCs w:val="18"/>
          <w:lang w:bidi="ar"/>
        </w:rPr>
        <w:drawing>
          <wp:inline distT="0" distB="0" distL="0" distR="0">
            <wp:extent cx="8559800" cy="3365500"/>
            <wp:effectExtent l="0" t="0" r="0" b="0"/>
            <wp:docPr id="2831329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32916" name="图片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559800" cy="3365500"/>
                    </a:xfrm>
                    <a:prstGeom prst="rect">
                      <a:avLst/>
                    </a:prstGeom>
                  </pic:spPr>
                </pic:pic>
              </a:graphicData>
            </a:graphic>
          </wp:inline>
        </w:drawing>
      </w:r>
    </w:p>
    <w:p w14:paraId="6D817230">
      <w:pPr>
        <w:widowControl/>
        <w:jc w:val="left"/>
        <w:rPr>
          <w:rFonts w:ascii="Times New Roman" w:hAnsi="Times New Roman" w:eastAsia="宋体" w:cs="Times New Roman"/>
          <w:b/>
          <w:bCs/>
          <w:color w:val="auto"/>
          <w:szCs w:val="21"/>
          <w:lang w:bidi="ar"/>
        </w:rPr>
      </w:pPr>
      <w:r>
        <w:rPr>
          <w:rFonts w:ascii="Times New Roman" w:hAnsi="Times New Roman" w:eastAsia="宋体" w:cs="Times New Roman"/>
          <w:b/>
          <w:bCs/>
          <w:color w:val="auto"/>
          <w:szCs w:val="21"/>
          <w:lang w:bidi="ar"/>
        </w:rPr>
        <w:t>eFigure 10. Calibration plots for in-hospital mortality in multivariable Model C</w:t>
      </w:r>
    </w:p>
    <w:p w14:paraId="1A0693C6">
      <w:pPr>
        <w:widowControl/>
        <w:jc w:val="left"/>
        <w:rPr>
          <w:rFonts w:ascii="Times New Roman" w:hAnsi="Times New Roman" w:eastAsia="宋体" w:cs="Times New Roman"/>
          <w:color w:val="auto"/>
          <w:sz w:val="18"/>
          <w:szCs w:val="18"/>
          <w:lang w:bidi="ar"/>
        </w:rPr>
      </w:pPr>
      <w:r>
        <w:rPr>
          <w:rFonts w:ascii="Times New Roman" w:hAnsi="Times New Roman" w:eastAsia="宋体" w:cs="Times New Roman"/>
          <w:color w:val="auto"/>
          <w:sz w:val="18"/>
          <w:szCs w:val="18"/>
          <w:lang w:bidi="ar"/>
        </w:rPr>
        <w:t>(A) MIMIC-IV cohort. (B) eICU-CRD cohort. Calibration plots compare observed in-hospital mortality with mean predicted in-hospital mortality across deciles of predicted risk. The dashed diagonal line indicates perfect calibration. Model C included the corresponding total SOFA score, age, sex, documented sepsis, baseline comorbidities, white blood cell count, hemoglobin, blood glucose, and heart rate.</w:t>
      </w:r>
    </w:p>
    <w:p w14:paraId="095FE1FC">
      <w:pPr>
        <w:widowControl/>
        <w:jc w:val="left"/>
        <w:rPr>
          <w:rFonts w:ascii="Times New Roman" w:hAnsi="Times New Roman" w:eastAsia="宋体" w:cs="Times New Roman"/>
          <w:color w:val="auto"/>
          <w:sz w:val="18"/>
          <w:szCs w:val="18"/>
          <w:lang w:bidi="ar"/>
        </w:rPr>
      </w:pPr>
      <w:r>
        <w:rPr>
          <w:rFonts w:ascii="Times New Roman" w:hAnsi="Times New Roman" w:eastAsia="宋体" w:cs="Times New Roman"/>
          <w:color w:val="auto"/>
          <w:sz w:val="18"/>
          <w:szCs w:val="18"/>
          <w:lang w:bidi="ar"/>
        </w:rPr>
        <w:t>Abbreviations: SOFA, Sequential Organ Failure Assessment.</w:t>
      </w:r>
    </w:p>
    <w:p w14:paraId="4D585B22">
      <w:pPr>
        <w:widowControl/>
        <w:jc w:val="left"/>
        <w:rPr>
          <w:rFonts w:ascii="Times New Roman" w:hAnsi="Times New Roman" w:eastAsia="宋体" w:cs="Times New Roman"/>
          <w:color w:val="auto"/>
          <w:sz w:val="18"/>
          <w:szCs w:val="18"/>
          <w:lang w:bidi="ar"/>
        </w:rPr>
      </w:pPr>
    </w:p>
    <w:p w14:paraId="18EEAE19">
      <w:pPr>
        <w:widowControl/>
        <w:jc w:val="left"/>
        <w:rPr>
          <w:rFonts w:ascii="Times New Roman" w:hAnsi="Times New Roman" w:eastAsia="宋体" w:cs="Times New Roman"/>
          <w:color w:val="auto"/>
          <w:sz w:val="18"/>
          <w:szCs w:val="18"/>
          <w:lang w:bidi="ar"/>
        </w:rPr>
      </w:pPr>
      <w:r>
        <w:rPr>
          <w:rFonts w:ascii="Times New Roman" w:hAnsi="Times New Roman" w:eastAsia="宋体" w:cs="Times New Roman"/>
          <w:color w:val="auto"/>
          <w:sz w:val="18"/>
          <w:szCs w:val="18"/>
          <w:lang w:bidi="ar"/>
        </w:rPr>
        <w:br w:type="page"/>
      </w:r>
    </w:p>
    <w:p w14:paraId="46CDA847">
      <w:pPr>
        <w:widowControl/>
        <w:jc w:val="left"/>
        <w:rPr>
          <w:rFonts w:ascii="Times New Roman" w:hAnsi="Times New Roman" w:eastAsia="宋体" w:cs="Times New Roman"/>
          <w:color w:val="auto"/>
          <w:sz w:val="18"/>
          <w:szCs w:val="18"/>
          <w:lang w:bidi="ar"/>
        </w:rPr>
      </w:pPr>
      <w:r>
        <w:rPr>
          <w:rFonts w:hint="eastAsia" w:ascii="Times New Roman" w:hAnsi="Times New Roman" w:eastAsia="宋体" w:cs="Times New Roman"/>
          <w:color w:val="auto"/>
          <w:sz w:val="18"/>
          <w:szCs w:val="18"/>
          <w:lang w:bidi="ar"/>
        </w:rPr>
        <w:drawing>
          <wp:inline distT="0" distB="0" distL="0" distR="0">
            <wp:extent cx="5895975" cy="3709035"/>
            <wp:effectExtent l="0" t="0" r="0" b="0"/>
            <wp:docPr id="19841557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55778" name="图片 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921097" cy="3724908"/>
                    </a:xfrm>
                    <a:prstGeom prst="rect">
                      <a:avLst/>
                    </a:prstGeom>
                  </pic:spPr>
                </pic:pic>
              </a:graphicData>
            </a:graphic>
          </wp:inline>
        </w:drawing>
      </w:r>
    </w:p>
    <w:p w14:paraId="37E16989">
      <w:pPr>
        <w:widowControl/>
        <w:jc w:val="left"/>
        <w:rPr>
          <w:rFonts w:ascii="Times New Roman" w:hAnsi="Times New Roman" w:eastAsia="宋体" w:cs="Times New Roman"/>
          <w:b/>
          <w:bCs/>
          <w:color w:val="auto"/>
          <w:szCs w:val="21"/>
          <w:lang w:bidi="ar"/>
        </w:rPr>
      </w:pPr>
      <w:r>
        <w:rPr>
          <w:rFonts w:ascii="Times New Roman" w:hAnsi="Times New Roman" w:eastAsia="宋体" w:cs="Times New Roman"/>
          <w:b/>
          <w:bCs/>
          <w:color w:val="auto"/>
          <w:szCs w:val="21"/>
          <w:lang w:bidi="ar"/>
        </w:rPr>
        <w:t>eFigure 11. Calibration plot for 28-day mortality in multivariable Model C in the MIMIC-IV cohort</w:t>
      </w:r>
    </w:p>
    <w:p w14:paraId="5D9A74ED">
      <w:pPr>
        <w:widowControl/>
        <w:jc w:val="left"/>
        <w:rPr>
          <w:rFonts w:ascii="Times New Roman" w:hAnsi="Times New Roman" w:eastAsia="宋体" w:cs="Times New Roman"/>
          <w:color w:val="auto"/>
          <w:sz w:val="18"/>
          <w:szCs w:val="18"/>
          <w:lang w:bidi="ar"/>
        </w:rPr>
      </w:pPr>
      <w:r>
        <w:rPr>
          <w:rFonts w:ascii="Times New Roman" w:hAnsi="Times New Roman" w:eastAsia="宋体" w:cs="Times New Roman"/>
          <w:color w:val="auto"/>
          <w:sz w:val="18"/>
          <w:szCs w:val="18"/>
          <w:lang w:bidi="ar"/>
        </w:rPr>
        <w:t>The calibration plot compares observed 28-day mortality with mean predicted 28-day mortality across deciles of predicted risk. The dashed diagonal line indicates perfect calibration. Model C included the corresponding total SOFA score, age, sex, documented sepsis, baseline comorbidities, white blood cell count, hemoglobin, blood glucose, and heart rate.</w:t>
      </w:r>
    </w:p>
    <w:p w14:paraId="09847EDE">
      <w:pPr>
        <w:widowControl/>
        <w:jc w:val="left"/>
        <w:rPr>
          <w:rFonts w:ascii="Times New Roman" w:hAnsi="Times New Roman" w:eastAsia="宋体" w:cs="Times New Roman"/>
          <w:color w:val="auto"/>
          <w:sz w:val="18"/>
          <w:szCs w:val="18"/>
          <w:lang w:bidi="ar"/>
        </w:rPr>
      </w:pPr>
      <w:r>
        <w:rPr>
          <w:rFonts w:ascii="Times New Roman" w:hAnsi="Times New Roman" w:eastAsia="宋体" w:cs="Times New Roman"/>
          <w:color w:val="auto"/>
          <w:sz w:val="18"/>
          <w:szCs w:val="18"/>
          <w:lang w:bidi="ar"/>
        </w:rPr>
        <w:t>Abbreviations: SOFA, Sequential Organ Failure Assessment.</w:t>
      </w:r>
    </w:p>
    <w:p w14:paraId="1F450666">
      <w:pPr>
        <w:widowControl/>
        <w:jc w:val="left"/>
        <w:rPr>
          <w:rFonts w:ascii="Times New Roman" w:hAnsi="Times New Roman" w:eastAsia="宋体" w:cs="Times New Roman"/>
          <w:color w:val="auto"/>
          <w:sz w:val="18"/>
          <w:szCs w:val="18"/>
          <w:lang w:bidi="ar"/>
        </w:rPr>
        <w:sectPr>
          <w:pgSz w:w="16838" w:h="11906" w:orient="landscape"/>
          <w:pgMar w:top="1797" w:right="1440" w:bottom="1797" w:left="1440" w:header="851" w:footer="992" w:gutter="0"/>
          <w:cols w:space="425" w:num="1"/>
          <w:docGrid w:type="lines" w:linePitch="312" w:charSpace="0"/>
        </w:sectPr>
      </w:pPr>
    </w:p>
    <w:p w14:paraId="67DAD7E3">
      <w:pPr>
        <w:rPr>
          <w:rFonts w:ascii="Times New Roman" w:hAnsi="Times New Roman" w:eastAsia="宋体" w:cs="Times New Roman"/>
          <w:b/>
          <w:color w:val="auto"/>
          <w:szCs w:val="21"/>
          <w:lang w:bidi="ar"/>
        </w:rPr>
      </w:pPr>
      <w:r>
        <w:rPr>
          <w:rFonts w:hint="eastAsia" w:ascii="Times New Roman" w:hAnsi="Times New Roman" w:eastAsia="宋体" w:cs="Times New Roman"/>
          <w:b/>
          <w:color w:val="auto"/>
          <w:szCs w:val="21"/>
          <w:lang w:bidi="ar"/>
        </w:rPr>
        <w:t xml:space="preserve">eTable 1. Primary reasons for ICU admission in the MIMIC-IV and eICU-CRD cohorts </w:t>
      </w:r>
      <w:r>
        <w:rPr>
          <w:rFonts w:ascii="Times New Roman" w:hAnsi="Times New Roman" w:eastAsia="宋体" w:cs="Times New Roman"/>
          <w:b/>
          <w:color w:val="auto"/>
          <w:szCs w:val="21"/>
          <w:lang w:bidi="ar"/>
        </w:rPr>
        <w:t>(mutually exclusive hierarchical classification)</w:t>
      </w:r>
    </w:p>
    <w:tbl>
      <w:tblPr>
        <w:tblStyle w:val="16"/>
        <w:tblW w:w="5000" w:type="pct"/>
        <w:tblCellSpacing w:w="15" w:type="dxa"/>
        <w:tblInd w:w="0" w:type="dxa"/>
        <w:tblLayout w:type="autofit"/>
        <w:tblCellMar>
          <w:top w:w="15" w:type="dxa"/>
          <w:left w:w="15" w:type="dxa"/>
          <w:bottom w:w="15" w:type="dxa"/>
          <w:right w:w="15" w:type="dxa"/>
        </w:tblCellMar>
      </w:tblPr>
      <w:tblGrid>
        <w:gridCol w:w="4705"/>
        <w:gridCol w:w="1847"/>
        <w:gridCol w:w="1850"/>
      </w:tblGrid>
      <w:tr w14:paraId="6D1A4715">
        <w:trPr>
          <w:tblHeader/>
          <w:tblCellSpacing w:w="15" w:type="dxa"/>
        </w:trPr>
        <w:tc>
          <w:tcPr>
            <w:tcW w:w="2762" w:type="pct"/>
            <w:tcBorders>
              <w:top w:val="single" w:color="auto" w:sz="4" w:space="0"/>
              <w:bottom w:val="single" w:color="auto" w:sz="4" w:space="0"/>
            </w:tcBorders>
            <w:vAlign w:val="center"/>
          </w:tcPr>
          <w:p w14:paraId="519909DD">
            <w:pPr>
              <w:widowControl/>
              <w:jc w:val="center"/>
              <w:rPr>
                <w:rFonts w:ascii="Times New Roman Bold" w:hAnsi="Times New Roman Bold" w:cs="Times New Roman Bold"/>
                <w:b/>
                <w:color w:val="auto"/>
                <w:sz w:val="18"/>
                <w:szCs w:val="18"/>
              </w:rPr>
            </w:pPr>
            <w:r>
              <w:rPr>
                <w:rFonts w:ascii="Times New Roman Bold" w:hAnsi="Times New Roman Bold" w:eastAsia="宋体" w:cs="Times New Roman Bold"/>
                <w:b/>
                <w:color w:val="auto"/>
                <w:kern w:val="0"/>
                <w:sz w:val="18"/>
                <w:szCs w:val="18"/>
                <w:lang w:bidi="ar"/>
              </w:rPr>
              <w:t>Primary reason for ICU admission</w:t>
            </w:r>
          </w:p>
        </w:tc>
        <w:tc>
          <w:tcPr>
            <w:tcW w:w="1077" w:type="pct"/>
            <w:tcBorders>
              <w:top w:val="single" w:color="auto" w:sz="4" w:space="0"/>
              <w:bottom w:val="single" w:color="auto" w:sz="4" w:space="0"/>
            </w:tcBorders>
            <w:vAlign w:val="center"/>
          </w:tcPr>
          <w:p w14:paraId="771C3A6C">
            <w:pPr>
              <w:widowControl/>
              <w:jc w:val="center"/>
              <w:rPr>
                <w:rFonts w:ascii="Times New Roman Bold" w:hAnsi="Times New Roman Bold" w:cs="Times New Roman Bold"/>
                <w:b/>
                <w:color w:val="auto"/>
                <w:sz w:val="18"/>
                <w:szCs w:val="18"/>
              </w:rPr>
            </w:pPr>
            <w:r>
              <w:rPr>
                <w:rFonts w:ascii="Times New Roman Bold" w:hAnsi="Times New Roman Bold" w:eastAsia="宋体" w:cs="Times New Roman Bold"/>
                <w:b/>
                <w:color w:val="auto"/>
                <w:kern w:val="0"/>
                <w:sz w:val="18"/>
                <w:szCs w:val="18"/>
                <w:lang w:bidi="ar"/>
              </w:rPr>
              <w:t>MIMIC-IV, n (%)</w:t>
            </w:r>
          </w:p>
        </w:tc>
        <w:tc>
          <w:tcPr>
            <w:tcW w:w="1070" w:type="pct"/>
            <w:tcBorders>
              <w:top w:val="single" w:color="auto" w:sz="4" w:space="0"/>
              <w:bottom w:val="single" w:color="auto" w:sz="4" w:space="0"/>
            </w:tcBorders>
            <w:vAlign w:val="center"/>
          </w:tcPr>
          <w:p w14:paraId="10FA4AF5">
            <w:pPr>
              <w:widowControl/>
              <w:jc w:val="center"/>
              <w:rPr>
                <w:rFonts w:ascii="Times New Roman Bold" w:hAnsi="Times New Roman Bold" w:cs="Times New Roman Bold"/>
                <w:b/>
                <w:color w:val="auto"/>
                <w:sz w:val="18"/>
                <w:szCs w:val="18"/>
              </w:rPr>
            </w:pPr>
            <w:r>
              <w:rPr>
                <w:rFonts w:ascii="Times New Roman Bold" w:hAnsi="Times New Roman Bold" w:eastAsia="宋体" w:cs="Times New Roman Bold"/>
                <w:b/>
                <w:color w:val="auto"/>
                <w:kern w:val="0"/>
                <w:sz w:val="18"/>
                <w:szCs w:val="18"/>
                <w:lang w:bidi="ar"/>
              </w:rPr>
              <w:t>eICU-CRD, n (%)</w:t>
            </w:r>
          </w:p>
        </w:tc>
      </w:tr>
      <w:tr w14:paraId="1BC27D55">
        <w:trPr>
          <w:tblCellSpacing w:w="15" w:type="dxa"/>
        </w:trPr>
        <w:tc>
          <w:tcPr>
            <w:tcW w:w="2762" w:type="pct"/>
            <w:vAlign w:val="center"/>
          </w:tcPr>
          <w:p w14:paraId="2425E5AB">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Sepsis / infection-related admission</w:t>
            </w:r>
          </w:p>
        </w:tc>
        <w:tc>
          <w:tcPr>
            <w:tcW w:w="1077" w:type="pct"/>
            <w:vAlign w:val="center"/>
          </w:tcPr>
          <w:p w14:paraId="5CE8A078">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3,618 (13.9%)</w:t>
            </w:r>
          </w:p>
        </w:tc>
        <w:tc>
          <w:tcPr>
            <w:tcW w:w="1070" w:type="pct"/>
            <w:vAlign w:val="center"/>
          </w:tcPr>
          <w:p w14:paraId="63610325">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8,233 (15.3%)</w:t>
            </w:r>
          </w:p>
        </w:tc>
      </w:tr>
      <w:tr w14:paraId="53E884A5">
        <w:trPr>
          <w:tblCellSpacing w:w="15" w:type="dxa"/>
        </w:trPr>
        <w:tc>
          <w:tcPr>
            <w:tcW w:w="2762" w:type="pct"/>
            <w:vAlign w:val="center"/>
          </w:tcPr>
          <w:p w14:paraId="0F4EE605">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Respiratory failure / respiratory disease</w:t>
            </w:r>
          </w:p>
        </w:tc>
        <w:tc>
          <w:tcPr>
            <w:tcW w:w="1077" w:type="pct"/>
            <w:vAlign w:val="center"/>
          </w:tcPr>
          <w:p w14:paraId="60DB13DF">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3,959 (15.2%)</w:t>
            </w:r>
          </w:p>
        </w:tc>
        <w:tc>
          <w:tcPr>
            <w:tcW w:w="1070" w:type="pct"/>
            <w:vAlign w:val="center"/>
          </w:tcPr>
          <w:p w14:paraId="4F964BD8">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7,332 (13.7%)</w:t>
            </w:r>
          </w:p>
        </w:tc>
      </w:tr>
      <w:tr w14:paraId="3E543EE0">
        <w:trPr>
          <w:tblCellSpacing w:w="15" w:type="dxa"/>
        </w:trPr>
        <w:tc>
          <w:tcPr>
            <w:tcW w:w="2762" w:type="pct"/>
            <w:vAlign w:val="center"/>
          </w:tcPr>
          <w:p w14:paraId="1A358C5B">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Cardiovascular disease / shock / cardiac admission</w:t>
            </w:r>
          </w:p>
        </w:tc>
        <w:tc>
          <w:tcPr>
            <w:tcW w:w="1077" w:type="pct"/>
            <w:vAlign w:val="center"/>
          </w:tcPr>
          <w:p w14:paraId="13562D71">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9,923 (38.0%)</w:t>
            </w:r>
          </w:p>
        </w:tc>
        <w:tc>
          <w:tcPr>
            <w:tcW w:w="1070" w:type="pct"/>
            <w:vAlign w:val="center"/>
          </w:tcPr>
          <w:p w14:paraId="6C1A0C3C">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16,288 (30.3%)</w:t>
            </w:r>
          </w:p>
        </w:tc>
      </w:tr>
      <w:tr w14:paraId="57438D53">
        <w:trPr>
          <w:tblCellSpacing w:w="15" w:type="dxa"/>
        </w:trPr>
        <w:tc>
          <w:tcPr>
            <w:tcW w:w="2762" w:type="pct"/>
            <w:vAlign w:val="center"/>
          </w:tcPr>
          <w:p w14:paraId="40FCF290">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Postoperative admission</w:t>
            </w:r>
          </w:p>
        </w:tc>
        <w:tc>
          <w:tcPr>
            <w:tcW w:w="1077" w:type="pct"/>
            <w:vAlign w:val="center"/>
          </w:tcPr>
          <w:p w14:paraId="42F25A53">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2,157 (8.3%)</w:t>
            </w:r>
          </w:p>
        </w:tc>
        <w:tc>
          <w:tcPr>
            <w:tcW w:w="1070" w:type="pct"/>
            <w:vAlign w:val="center"/>
          </w:tcPr>
          <w:p w14:paraId="667FFE16">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11,352 (21.1%)</w:t>
            </w:r>
          </w:p>
        </w:tc>
      </w:tr>
      <w:tr w14:paraId="6EBA1888">
        <w:trPr>
          <w:tblCellSpacing w:w="15" w:type="dxa"/>
        </w:trPr>
        <w:tc>
          <w:tcPr>
            <w:tcW w:w="2762" w:type="pct"/>
            <w:vAlign w:val="center"/>
          </w:tcPr>
          <w:p w14:paraId="5591823E">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Neurologic conditions</w:t>
            </w:r>
          </w:p>
        </w:tc>
        <w:tc>
          <w:tcPr>
            <w:tcW w:w="1077" w:type="pct"/>
            <w:vAlign w:val="center"/>
          </w:tcPr>
          <w:p w14:paraId="4A3E5D3D">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3,330 (12.8%)</w:t>
            </w:r>
          </w:p>
        </w:tc>
        <w:tc>
          <w:tcPr>
            <w:tcW w:w="1070" w:type="pct"/>
            <w:vAlign w:val="center"/>
          </w:tcPr>
          <w:p w14:paraId="558BC965">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2,952 (5.5%)</w:t>
            </w:r>
          </w:p>
        </w:tc>
      </w:tr>
      <w:tr w14:paraId="72F8D6C5">
        <w:trPr>
          <w:tblCellSpacing w:w="15" w:type="dxa"/>
        </w:trPr>
        <w:tc>
          <w:tcPr>
            <w:tcW w:w="2762" w:type="pct"/>
            <w:vAlign w:val="center"/>
          </w:tcPr>
          <w:p w14:paraId="744C085F">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Renal disease</w:t>
            </w:r>
          </w:p>
        </w:tc>
        <w:tc>
          <w:tcPr>
            <w:tcW w:w="1077" w:type="pct"/>
            <w:vAlign w:val="center"/>
          </w:tcPr>
          <w:p w14:paraId="23EA252A">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406 (1.6%)</w:t>
            </w:r>
          </w:p>
        </w:tc>
        <w:tc>
          <w:tcPr>
            <w:tcW w:w="1070" w:type="pct"/>
            <w:vAlign w:val="center"/>
          </w:tcPr>
          <w:p w14:paraId="68A09173">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844 (1.6%)</w:t>
            </w:r>
          </w:p>
        </w:tc>
      </w:tr>
      <w:tr w14:paraId="6BC17BFD">
        <w:trPr>
          <w:tblCellSpacing w:w="15" w:type="dxa"/>
        </w:trPr>
        <w:tc>
          <w:tcPr>
            <w:tcW w:w="2762" w:type="pct"/>
            <w:vAlign w:val="center"/>
          </w:tcPr>
          <w:p w14:paraId="4F543648">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Trauma</w:t>
            </w:r>
          </w:p>
        </w:tc>
        <w:tc>
          <w:tcPr>
            <w:tcW w:w="1077" w:type="pct"/>
            <w:vAlign w:val="center"/>
          </w:tcPr>
          <w:p w14:paraId="6CB34597">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1,899 (7.3%)</w:t>
            </w:r>
          </w:p>
        </w:tc>
        <w:tc>
          <w:tcPr>
            <w:tcW w:w="1070" w:type="pct"/>
            <w:vAlign w:val="center"/>
          </w:tcPr>
          <w:p w14:paraId="34819F1A">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1,381 (2.6%)</w:t>
            </w:r>
          </w:p>
        </w:tc>
      </w:tr>
      <w:tr w14:paraId="6A2413F3">
        <w:trPr>
          <w:tblCellSpacing w:w="15" w:type="dxa"/>
        </w:trPr>
        <w:tc>
          <w:tcPr>
            <w:tcW w:w="2762" w:type="pct"/>
            <w:vAlign w:val="center"/>
          </w:tcPr>
          <w:p w14:paraId="78BE870D">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Other / unclassified</w:t>
            </w:r>
          </w:p>
        </w:tc>
        <w:tc>
          <w:tcPr>
            <w:tcW w:w="1077" w:type="pct"/>
            <w:vAlign w:val="center"/>
          </w:tcPr>
          <w:p w14:paraId="404FFE86">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812 (3.1%)</w:t>
            </w:r>
          </w:p>
        </w:tc>
        <w:tc>
          <w:tcPr>
            <w:tcW w:w="1070" w:type="pct"/>
            <w:vAlign w:val="center"/>
          </w:tcPr>
          <w:p w14:paraId="57E43DCF">
            <w:pPr>
              <w:widowControl/>
              <w:jc w:val="righ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5,315 (9.9%)</w:t>
            </w:r>
          </w:p>
        </w:tc>
      </w:tr>
      <w:tr w14:paraId="5B20A89B">
        <w:trPr>
          <w:tblCellSpacing w:w="15" w:type="dxa"/>
        </w:trPr>
        <w:tc>
          <w:tcPr>
            <w:tcW w:w="2762" w:type="pct"/>
            <w:tcBorders>
              <w:bottom w:val="single" w:color="auto" w:sz="4" w:space="0"/>
            </w:tcBorders>
            <w:vAlign w:val="center"/>
          </w:tcPr>
          <w:p w14:paraId="051E44BF">
            <w:pPr>
              <w:widowControl/>
              <w:jc w:val="left"/>
              <w:rPr>
                <w:rFonts w:ascii="Times New Roman" w:hAnsi="Times New Roman" w:cs="Times New Roman"/>
                <w:color w:val="auto"/>
                <w:sz w:val="18"/>
                <w:szCs w:val="18"/>
              </w:rPr>
            </w:pPr>
            <w:r>
              <w:rPr>
                <w:rStyle w:val="19"/>
                <w:rFonts w:ascii="Times New Roman" w:hAnsi="Times New Roman" w:eastAsia="宋体" w:cs="Times New Roman"/>
                <w:b w:val="0"/>
                <w:color w:val="auto"/>
                <w:kern w:val="0"/>
                <w:sz w:val="18"/>
                <w:szCs w:val="18"/>
                <w:lang w:bidi="ar"/>
              </w:rPr>
              <w:t>Total</w:t>
            </w:r>
          </w:p>
        </w:tc>
        <w:tc>
          <w:tcPr>
            <w:tcW w:w="1077" w:type="pct"/>
            <w:tcBorders>
              <w:bottom w:val="single" w:color="auto" w:sz="4" w:space="0"/>
            </w:tcBorders>
            <w:vAlign w:val="center"/>
          </w:tcPr>
          <w:p w14:paraId="75400357">
            <w:pPr>
              <w:widowControl/>
              <w:jc w:val="right"/>
              <w:rPr>
                <w:rFonts w:ascii="Times New Roman" w:hAnsi="Times New Roman" w:cs="Times New Roman"/>
                <w:color w:val="auto"/>
                <w:sz w:val="18"/>
                <w:szCs w:val="18"/>
              </w:rPr>
            </w:pPr>
            <w:r>
              <w:rPr>
                <w:rStyle w:val="19"/>
                <w:rFonts w:ascii="Times New Roman" w:hAnsi="Times New Roman" w:eastAsia="宋体" w:cs="Times New Roman"/>
                <w:b w:val="0"/>
                <w:color w:val="auto"/>
                <w:kern w:val="0"/>
                <w:sz w:val="18"/>
                <w:szCs w:val="18"/>
                <w:lang w:bidi="ar"/>
              </w:rPr>
              <w:t>26,104 (100.0%)</w:t>
            </w:r>
          </w:p>
        </w:tc>
        <w:tc>
          <w:tcPr>
            <w:tcW w:w="1070" w:type="pct"/>
            <w:tcBorders>
              <w:bottom w:val="single" w:color="auto" w:sz="4" w:space="0"/>
            </w:tcBorders>
            <w:vAlign w:val="center"/>
          </w:tcPr>
          <w:p w14:paraId="33CD0409">
            <w:pPr>
              <w:widowControl/>
              <w:jc w:val="right"/>
              <w:rPr>
                <w:rFonts w:ascii="Times New Roman" w:hAnsi="Times New Roman" w:cs="Times New Roman"/>
                <w:color w:val="auto"/>
                <w:sz w:val="18"/>
                <w:szCs w:val="18"/>
              </w:rPr>
            </w:pPr>
            <w:r>
              <w:rPr>
                <w:rStyle w:val="19"/>
                <w:rFonts w:ascii="Times New Roman" w:hAnsi="Times New Roman" w:eastAsia="宋体" w:cs="Times New Roman"/>
                <w:b w:val="0"/>
                <w:color w:val="auto"/>
                <w:kern w:val="0"/>
                <w:sz w:val="18"/>
                <w:szCs w:val="18"/>
                <w:lang w:bidi="ar"/>
              </w:rPr>
              <w:t>53,697 (100.0%)</w:t>
            </w:r>
          </w:p>
        </w:tc>
      </w:tr>
    </w:tbl>
    <w:p w14:paraId="658573BF">
      <w:pPr>
        <w:rPr>
          <w:rFonts w:ascii="Times New Roman" w:hAnsi="Times New Roman" w:eastAsia="宋体" w:cs="Times New Roman"/>
          <w:bCs/>
          <w:color w:val="auto"/>
          <w:sz w:val="18"/>
          <w:szCs w:val="18"/>
          <w:lang w:bidi="ar"/>
        </w:rPr>
      </w:pPr>
      <w:r>
        <w:rPr>
          <w:rFonts w:ascii="Times New Roman" w:hAnsi="Times New Roman" w:eastAsia="宋体" w:cs="Times New Roman"/>
          <w:b/>
          <w:color w:val="auto"/>
          <w:sz w:val="18"/>
          <w:szCs w:val="18"/>
          <w:lang w:bidi="ar"/>
        </w:rPr>
        <w:t xml:space="preserve">Notes: </w:t>
      </w:r>
      <w:r>
        <w:rPr>
          <w:rFonts w:ascii="Times New Roman" w:hAnsi="Times New Roman" w:eastAsia="宋体" w:cs="Times New Roman"/>
          <w:bCs/>
          <w:color w:val="auto"/>
          <w:sz w:val="18"/>
          <w:szCs w:val="18"/>
          <w:lang w:bidi="ar"/>
        </w:rPr>
        <w:t>Admission categories were assigned using a predefined hierarchical algorithm based on diagnosis information extracted from MIMIC-IV and eICU-CRD. When multiple potential categories were identified for a single ICU admission, the final classification was determined according to clinical priority (sepsis, respiratory failure, cardiovascular disease/shock, postoperative admission, neurologic disease, renal disease, trauma, and other). Therefore, each ICU admission was assigned to one mutually exclusive category, and percentages sum to 100% within each cohort.</w:t>
      </w:r>
    </w:p>
    <w:p w14:paraId="0EF12C43">
      <w:pPr>
        <w:rPr>
          <w:rFonts w:ascii="Times New Roman" w:hAnsi="Times New Roman" w:eastAsia="宋体" w:cs="Times New Roman"/>
          <w:b/>
          <w:color w:val="auto"/>
          <w:szCs w:val="21"/>
          <w:lang w:bidi="ar"/>
        </w:rPr>
        <w:sectPr>
          <w:pgSz w:w="11906" w:h="16838"/>
          <w:pgMar w:top="1440" w:right="1797" w:bottom="1440" w:left="1797" w:header="851" w:footer="992" w:gutter="0"/>
          <w:cols w:space="425" w:num="1"/>
          <w:docGrid w:type="lines" w:linePitch="312" w:charSpace="0"/>
        </w:sectPr>
      </w:pPr>
    </w:p>
    <w:p w14:paraId="553BB3AC">
      <w:pPr>
        <w:rPr>
          <w:rFonts w:ascii="Times New Roman" w:hAnsi="Times New Roman" w:cs="Times New Roman"/>
          <w:b/>
          <w:bCs/>
          <w:color w:val="auto"/>
          <w:szCs w:val="21"/>
        </w:rPr>
      </w:pPr>
      <w:r>
        <w:rPr>
          <w:rFonts w:hint="eastAsia" w:ascii="Times New Roman" w:hAnsi="Times New Roman" w:cs="Times New Roman"/>
          <w:b/>
          <w:color w:val="auto"/>
          <w:szCs w:val="21"/>
        </w:rPr>
        <w:t>e</w:t>
      </w:r>
      <w:r>
        <w:rPr>
          <w:rFonts w:ascii="Times New Roman" w:hAnsi="Times New Roman" w:cs="Times New Roman"/>
          <w:b/>
          <w:color w:val="auto"/>
          <w:szCs w:val="21"/>
        </w:rPr>
        <w:t>Table</w:t>
      </w:r>
      <w:r>
        <w:rPr>
          <w:rFonts w:hint="eastAsia" w:ascii="Times New Roman" w:hAnsi="Times New Roman" w:cs="Times New Roman"/>
          <w:b/>
          <w:color w:val="auto"/>
          <w:szCs w:val="21"/>
        </w:rPr>
        <w:t xml:space="preserve"> 2 Subgroup analyses of d</w:t>
      </w:r>
      <w:r>
        <w:rPr>
          <w:rFonts w:ascii="Times New Roman" w:hAnsi="Times New Roman" w:cs="Times New Roman"/>
          <w:b/>
          <w:color w:val="auto"/>
          <w:szCs w:val="21"/>
        </w:rPr>
        <w:t>iscriminative</w:t>
      </w:r>
      <w:r>
        <w:rPr>
          <w:rFonts w:hint="eastAsia" w:ascii="Times New Roman" w:hAnsi="Times New Roman" w:cs="Times New Roman"/>
          <w:b/>
          <w:color w:val="auto"/>
          <w:szCs w:val="21"/>
        </w:rPr>
        <w:t xml:space="preserve"> </w:t>
      </w:r>
      <w:r>
        <w:rPr>
          <w:rFonts w:hint="eastAsia" w:ascii="Times New Roman" w:hAnsi="Times New Roman" w:cs="Times New Roman"/>
          <w:b/>
          <w:bCs/>
          <w:color w:val="auto"/>
          <w:szCs w:val="21"/>
        </w:rPr>
        <w:t>p</w:t>
      </w:r>
      <w:r>
        <w:rPr>
          <w:rFonts w:ascii="Times New Roman" w:hAnsi="Times New Roman" w:cs="Times New Roman"/>
          <w:b/>
          <w:bCs/>
          <w:color w:val="auto"/>
          <w:szCs w:val="21"/>
        </w:rPr>
        <w:t>erformance of SOFA-1 and SOFA-2</w:t>
      </w:r>
      <w:r>
        <w:rPr>
          <w:rFonts w:hint="eastAsia" w:ascii="Times New Roman" w:hAnsi="Times New Roman" w:cs="Times New Roman"/>
          <w:b/>
          <w:bCs/>
          <w:color w:val="auto"/>
          <w:szCs w:val="21"/>
        </w:rPr>
        <w:t xml:space="preserve"> scores in predicting ICU mortality</w:t>
      </w:r>
    </w:p>
    <w:tbl>
      <w:tblPr>
        <w:tblStyle w:val="17"/>
        <w:tblW w:w="4999" w:type="pct"/>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61"/>
        <w:gridCol w:w="2362"/>
        <w:gridCol w:w="2362"/>
        <w:gridCol w:w="2362"/>
        <w:gridCol w:w="2362"/>
        <w:gridCol w:w="2362"/>
      </w:tblGrid>
      <w:tr w14:paraId="23495E3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blHeader/>
        </w:trPr>
        <w:tc>
          <w:tcPr>
            <w:tcW w:w="833" w:type="pct"/>
            <w:tcBorders>
              <w:bottom w:val="single" w:color="auto" w:sz="4" w:space="0"/>
            </w:tcBorders>
            <w:vAlign w:val="center"/>
          </w:tcPr>
          <w:p w14:paraId="6E68A33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Cohort</w:t>
            </w:r>
          </w:p>
        </w:tc>
        <w:tc>
          <w:tcPr>
            <w:tcW w:w="833" w:type="pct"/>
            <w:tcBorders>
              <w:bottom w:val="single" w:color="auto" w:sz="4" w:space="0"/>
            </w:tcBorders>
            <w:vAlign w:val="center"/>
          </w:tcPr>
          <w:p w14:paraId="3F49D3F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Subgroup</w:t>
            </w:r>
          </w:p>
        </w:tc>
        <w:tc>
          <w:tcPr>
            <w:tcW w:w="833" w:type="pct"/>
            <w:tcBorders>
              <w:bottom w:val="single" w:color="auto" w:sz="4" w:space="0"/>
            </w:tcBorders>
            <w:vAlign w:val="center"/>
          </w:tcPr>
          <w:p w14:paraId="0E54742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Performance measure</w:t>
            </w:r>
          </w:p>
        </w:tc>
        <w:tc>
          <w:tcPr>
            <w:tcW w:w="833" w:type="pct"/>
            <w:tcBorders>
              <w:bottom w:val="single" w:color="auto" w:sz="4" w:space="0"/>
            </w:tcBorders>
            <w:vAlign w:val="center"/>
          </w:tcPr>
          <w:p w14:paraId="58F7FCF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SOFA-1</w:t>
            </w:r>
          </w:p>
        </w:tc>
        <w:tc>
          <w:tcPr>
            <w:tcW w:w="833" w:type="pct"/>
            <w:tcBorders>
              <w:bottom w:val="single" w:color="auto" w:sz="4" w:space="0"/>
            </w:tcBorders>
            <w:vAlign w:val="center"/>
          </w:tcPr>
          <w:p w14:paraId="3CAF730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SOFA-2</w:t>
            </w:r>
          </w:p>
        </w:tc>
        <w:tc>
          <w:tcPr>
            <w:tcW w:w="833" w:type="pct"/>
            <w:tcBorders>
              <w:bottom w:val="single" w:color="auto" w:sz="4" w:space="0"/>
            </w:tcBorders>
            <w:vAlign w:val="center"/>
          </w:tcPr>
          <w:p w14:paraId="31DDC13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P-value</w:t>
            </w:r>
          </w:p>
        </w:tc>
      </w:tr>
      <w:tr w14:paraId="5F3B26C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tcBorders>
              <w:top w:val="single" w:color="auto" w:sz="4" w:space="0"/>
            </w:tcBorders>
            <w:vAlign w:val="center"/>
          </w:tcPr>
          <w:p w14:paraId="50B0A05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tcBorders>
              <w:top w:val="single" w:color="auto" w:sz="4" w:space="0"/>
            </w:tcBorders>
            <w:vAlign w:val="center"/>
          </w:tcPr>
          <w:p w14:paraId="230468E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tcBorders>
              <w:top w:val="single" w:color="auto" w:sz="4" w:space="0"/>
            </w:tcBorders>
            <w:vAlign w:val="center"/>
          </w:tcPr>
          <w:p w14:paraId="7B390EF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Sensitivity</w:t>
            </w:r>
          </w:p>
        </w:tc>
        <w:tc>
          <w:tcPr>
            <w:tcW w:w="833" w:type="pct"/>
            <w:tcBorders>
              <w:top w:val="single" w:color="auto" w:sz="4" w:space="0"/>
            </w:tcBorders>
            <w:vAlign w:val="center"/>
          </w:tcPr>
          <w:p w14:paraId="57007B5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0.577 (0.547-0.606)</w:t>
            </w:r>
          </w:p>
        </w:tc>
        <w:tc>
          <w:tcPr>
            <w:tcW w:w="833" w:type="pct"/>
            <w:tcBorders>
              <w:top w:val="single" w:color="auto" w:sz="4" w:space="0"/>
            </w:tcBorders>
            <w:vAlign w:val="center"/>
          </w:tcPr>
          <w:p w14:paraId="48888F7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0.604 (0.575-0.633)</w:t>
            </w:r>
          </w:p>
        </w:tc>
        <w:tc>
          <w:tcPr>
            <w:tcW w:w="833" w:type="pct"/>
            <w:tcBorders>
              <w:top w:val="single" w:color="auto" w:sz="4" w:space="0"/>
            </w:tcBorders>
            <w:vAlign w:val="center"/>
          </w:tcPr>
          <w:p w14:paraId="39F3F64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0.017</w:t>
            </w:r>
          </w:p>
        </w:tc>
      </w:tr>
      <w:tr w14:paraId="100324C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7B4A9FB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78DE150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7AD8CC5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Specificity</w:t>
            </w:r>
          </w:p>
        </w:tc>
        <w:tc>
          <w:tcPr>
            <w:tcW w:w="833" w:type="pct"/>
            <w:vAlign w:val="center"/>
          </w:tcPr>
          <w:p w14:paraId="6A24CF2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0.764 (0.757-0.771)</w:t>
            </w:r>
          </w:p>
        </w:tc>
        <w:tc>
          <w:tcPr>
            <w:tcW w:w="833" w:type="pct"/>
            <w:vAlign w:val="center"/>
          </w:tcPr>
          <w:p w14:paraId="212BA3A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0.743 (0.736-0.751)</w:t>
            </w:r>
          </w:p>
        </w:tc>
        <w:tc>
          <w:tcPr>
            <w:tcW w:w="833" w:type="pct"/>
            <w:vAlign w:val="center"/>
          </w:tcPr>
          <w:p w14:paraId="2232C02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66BD81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63A713D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1BB0799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5C34897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PPV</w:t>
            </w:r>
          </w:p>
        </w:tc>
        <w:tc>
          <w:tcPr>
            <w:tcW w:w="833" w:type="pct"/>
            <w:vAlign w:val="center"/>
          </w:tcPr>
          <w:p w14:paraId="66897EC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0.169 (0.157-0.181)</w:t>
            </w:r>
          </w:p>
        </w:tc>
        <w:tc>
          <w:tcPr>
            <w:tcW w:w="833" w:type="pct"/>
            <w:vAlign w:val="center"/>
          </w:tcPr>
          <w:p w14:paraId="43D08FA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0.164 (0.153-0.175)</w:t>
            </w:r>
          </w:p>
        </w:tc>
        <w:tc>
          <w:tcPr>
            <w:tcW w:w="833" w:type="pct"/>
            <w:vAlign w:val="center"/>
          </w:tcPr>
          <w:p w14:paraId="3322BAF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141A33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024DF14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032EF5F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3B9F845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NPV</w:t>
            </w:r>
          </w:p>
        </w:tc>
        <w:tc>
          <w:tcPr>
            <w:tcW w:w="833" w:type="pct"/>
            <w:vAlign w:val="center"/>
          </w:tcPr>
          <w:p w14:paraId="71A3D1A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0.956 (0.952-0.960)</w:t>
            </w:r>
          </w:p>
        </w:tc>
        <w:tc>
          <w:tcPr>
            <w:tcW w:w="833" w:type="pct"/>
            <w:vAlign w:val="center"/>
          </w:tcPr>
          <w:p w14:paraId="34AE57F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0.958 (0.953-0.961)</w:t>
            </w:r>
          </w:p>
        </w:tc>
        <w:tc>
          <w:tcPr>
            <w:tcW w:w="833" w:type="pct"/>
            <w:vAlign w:val="center"/>
          </w:tcPr>
          <w:p w14:paraId="1F70B0F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77F82C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0E2014C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7FCA0A4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04F94CE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6B078D7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2.44 (2.30-2.59)</w:t>
            </w:r>
          </w:p>
        </w:tc>
        <w:tc>
          <w:tcPr>
            <w:tcW w:w="833" w:type="pct"/>
            <w:vAlign w:val="center"/>
          </w:tcPr>
          <w:p w14:paraId="1BCBB2E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2.35 (2.23-2.49)</w:t>
            </w:r>
          </w:p>
        </w:tc>
        <w:tc>
          <w:tcPr>
            <w:tcW w:w="833" w:type="pct"/>
            <w:vAlign w:val="center"/>
          </w:tcPr>
          <w:p w14:paraId="709B0E46">
            <w:pPr>
              <w:jc w:val="left"/>
              <w:rPr>
                <w:rFonts w:ascii="Times New Roman Regular" w:hAnsi="Times New Roman Regular" w:cs="Times New Roman Regular"/>
                <w:color w:val="auto"/>
                <w:szCs w:val="21"/>
              </w:rPr>
            </w:pPr>
          </w:p>
        </w:tc>
      </w:tr>
      <w:tr w14:paraId="1658CC4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41C8BCC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4CFEBF6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640203E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3C5D5A5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0.55 (0.52-0.59)</w:t>
            </w:r>
          </w:p>
        </w:tc>
        <w:tc>
          <w:tcPr>
            <w:tcW w:w="833" w:type="pct"/>
            <w:vAlign w:val="center"/>
          </w:tcPr>
          <w:p w14:paraId="645F7AC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0.53 (0.50-0.57)</w:t>
            </w:r>
          </w:p>
        </w:tc>
        <w:tc>
          <w:tcPr>
            <w:tcW w:w="833" w:type="pct"/>
            <w:vAlign w:val="center"/>
          </w:tcPr>
          <w:p w14:paraId="3DF5B620">
            <w:pPr>
              <w:jc w:val="left"/>
              <w:rPr>
                <w:rFonts w:ascii="Times New Roman Regular" w:hAnsi="Times New Roman Regular" w:cs="Times New Roman Regular"/>
                <w:color w:val="auto"/>
                <w:szCs w:val="21"/>
              </w:rPr>
            </w:pPr>
          </w:p>
        </w:tc>
      </w:tr>
      <w:tr w14:paraId="7743A41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67A2AEA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6712AF6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52DFFCD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Sensitivity</w:t>
            </w:r>
          </w:p>
        </w:tc>
        <w:tc>
          <w:tcPr>
            <w:tcW w:w="833" w:type="pct"/>
            <w:vAlign w:val="center"/>
          </w:tcPr>
          <w:p w14:paraId="75F4096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0.540 (0.508-0.572)</w:t>
            </w:r>
          </w:p>
        </w:tc>
        <w:tc>
          <w:tcPr>
            <w:tcW w:w="833" w:type="pct"/>
            <w:vAlign w:val="center"/>
          </w:tcPr>
          <w:p w14:paraId="2E19252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0.568 (0.536-0.600)</w:t>
            </w:r>
          </w:p>
        </w:tc>
        <w:tc>
          <w:tcPr>
            <w:tcW w:w="833" w:type="pct"/>
            <w:vAlign w:val="center"/>
          </w:tcPr>
          <w:p w14:paraId="15B2611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0.027</w:t>
            </w:r>
          </w:p>
        </w:tc>
      </w:tr>
      <w:tr w14:paraId="26D3762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78FB066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5131ADF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79EB525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Specificity</w:t>
            </w:r>
          </w:p>
        </w:tc>
        <w:tc>
          <w:tcPr>
            <w:tcW w:w="833" w:type="pct"/>
            <w:vAlign w:val="center"/>
          </w:tcPr>
          <w:p w14:paraId="53C1BDB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0.823 (0.816-0.831)</w:t>
            </w:r>
          </w:p>
        </w:tc>
        <w:tc>
          <w:tcPr>
            <w:tcW w:w="833" w:type="pct"/>
            <w:vAlign w:val="center"/>
          </w:tcPr>
          <w:p w14:paraId="4A993DC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0.802 (0.794-0.810)</w:t>
            </w:r>
          </w:p>
        </w:tc>
        <w:tc>
          <w:tcPr>
            <w:tcW w:w="833" w:type="pct"/>
            <w:vAlign w:val="center"/>
          </w:tcPr>
          <w:p w14:paraId="73E4AD2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1F8B7A4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1969816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7F970DB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60F5D42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PPV</w:t>
            </w:r>
          </w:p>
        </w:tc>
        <w:tc>
          <w:tcPr>
            <w:tcW w:w="833" w:type="pct"/>
            <w:vAlign w:val="center"/>
          </w:tcPr>
          <w:p w14:paraId="51D9090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0.218 (0.202-0.235)</w:t>
            </w:r>
          </w:p>
        </w:tc>
        <w:tc>
          <w:tcPr>
            <w:tcW w:w="833" w:type="pct"/>
            <w:vAlign w:val="center"/>
          </w:tcPr>
          <w:p w14:paraId="0E3C2D1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0.208 (0.192-0.224)</w:t>
            </w:r>
          </w:p>
        </w:tc>
        <w:tc>
          <w:tcPr>
            <w:tcW w:w="833" w:type="pct"/>
            <w:vAlign w:val="center"/>
          </w:tcPr>
          <w:p w14:paraId="359B3D4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CB7127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44DFD92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5A9B813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1AB8199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NPV</w:t>
            </w:r>
          </w:p>
        </w:tc>
        <w:tc>
          <w:tcPr>
            <w:tcW w:w="833" w:type="pct"/>
            <w:vAlign w:val="center"/>
          </w:tcPr>
          <w:p w14:paraId="23BA285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0.952 (0.947-0.956)</w:t>
            </w:r>
          </w:p>
        </w:tc>
        <w:tc>
          <w:tcPr>
            <w:tcW w:w="833" w:type="pct"/>
            <w:vAlign w:val="center"/>
          </w:tcPr>
          <w:p w14:paraId="37AB83A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0.953 (0.949-0.958)</w:t>
            </w:r>
          </w:p>
        </w:tc>
        <w:tc>
          <w:tcPr>
            <w:tcW w:w="833" w:type="pct"/>
            <w:vAlign w:val="center"/>
          </w:tcPr>
          <w:p w14:paraId="49E7626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0A5BD6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264C1B2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50BB4CD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3C7E9BA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6025680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3.06 (2.85-3.29)</w:t>
            </w:r>
          </w:p>
        </w:tc>
        <w:tc>
          <w:tcPr>
            <w:tcW w:w="833" w:type="pct"/>
            <w:vAlign w:val="center"/>
          </w:tcPr>
          <w:p w14:paraId="1615782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2.87 (2.69-3.07)</w:t>
            </w:r>
          </w:p>
        </w:tc>
        <w:tc>
          <w:tcPr>
            <w:tcW w:w="833" w:type="pct"/>
            <w:vAlign w:val="center"/>
          </w:tcPr>
          <w:p w14:paraId="50AFBB00">
            <w:pPr>
              <w:jc w:val="left"/>
              <w:rPr>
                <w:rFonts w:ascii="Times New Roman Regular" w:hAnsi="Times New Roman Regular" w:cs="Times New Roman Regular"/>
                <w:color w:val="auto"/>
                <w:szCs w:val="21"/>
              </w:rPr>
            </w:pPr>
          </w:p>
        </w:tc>
      </w:tr>
      <w:tr w14:paraId="0ED9ADE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715EE59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6099AF6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02EB3C5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1575BBD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 (0.52-0.60)</w:t>
            </w:r>
          </w:p>
        </w:tc>
        <w:tc>
          <w:tcPr>
            <w:tcW w:w="833" w:type="pct"/>
            <w:vAlign w:val="center"/>
          </w:tcPr>
          <w:p w14:paraId="60B47E8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0.54 (0.50-0.58)</w:t>
            </w:r>
          </w:p>
        </w:tc>
        <w:tc>
          <w:tcPr>
            <w:tcW w:w="833" w:type="pct"/>
            <w:vAlign w:val="center"/>
          </w:tcPr>
          <w:p w14:paraId="0766D3D8">
            <w:pPr>
              <w:jc w:val="left"/>
              <w:rPr>
                <w:rFonts w:ascii="Times New Roman Regular" w:hAnsi="Times New Roman Regular" w:cs="Times New Roman Regular"/>
                <w:color w:val="auto"/>
                <w:szCs w:val="21"/>
              </w:rPr>
            </w:pPr>
          </w:p>
        </w:tc>
      </w:tr>
      <w:tr w14:paraId="62DEBB8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4FF2609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20709EF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1B8EDA8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Sensitivity</w:t>
            </w:r>
          </w:p>
        </w:tc>
        <w:tc>
          <w:tcPr>
            <w:tcW w:w="833" w:type="pct"/>
            <w:vAlign w:val="center"/>
          </w:tcPr>
          <w:p w14:paraId="5261FF0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0.582 (0.555-0.610)</w:t>
            </w:r>
          </w:p>
        </w:tc>
        <w:tc>
          <w:tcPr>
            <w:tcW w:w="833" w:type="pct"/>
            <w:vAlign w:val="center"/>
          </w:tcPr>
          <w:p w14:paraId="148179C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0.618 (0.590-0.645)</w:t>
            </w:r>
          </w:p>
        </w:tc>
        <w:tc>
          <w:tcPr>
            <w:tcW w:w="833" w:type="pct"/>
            <w:vAlign w:val="center"/>
          </w:tcPr>
          <w:p w14:paraId="462A612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0.001</w:t>
            </w:r>
          </w:p>
        </w:tc>
      </w:tr>
      <w:tr w14:paraId="3B1076A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15CE505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26ECE8F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69B1C03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Specificity</w:t>
            </w:r>
          </w:p>
        </w:tc>
        <w:tc>
          <w:tcPr>
            <w:tcW w:w="833" w:type="pct"/>
            <w:vAlign w:val="center"/>
          </w:tcPr>
          <w:p w14:paraId="6326F2B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0.783 (0.777-0.789)</w:t>
            </w:r>
          </w:p>
        </w:tc>
        <w:tc>
          <w:tcPr>
            <w:tcW w:w="833" w:type="pct"/>
            <w:vAlign w:val="center"/>
          </w:tcPr>
          <w:p w14:paraId="6839307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0.763 (0.757-0.770)</w:t>
            </w:r>
          </w:p>
        </w:tc>
        <w:tc>
          <w:tcPr>
            <w:tcW w:w="833" w:type="pct"/>
            <w:vAlign w:val="center"/>
          </w:tcPr>
          <w:p w14:paraId="7504251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27253A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01A458E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18F3824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50D9373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PPV</w:t>
            </w:r>
          </w:p>
        </w:tc>
        <w:tc>
          <w:tcPr>
            <w:tcW w:w="833" w:type="pct"/>
            <w:vAlign w:val="center"/>
          </w:tcPr>
          <w:p w14:paraId="3827BCB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0.171 (0.160-0.182)</w:t>
            </w:r>
          </w:p>
        </w:tc>
        <w:tc>
          <w:tcPr>
            <w:tcW w:w="833" w:type="pct"/>
            <w:vAlign w:val="center"/>
          </w:tcPr>
          <w:p w14:paraId="677E989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0.167 (0.156-0.178)</w:t>
            </w:r>
          </w:p>
        </w:tc>
        <w:tc>
          <w:tcPr>
            <w:tcW w:w="833" w:type="pct"/>
            <w:vAlign w:val="center"/>
          </w:tcPr>
          <w:p w14:paraId="7EB0748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2A24A2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0700F36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4A85C0C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08418BC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NPV</w:t>
            </w:r>
          </w:p>
        </w:tc>
        <w:tc>
          <w:tcPr>
            <w:tcW w:w="833" w:type="pct"/>
            <w:vAlign w:val="center"/>
          </w:tcPr>
          <w:p w14:paraId="559B2F7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0.961 (0.957-0.964)</w:t>
            </w:r>
          </w:p>
        </w:tc>
        <w:tc>
          <w:tcPr>
            <w:tcW w:w="833" w:type="pct"/>
            <w:vAlign w:val="center"/>
          </w:tcPr>
          <w:p w14:paraId="3D781B6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0.963 (0.960-0.966)</w:t>
            </w:r>
          </w:p>
        </w:tc>
        <w:tc>
          <w:tcPr>
            <w:tcW w:w="833" w:type="pct"/>
            <w:vAlign w:val="center"/>
          </w:tcPr>
          <w:p w14:paraId="43C11DD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345BD00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0704530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4BF0F8B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768397B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3161447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2.69 (2.54-2.84)</w:t>
            </w:r>
          </w:p>
        </w:tc>
        <w:tc>
          <w:tcPr>
            <w:tcW w:w="833" w:type="pct"/>
            <w:vAlign w:val="center"/>
          </w:tcPr>
          <w:p w14:paraId="7B8D61F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2.61 (2.48-2.75)</w:t>
            </w:r>
          </w:p>
        </w:tc>
        <w:tc>
          <w:tcPr>
            <w:tcW w:w="833" w:type="pct"/>
            <w:vAlign w:val="center"/>
          </w:tcPr>
          <w:p w14:paraId="79F4833E">
            <w:pPr>
              <w:jc w:val="left"/>
              <w:rPr>
                <w:rFonts w:ascii="Times New Roman Regular" w:hAnsi="Times New Roman Regular" w:cs="Times New Roman Regular"/>
                <w:color w:val="auto"/>
                <w:szCs w:val="21"/>
              </w:rPr>
            </w:pPr>
          </w:p>
        </w:tc>
      </w:tr>
      <w:tr w14:paraId="6FC36DF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41490CD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2A7E5B9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4C8C6E4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426F32A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0.53 (0.50-0.57)</w:t>
            </w:r>
          </w:p>
        </w:tc>
        <w:tc>
          <w:tcPr>
            <w:tcW w:w="833" w:type="pct"/>
            <w:vAlign w:val="center"/>
          </w:tcPr>
          <w:p w14:paraId="3EF7AFA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0.50 (0.47-0.54)</w:t>
            </w:r>
          </w:p>
        </w:tc>
        <w:tc>
          <w:tcPr>
            <w:tcW w:w="833" w:type="pct"/>
            <w:vAlign w:val="center"/>
          </w:tcPr>
          <w:p w14:paraId="3F1A51DD">
            <w:pPr>
              <w:jc w:val="left"/>
              <w:rPr>
                <w:rFonts w:ascii="Times New Roman Regular" w:hAnsi="Times New Roman Regular" w:cs="Times New Roman Regular"/>
                <w:color w:val="auto"/>
                <w:szCs w:val="21"/>
              </w:rPr>
            </w:pPr>
          </w:p>
        </w:tc>
      </w:tr>
      <w:tr w14:paraId="1A660DF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375E7F0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3F3C621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vAlign w:val="center"/>
          </w:tcPr>
          <w:p w14:paraId="0A8C2D2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Sensitivity</w:t>
            </w:r>
          </w:p>
        </w:tc>
        <w:tc>
          <w:tcPr>
            <w:tcW w:w="833" w:type="pct"/>
            <w:vAlign w:val="center"/>
          </w:tcPr>
          <w:p w14:paraId="3EAD035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0.525 (0.490-0.559)</w:t>
            </w:r>
          </w:p>
        </w:tc>
        <w:tc>
          <w:tcPr>
            <w:tcW w:w="833" w:type="pct"/>
            <w:vAlign w:val="center"/>
          </w:tcPr>
          <w:p w14:paraId="0E66EA9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0.541 (0.506-0.575)</w:t>
            </w:r>
          </w:p>
        </w:tc>
        <w:tc>
          <w:tcPr>
            <w:tcW w:w="833" w:type="pct"/>
            <w:vAlign w:val="center"/>
          </w:tcPr>
          <w:p w14:paraId="1D427A9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0.263</w:t>
            </w:r>
          </w:p>
        </w:tc>
      </w:tr>
      <w:tr w14:paraId="2BCA3E0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583249B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1C41F56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vAlign w:val="center"/>
          </w:tcPr>
          <w:p w14:paraId="29702BB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Specificity</w:t>
            </w:r>
          </w:p>
        </w:tc>
        <w:tc>
          <w:tcPr>
            <w:tcW w:w="833" w:type="pct"/>
            <w:vAlign w:val="center"/>
          </w:tcPr>
          <w:p w14:paraId="4F48CC6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0.805 (0.796-0.814)</w:t>
            </w:r>
          </w:p>
        </w:tc>
        <w:tc>
          <w:tcPr>
            <w:tcW w:w="833" w:type="pct"/>
            <w:vAlign w:val="center"/>
          </w:tcPr>
          <w:p w14:paraId="36D6D14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0.782 (0.772-0.791)</w:t>
            </w:r>
          </w:p>
        </w:tc>
        <w:tc>
          <w:tcPr>
            <w:tcW w:w="833" w:type="pct"/>
            <w:vAlign w:val="center"/>
          </w:tcPr>
          <w:p w14:paraId="6A286C2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289F255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08BA8A4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7757A9A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vAlign w:val="center"/>
          </w:tcPr>
          <w:p w14:paraId="79150A3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PPV</w:t>
            </w:r>
          </w:p>
        </w:tc>
        <w:tc>
          <w:tcPr>
            <w:tcW w:w="833" w:type="pct"/>
            <w:vAlign w:val="center"/>
          </w:tcPr>
          <w:p w14:paraId="3734EA6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0.227 (0.208-0.246)</w:t>
            </w:r>
          </w:p>
        </w:tc>
        <w:tc>
          <w:tcPr>
            <w:tcW w:w="833" w:type="pct"/>
            <w:vAlign w:val="center"/>
          </w:tcPr>
          <w:p w14:paraId="0411E50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0.212 (0.195-0.230)</w:t>
            </w:r>
          </w:p>
        </w:tc>
        <w:tc>
          <w:tcPr>
            <w:tcW w:w="833" w:type="pct"/>
            <w:vAlign w:val="center"/>
          </w:tcPr>
          <w:p w14:paraId="3D8B6B4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3091AD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7C6823F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42389EC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vAlign w:val="center"/>
          </w:tcPr>
          <w:p w14:paraId="112F653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NPV</w:t>
            </w:r>
          </w:p>
        </w:tc>
        <w:tc>
          <w:tcPr>
            <w:tcW w:w="833" w:type="pct"/>
            <w:vAlign w:val="center"/>
          </w:tcPr>
          <w:p w14:paraId="624A1E8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0.940 (0.934-0.945)</w:t>
            </w:r>
          </w:p>
        </w:tc>
        <w:tc>
          <w:tcPr>
            <w:tcW w:w="833" w:type="pct"/>
            <w:vAlign w:val="center"/>
          </w:tcPr>
          <w:p w14:paraId="508137E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0.940 (0.934-0.946)</w:t>
            </w:r>
          </w:p>
        </w:tc>
        <w:tc>
          <w:tcPr>
            <w:tcW w:w="833" w:type="pct"/>
            <w:vAlign w:val="center"/>
          </w:tcPr>
          <w:p w14:paraId="084B124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75B5B80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4F56826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44D6091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vAlign w:val="center"/>
          </w:tcPr>
          <w:p w14:paraId="622725A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12DD166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2.70 (2.49-2.92)</w:t>
            </w:r>
          </w:p>
        </w:tc>
        <w:tc>
          <w:tcPr>
            <w:tcW w:w="833" w:type="pct"/>
            <w:vAlign w:val="center"/>
          </w:tcPr>
          <w:p w14:paraId="46B1E60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2.47 (2.29-2.67)</w:t>
            </w:r>
          </w:p>
        </w:tc>
        <w:tc>
          <w:tcPr>
            <w:tcW w:w="833" w:type="pct"/>
            <w:vAlign w:val="center"/>
          </w:tcPr>
          <w:p w14:paraId="31D28E9C">
            <w:pPr>
              <w:jc w:val="left"/>
              <w:rPr>
                <w:rFonts w:ascii="Times New Roman Regular" w:hAnsi="Times New Roman Regular" w:cs="Times New Roman Regular"/>
                <w:color w:val="auto"/>
                <w:szCs w:val="21"/>
              </w:rPr>
            </w:pPr>
          </w:p>
        </w:tc>
      </w:tr>
      <w:tr w14:paraId="2F5C5FF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57610D8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833" w:type="pct"/>
            <w:vAlign w:val="center"/>
          </w:tcPr>
          <w:p w14:paraId="4151B88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vAlign w:val="center"/>
          </w:tcPr>
          <w:p w14:paraId="772213B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715B8EE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0.59 (0.55-0.64)</w:t>
            </w:r>
          </w:p>
        </w:tc>
        <w:tc>
          <w:tcPr>
            <w:tcW w:w="833" w:type="pct"/>
            <w:vAlign w:val="center"/>
          </w:tcPr>
          <w:p w14:paraId="60850C2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0.59 (0.55-0.63)</w:t>
            </w:r>
          </w:p>
        </w:tc>
        <w:tc>
          <w:tcPr>
            <w:tcW w:w="833" w:type="pct"/>
            <w:vAlign w:val="center"/>
          </w:tcPr>
          <w:p w14:paraId="6B3019D8">
            <w:pPr>
              <w:jc w:val="left"/>
              <w:rPr>
                <w:rFonts w:ascii="Times New Roman Regular" w:hAnsi="Times New Roman Regular" w:cs="Times New Roman Regular"/>
                <w:color w:val="auto"/>
                <w:szCs w:val="21"/>
              </w:rPr>
            </w:pPr>
          </w:p>
        </w:tc>
      </w:tr>
      <w:tr w14:paraId="0AD653E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05DA612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25CE91A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00B778A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Sensitivity</w:t>
            </w:r>
          </w:p>
        </w:tc>
        <w:tc>
          <w:tcPr>
            <w:tcW w:w="833" w:type="pct"/>
            <w:vAlign w:val="center"/>
          </w:tcPr>
          <w:p w14:paraId="199BB01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0.607 (0.583-0.630)</w:t>
            </w:r>
          </w:p>
        </w:tc>
        <w:tc>
          <w:tcPr>
            <w:tcW w:w="833" w:type="pct"/>
            <w:vAlign w:val="center"/>
          </w:tcPr>
          <w:p w14:paraId="04BE9ED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0.702 (0.680-0.723)</w:t>
            </w:r>
          </w:p>
        </w:tc>
        <w:tc>
          <w:tcPr>
            <w:tcW w:w="833" w:type="pct"/>
            <w:vAlign w:val="center"/>
          </w:tcPr>
          <w:p w14:paraId="1FE0B6E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0DD486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5B5D0CF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1BC7F5C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612BB2F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Specificity</w:t>
            </w:r>
          </w:p>
        </w:tc>
        <w:tc>
          <w:tcPr>
            <w:tcW w:w="833" w:type="pct"/>
            <w:vAlign w:val="center"/>
          </w:tcPr>
          <w:p w14:paraId="647CD2D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0.752 (0.746-0.757)</w:t>
            </w:r>
          </w:p>
        </w:tc>
        <w:tc>
          <w:tcPr>
            <w:tcW w:w="833" w:type="pct"/>
            <w:vAlign w:val="center"/>
          </w:tcPr>
          <w:p w14:paraId="23B175A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0.668 (0.662-0.673)</w:t>
            </w:r>
          </w:p>
        </w:tc>
        <w:tc>
          <w:tcPr>
            <w:tcW w:w="833" w:type="pct"/>
            <w:vAlign w:val="center"/>
          </w:tcPr>
          <w:p w14:paraId="69FB183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0B4E0E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242E8CE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28DF4CD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199370F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PPV</w:t>
            </w:r>
          </w:p>
        </w:tc>
        <w:tc>
          <w:tcPr>
            <w:tcW w:w="833" w:type="pct"/>
            <w:vAlign w:val="center"/>
          </w:tcPr>
          <w:p w14:paraId="486117D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0.136 (0.128-0.144)</w:t>
            </w:r>
          </w:p>
        </w:tc>
        <w:tc>
          <w:tcPr>
            <w:tcW w:w="833" w:type="pct"/>
            <w:vAlign w:val="center"/>
          </w:tcPr>
          <w:p w14:paraId="4FDD16E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0.120 (0.113-0.126)</w:t>
            </w:r>
          </w:p>
        </w:tc>
        <w:tc>
          <w:tcPr>
            <w:tcW w:w="833" w:type="pct"/>
            <w:vAlign w:val="center"/>
          </w:tcPr>
          <w:p w14:paraId="6FC3AC4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123F58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7624F84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0355870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0329B2B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NPV</w:t>
            </w:r>
          </w:p>
        </w:tc>
        <w:tc>
          <w:tcPr>
            <w:tcW w:w="833" w:type="pct"/>
            <w:vAlign w:val="center"/>
          </w:tcPr>
          <w:p w14:paraId="71BAFA6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0.967 (0.965-0.970)</w:t>
            </w:r>
          </w:p>
        </w:tc>
        <w:tc>
          <w:tcPr>
            <w:tcW w:w="833" w:type="pct"/>
            <w:vAlign w:val="center"/>
          </w:tcPr>
          <w:p w14:paraId="2D24A03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0.972 (0.970-0.974)</w:t>
            </w:r>
          </w:p>
        </w:tc>
        <w:tc>
          <w:tcPr>
            <w:tcW w:w="833" w:type="pct"/>
            <w:vAlign w:val="center"/>
          </w:tcPr>
          <w:p w14:paraId="7123B00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34A61AF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5B8EE38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13BBA7A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211CAA4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63BC7CF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2.44 (2.34-2.55)</w:t>
            </w:r>
          </w:p>
        </w:tc>
        <w:tc>
          <w:tcPr>
            <w:tcW w:w="833" w:type="pct"/>
            <w:vAlign w:val="center"/>
          </w:tcPr>
          <w:p w14:paraId="51130B8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2.11 (2.04-2.19)</w:t>
            </w:r>
          </w:p>
        </w:tc>
        <w:tc>
          <w:tcPr>
            <w:tcW w:w="833" w:type="pct"/>
            <w:vAlign w:val="center"/>
          </w:tcPr>
          <w:p w14:paraId="62AD7D20">
            <w:pPr>
              <w:jc w:val="left"/>
              <w:rPr>
                <w:rFonts w:ascii="Times New Roman Regular" w:hAnsi="Times New Roman Regular" w:cs="Times New Roman Regular"/>
                <w:color w:val="auto"/>
                <w:szCs w:val="21"/>
              </w:rPr>
            </w:pPr>
          </w:p>
        </w:tc>
      </w:tr>
      <w:tr w14:paraId="2BC2C43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6365C74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529BD70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Male</w:t>
            </w:r>
          </w:p>
        </w:tc>
        <w:tc>
          <w:tcPr>
            <w:tcW w:w="833" w:type="pct"/>
            <w:vAlign w:val="center"/>
          </w:tcPr>
          <w:p w14:paraId="3F95CDC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71047D7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0.52 (0.49-0.56)</w:t>
            </w:r>
          </w:p>
        </w:tc>
        <w:tc>
          <w:tcPr>
            <w:tcW w:w="833" w:type="pct"/>
            <w:vAlign w:val="center"/>
          </w:tcPr>
          <w:p w14:paraId="544E628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0.45 (0.42-0.48)</w:t>
            </w:r>
          </w:p>
        </w:tc>
        <w:tc>
          <w:tcPr>
            <w:tcW w:w="833" w:type="pct"/>
            <w:vAlign w:val="center"/>
          </w:tcPr>
          <w:p w14:paraId="5E277BBC">
            <w:pPr>
              <w:jc w:val="left"/>
              <w:rPr>
                <w:rFonts w:ascii="Times New Roman Regular" w:hAnsi="Times New Roman Regular" w:cs="Times New Roman Regular"/>
                <w:color w:val="auto"/>
                <w:szCs w:val="21"/>
              </w:rPr>
            </w:pPr>
          </w:p>
        </w:tc>
      </w:tr>
      <w:tr w14:paraId="229D9BD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69ED976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5AD5C06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5542160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Sensitivity</w:t>
            </w:r>
          </w:p>
        </w:tc>
        <w:tc>
          <w:tcPr>
            <w:tcW w:w="833" w:type="pct"/>
            <w:vAlign w:val="center"/>
          </w:tcPr>
          <w:p w14:paraId="63545E7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0.594 (0.569-0.619)</w:t>
            </w:r>
          </w:p>
        </w:tc>
        <w:tc>
          <w:tcPr>
            <w:tcW w:w="833" w:type="pct"/>
            <w:vAlign w:val="center"/>
          </w:tcPr>
          <w:p w14:paraId="36B7E29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0.689 (0.665-0.712)</w:t>
            </w:r>
          </w:p>
        </w:tc>
        <w:tc>
          <w:tcPr>
            <w:tcW w:w="833" w:type="pct"/>
            <w:vAlign w:val="center"/>
          </w:tcPr>
          <w:p w14:paraId="477D07B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408C5E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136FA4C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3D121A5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7A88B16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Specificity</w:t>
            </w:r>
          </w:p>
        </w:tc>
        <w:tc>
          <w:tcPr>
            <w:tcW w:w="833" w:type="pct"/>
            <w:vAlign w:val="center"/>
          </w:tcPr>
          <w:p w14:paraId="690B832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0.790 (0.784-0.795)</w:t>
            </w:r>
          </w:p>
        </w:tc>
        <w:tc>
          <w:tcPr>
            <w:tcW w:w="833" w:type="pct"/>
            <w:vAlign w:val="center"/>
          </w:tcPr>
          <w:p w14:paraId="79B45AC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0.717 (0.711-0.723)</w:t>
            </w:r>
          </w:p>
        </w:tc>
        <w:tc>
          <w:tcPr>
            <w:tcW w:w="833" w:type="pct"/>
            <w:vAlign w:val="center"/>
          </w:tcPr>
          <w:p w14:paraId="170C0AD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37E0BBC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1F9DFD8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0B14C5A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36EEFFF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PPV</w:t>
            </w:r>
          </w:p>
        </w:tc>
        <w:tc>
          <w:tcPr>
            <w:tcW w:w="833" w:type="pct"/>
            <w:vAlign w:val="center"/>
          </w:tcPr>
          <w:p w14:paraId="09DF7DD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0.152 (0.143-0.161)</w:t>
            </w:r>
          </w:p>
        </w:tc>
        <w:tc>
          <w:tcPr>
            <w:tcW w:w="833" w:type="pct"/>
            <w:vAlign w:val="center"/>
          </w:tcPr>
          <w:p w14:paraId="5DEAFD9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0.133 (0.126-0.141)</w:t>
            </w:r>
          </w:p>
        </w:tc>
        <w:tc>
          <w:tcPr>
            <w:tcW w:w="833" w:type="pct"/>
            <w:vAlign w:val="center"/>
          </w:tcPr>
          <w:p w14:paraId="1B0F5FF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393C57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43918F1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422B93F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1CD7409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NPV</w:t>
            </w:r>
          </w:p>
        </w:tc>
        <w:tc>
          <w:tcPr>
            <w:tcW w:w="833" w:type="pct"/>
            <w:vAlign w:val="center"/>
          </w:tcPr>
          <w:p w14:paraId="08D4E77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0.968 (0.966-0.971)</w:t>
            </w:r>
          </w:p>
        </w:tc>
        <w:tc>
          <w:tcPr>
            <w:tcW w:w="833" w:type="pct"/>
            <w:vAlign w:val="center"/>
          </w:tcPr>
          <w:p w14:paraId="6AC0DCE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0.973 (0.971-0.976)</w:t>
            </w:r>
          </w:p>
        </w:tc>
        <w:tc>
          <w:tcPr>
            <w:tcW w:w="833" w:type="pct"/>
            <w:vAlign w:val="center"/>
          </w:tcPr>
          <w:p w14:paraId="03E782D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9C6B78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370BC2D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593DC28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315CF03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55783DC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2.82 (2.69-2.97)</w:t>
            </w:r>
          </w:p>
        </w:tc>
        <w:tc>
          <w:tcPr>
            <w:tcW w:w="833" w:type="pct"/>
            <w:vAlign w:val="center"/>
          </w:tcPr>
          <w:p w14:paraId="00E6E64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2.43 (2.34-2.53)</w:t>
            </w:r>
          </w:p>
        </w:tc>
        <w:tc>
          <w:tcPr>
            <w:tcW w:w="833" w:type="pct"/>
            <w:vAlign w:val="center"/>
          </w:tcPr>
          <w:p w14:paraId="351D8D69">
            <w:pPr>
              <w:jc w:val="left"/>
              <w:rPr>
                <w:rFonts w:ascii="Times New Roman Regular" w:hAnsi="Times New Roman Regular" w:cs="Times New Roman Regular"/>
                <w:color w:val="auto"/>
                <w:szCs w:val="21"/>
              </w:rPr>
            </w:pPr>
          </w:p>
        </w:tc>
      </w:tr>
      <w:tr w14:paraId="4618D84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677BBF3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1162E12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Female</w:t>
            </w:r>
          </w:p>
        </w:tc>
        <w:tc>
          <w:tcPr>
            <w:tcW w:w="833" w:type="pct"/>
            <w:vAlign w:val="center"/>
          </w:tcPr>
          <w:p w14:paraId="1964053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2D28A80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0.51 (0.48-0.55)</w:t>
            </w:r>
          </w:p>
        </w:tc>
        <w:tc>
          <w:tcPr>
            <w:tcW w:w="833" w:type="pct"/>
            <w:vAlign w:val="center"/>
          </w:tcPr>
          <w:p w14:paraId="0BC221D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0.43 (0.40-0.47)</w:t>
            </w:r>
          </w:p>
        </w:tc>
        <w:tc>
          <w:tcPr>
            <w:tcW w:w="833" w:type="pct"/>
            <w:vAlign w:val="center"/>
          </w:tcPr>
          <w:p w14:paraId="31989856">
            <w:pPr>
              <w:jc w:val="left"/>
              <w:rPr>
                <w:rFonts w:ascii="Times New Roman Regular" w:hAnsi="Times New Roman Regular" w:cs="Times New Roman Regular"/>
                <w:color w:val="auto"/>
                <w:szCs w:val="21"/>
              </w:rPr>
            </w:pPr>
          </w:p>
        </w:tc>
      </w:tr>
      <w:tr w14:paraId="1D9A60A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422F29F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2669A55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3DF91F2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Sensitivity</w:t>
            </w:r>
          </w:p>
        </w:tc>
        <w:tc>
          <w:tcPr>
            <w:tcW w:w="833" w:type="pct"/>
            <w:vAlign w:val="center"/>
          </w:tcPr>
          <w:p w14:paraId="192CCA2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0.635 (0.614-0.656)</w:t>
            </w:r>
          </w:p>
        </w:tc>
        <w:tc>
          <w:tcPr>
            <w:tcW w:w="833" w:type="pct"/>
            <w:vAlign w:val="center"/>
          </w:tcPr>
          <w:p w14:paraId="6653E95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0.726 (0.707-0.745)</w:t>
            </w:r>
          </w:p>
        </w:tc>
        <w:tc>
          <w:tcPr>
            <w:tcW w:w="833" w:type="pct"/>
            <w:vAlign w:val="center"/>
          </w:tcPr>
          <w:p w14:paraId="3C2CCBF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30661F5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467AEC4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74C6C15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07F53D1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Specificity</w:t>
            </w:r>
          </w:p>
        </w:tc>
        <w:tc>
          <w:tcPr>
            <w:tcW w:w="833" w:type="pct"/>
            <w:vAlign w:val="center"/>
          </w:tcPr>
          <w:p w14:paraId="663584A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0.761 (0.757-0.766)</w:t>
            </w:r>
          </w:p>
        </w:tc>
        <w:tc>
          <w:tcPr>
            <w:tcW w:w="833" w:type="pct"/>
            <w:vAlign w:val="center"/>
          </w:tcPr>
          <w:p w14:paraId="2E2DF63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0.680 (0.675-0.684)</w:t>
            </w:r>
          </w:p>
        </w:tc>
        <w:tc>
          <w:tcPr>
            <w:tcW w:w="833" w:type="pct"/>
            <w:vAlign w:val="center"/>
          </w:tcPr>
          <w:p w14:paraId="344AB09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5D0719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58CD688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5B30030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5BF0B9F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PPV</w:t>
            </w:r>
          </w:p>
        </w:tc>
        <w:tc>
          <w:tcPr>
            <w:tcW w:w="833" w:type="pct"/>
            <w:vAlign w:val="center"/>
          </w:tcPr>
          <w:p w14:paraId="3D1A5EA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0.139 (0.132-0.146)</w:t>
            </w:r>
          </w:p>
        </w:tc>
        <w:tc>
          <w:tcPr>
            <w:tcW w:w="833" w:type="pct"/>
            <w:vAlign w:val="center"/>
          </w:tcPr>
          <w:p w14:paraId="37AE933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0.121 (0.116-0.127)</w:t>
            </w:r>
          </w:p>
        </w:tc>
        <w:tc>
          <w:tcPr>
            <w:tcW w:w="833" w:type="pct"/>
            <w:vAlign w:val="center"/>
          </w:tcPr>
          <w:p w14:paraId="3F52C80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B78B6F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08A348F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7B31DBC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42CA45A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NPV</w:t>
            </w:r>
          </w:p>
        </w:tc>
        <w:tc>
          <w:tcPr>
            <w:tcW w:w="833" w:type="pct"/>
            <w:vAlign w:val="center"/>
          </w:tcPr>
          <w:p w14:paraId="64DEED0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0.972 (0.970-0.974)</w:t>
            </w:r>
          </w:p>
        </w:tc>
        <w:tc>
          <w:tcPr>
            <w:tcW w:w="833" w:type="pct"/>
            <w:vAlign w:val="center"/>
          </w:tcPr>
          <w:p w14:paraId="573761A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0.976 (0.974-0.978)</w:t>
            </w:r>
          </w:p>
        </w:tc>
        <w:tc>
          <w:tcPr>
            <w:tcW w:w="833" w:type="pct"/>
            <w:vAlign w:val="center"/>
          </w:tcPr>
          <w:p w14:paraId="02AA548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11C1F2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41104DB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29816AF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64F1ACF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2685901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2.66 (2.56-2.76)</w:t>
            </w:r>
          </w:p>
        </w:tc>
        <w:tc>
          <w:tcPr>
            <w:tcW w:w="833" w:type="pct"/>
            <w:vAlign w:val="center"/>
          </w:tcPr>
          <w:p w14:paraId="6CF6A98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2.27 (2.20-2.34)</w:t>
            </w:r>
          </w:p>
        </w:tc>
        <w:tc>
          <w:tcPr>
            <w:tcW w:w="833" w:type="pct"/>
            <w:vAlign w:val="center"/>
          </w:tcPr>
          <w:p w14:paraId="4DD3CAE9">
            <w:pPr>
              <w:jc w:val="left"/>
              <w:rPr>
                <w:rFonts w:ascii="Times New Roman Regular" w:hAnsi="Times New Roman Regular" w:cs="Times New Roman Regular"/>
                <w:color w:val="auto"/>
                <w:szCs w:val="21"/>
              </w:rPr>
            </w:pPr>
          </w:p>
        </w:tc>
      </w:tr>
      <w:tr w14:paraId="0F1F671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3EE3816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38E7C6F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65-79</w:t>
            </w:r>
          </w:p>
        </w:tc>
        <w:tc>
          <w:tcPr>
            <w:tcW w:w="833" w:type="pct"/>
            <w:vAlign w:val="center"/>
          </w:tcPr>
          <w:p w14:paraId="2EC8282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vAlign w:val="center"/>
          </w:tcPr>
          <w:p w14:paraId="4FB92BC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0.48 (0.45-0.51)</w:t>
            </w:r>
          </w:p>
        </w:tc>
        <w:tc>
          <w:tcPr>
            <w:tcW w:w="833" w:type="pct"/>
            <w:vAlign w:val="center"/>
          </w:tcPr>
          <w:p w14:paraId="0DD108F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0.40 (0.38-0.43)</w:t>
            </w:r>
          </w:p>
        </w:tc>
        <w:tc>
          <w:tcPr>
            <w:tcW w:w="833" w:type="pct"/>
            <w:vAlign w:val="center"/>
          </w:tcPr>
          <w:p w14:paraId="2751FB38">
            <w:pPr>
              <w:jc w:val="left"/>
              <w:rPr>
                <w:rFonts w:ascii="Times New Roman Regular" w:hAnsi="Times New Roman Regular" w:cs="Times New Roman Regular"/>
                <w:color w:val="auto"/>
                <w:szCs w:val="21"/>
              </w:rPr>
            </w:pPr>
          </w:p>
        </w:tc>
      </w:tr>
      <w:tr w14:paraId="28BFEC7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42C3A03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65E678A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vAlign w:val="center"/>
          </w:tcPr>
          <w:p w14:paraId="55AEB51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Sensitivity</w:t>
            </w:r>
          </w:p>
        </w:tc>
        <w:tc>
          <w:tcPr>
            <w:tcW w:w="833" w:type="pct"/>
            <w:vAlign w:val="center"/>
          </w:tcPr>
          <w:p w14:paraId="2A66362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0.534 (0.504-0.564)</w:t>
            </w:r>
          </w:p>
        </w:tc>
        <w:tc>
          <w:tcPr>
            <w:tcW w:w="833" w:type="pct"/>
            <w:vAlign w:val="center"/>
          </w:tcPr>
          <w:p w14:paraId="2E39621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0.636 (0.607-0.665)</w:t>
            </w:r>
          </w:p>
        </w:tc>
        <w:tc>
          <w:tcPr>
            <w:tcW w:w="833" w:type="pct"/>
            <w:vAlign w:val="center"/>
          </w:tcPr>
          <w:p w14:paraId="6A75155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3B2C29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65E0615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6C03DA1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vAlign w:val="center"/>
          </w:tcPr>
          <w:p w14:paraId="6AD3869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Specificity</w:t>
            </w:r>
          </w:p>
        </w:tc>
        <w:tc>
          <w:tcPr>
            <w:tcW w:w="833" w:type="pct"/>
            <w:vAlign w:val="center"/>
          </w:tcPr>
          <w:p w14:paraId="4FE02D7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0.788 (0.782-0.795)</w:t>
            </w:r>
          </w:p>
        </w:tc>
        <w:tc>
          <w:tcPr>
            <w:tcW w:w="833" w:type="pct"/>
            <w:vAlign w:val="center"/>
          </w:tcPr>
          <w:p w14:paraId="663C445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0.717 (0.710-0.724)</w:t>
            </w:r>
          </w:p>
        </w:tc>
        <w:tc>
          <w:tcPr>
            <w:tcW w:w="833" w:type="pct"/>
            <w:vAlign w:val="center"/>
          </w:tcPr>
          <w:p w14:paraId="31173E0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059ABB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5BE0225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4091B39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vAlign w:val="center"/>
          </w:tcPr>
          <w:p w14:paraId="30A2FE0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PPV</w:t>
            </w:r>
          </w:p>
        </w:tc>
        <w:tc>
          <w:tcPr>
            <w:tcW w:w="833" w:type="pct"/>
            <w:vAlign w:val="center"/>
          </w:tcPr>
          <w:p w14:paraId="77F8DE8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0.151 (0.140-0.163)</w:t>
            </w:r>
          </w:p>
        </w:tc>
        <w:tc>
          <w:tcPr>
            <w:tcW w:w="833" w:type="pct"/>
            <w:vAlign w:val="center"/>
          </w:tcPr>
          <w:p w14:paraId="217F09B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0.137 (0.127-0.147)</w:t>
            </w:r>
          </w:p>
        </w:tc>
        <w:tc>
          <w:tcPr>
            <w:tcW w:w="833" w:type="pct"/>
            <w:vAlign w:val="center"/>
          </w:tcPr>
          <w:p w14:paraId="21A55FD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B4421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vAlign w:val="center"/>
          </w:tcPr>
          <w:p w14:paraId="6B1C8C2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vAlign w:val="center"/>
          </w:tcPr>
          <w:p w14:paraId="413A833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vAlign w:val="center"/>
          </w:tcPr>
          <w:p w14:paraId="7CC9ED1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NPV</w:t>
            </w:r>
          </w:p>
        </w:tc>
        <w:tc>
          <w:tcPr>
            <w:tcW w:w="833" w:type="pct"/>
            <w:vAlign w:val="center"/>
          </w:tcPr>
          <w:p w14:paraId="699A5A9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0.960 (0.956-0.963)</w:t>
            </w:r>
          </w:p>
        </w:tc>
        <w:tc>
          <w:tcPr>
            <w:tcW w:w="833" w:type="pct"/>
            <w:vAlign w:val="center"/>
          </w:tcPr>
          <w:p w14:paraId="6191F97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0.966 (0.962-0.969)</w:t>
            </w:r>
          </w:p>
        </w:tc>
        <w:tc>
          <w:tcPr>
            <w:tcW w:w="833" w:type="pct"/>
            <w:vAlign w:val="center"/>
          </w:tcPr>
          <w:p w14:paraId="381B52C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1F587ED8">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tcBorders>
              <w:bottom w:val="nil"/>
            </w:tcBorders>
            <w:vAlign w:val="center"/>
          </w:tcPr>
          <w:p w14:paraId="4FC2E06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tcBorders>
              <w:bottom w:val="nil"/>
            </w:tcBorders>
            <w:vAlign w:val="center"/>
          </w:tcPr>
          <w:p w14:paraId="0226F9A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tcBorders>
              <w:bottom w:val="nil"/>
            </w:tcBorders>
            <w:vAlign w:val="center"/>
          </w:tcPr>
          <w:p w14:paraId="2C4349C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tcBorders>
              <w:bottom w:val="nil"/>
            </w:tcBorders>
            <w:vAlign w:val="center"/>
          </w:tcPr>
          <w:p w14:paraId="2C729BF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2.52 (2.37-2.69)</w:t>
            </w:r>
          </w:p>
        </w:tc>
        <w:tc>
          <w:tcPr>
            <w:tcW w:w="833" w:type="pct"/>
            <w:tcBorders>
              <w:bottom w:val="nil"/>
            </w:tcBorders>
            <w:vAlign w:val="center"/>
          </w:tcPr>
          <w:p w14:paraId="43D6D59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2.25 (2.14-2.37)</w:t>
            </w:r>
          </w:p>
        </w:tc>
        <w:tc>
          <w:tcPr>
            <w:tcW w:w="833" w:type="pct"/>
            <w:tcBorders>
              <w:bottom w:val="nil"/>
            </w:tcBorders>
            <w:vAlign w:val="center"/>
          </w:tcPr>
          <w:p w14:paraId="23CD8AF4">
            <w:pPr>
              <w:jc w:val="left"/>
              <w:rPr>
                <w:rFonts w:ascii="Times New Roman Regular" w:hAnsi="Times New Roman Regular" w:cs="Times New Roman Regular"/>
                <w:color w:val="auto"/>
                <w:szCs w:val="21"/>
              </w:rPr>
            </w:pPr>
          </w:p>
        </w:tc>
      </w:tr>
      <w:tr w14:paraId="52E8B87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rPr>
          <w:cantSplit/>
        </w:trPr>
        <w:tc>
          <w:tcPr>
            <w:tcW w:w="833" w:type="pct"/>
            <w:tcBorders>
              <w:top w:val="nil"/>
              <w:bottom w:val="single" w:color="auto" w:sz="4" w:space="0"/>
            </w:tcBorders>
            <w:vAlign w:val="center"/>
          </w:tcPr>
          <w:p w14:paraId="2106F3E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833" w:type="pct"/>
            <w:tcBorders>
              <w:top w:val="nil"/>
              <w:bottom w:val="single" w:color="auto" w:sz="4" w:space="0"/>
            </w:tcBorders>
            <w:vAlign w:val="center"/>
          </w:tcPr>
          <w:p w14:paraId="22C7605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80-89</w:t>
            </w:r>
          </w:p>
        </w:tc>
        <w:tc>
          <w:tcPr>
            <w:tcW w:w="833" w:type="pct"/>
            <w:tcBorders>
              <w:top w:val="nil"/>
              <w:bottom w:val="single" w:color="auto" w:sz="4" w:space="0"/>
            </w:tcBorders>
            <w:vAlign w:val="center"/>
          </w:tcPr>
          <w:p w14:paraId="55C80D1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LR−</w:t>
            </w:r>
          </w:p>
        </w:tc>
        <w:tc>
          <w:tcPr>
            <w:tcW w:w="833" w:type="pct"/>
            <w:tcBorders>
              <w:top w:val="nil"/>
              <w:bottom w:val="single" w:color="auto" w:sz="4" w:space="0"/>
            </w:tcBorders>
            <w:vAlign w:val="center"/>
          </w:tcPr>
          <w:p w14:paraId="76AB5EF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0.59 (0.56-0.63)</w:t>
            </w:r>
          </w:p>
        </w:tc>
        <w:tc>
          <w:tcPr>
            <w:tcW w:w="833" w:type="pct"/>
            <w:tcBorders>
              <w:top w:val="nil"/>
              <w:bottom w:val="single" w:color="auto" w:sz="4" w:space="0"/>
            </w:tcBorders>
            <w:vAlign w:val="center"/>
          </w:tcPr>
          <w:p w14:paraId="2766C5E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0.51 (0.47-0.55)</w:t>
            </w:r>
          </w:p>
        </w:tc>
        <w:tc>
          <w:tcPr>
            <w:tcW w:w="833" w:type="pct"/>
            <w:tcBorders>
              <w:top w:val="nil"/>
              <w:bottom w:val="single" w:color="auto" w:sz="4" w:space="0"/>
            </w:tcBorders>
            <w:vAlign w:val="center"/>
          </w:tcPr>
          <w:p w14:paraId="2CC31426">
            <w:pPr>
              <w:jc w:val="left"/>
              <w:rPr>
                <w:rFonts w:ascii="Times New Roman Regular" w:hAnsi="Times New Roman Regular" w:cs="Times New Roman Regular"/>
                <w:color w:val="auto"/>
                <w:szCs w:val="21"/>
              </w:rPr>
            </w:pPr>
          </w:p>
        </w:tc>
      </w:tr>
    </w:tbl>
    <w:p w14:paraId="44FA8693">
      <w:pPr>
        <w:rPr>
          <w:rFonts w:ascii="Times New Roman" w:hAnsi="Times New Roman" w:cs="Times New Roman"/>
          <w:color w:val="auto"/>
          <w:sz w:val="18"/>
          <w:szCs w:val="18"/>
        </w:rPr>
      </w:pPr>
      <w:r>
        <w:rPr>
          <w:rFonts w:ascii="Times New Roman" w:hAnsi="Times New Roman" w:cs="Times New Roman"/>
          <w:b/>
          <w:color w:val="auto"/>
          <w:sz w:val="18"/>
          <w:szCs w:val="18"/>
        </w:rPr>
        <w:t>Abbreviations:</w:t>
      </w:r>
      <w:r>
        <w:rPr>
          <w:rFonts w:ascii="Times New Roman" w:hAnsi="Times New Roman" w:cs="Times New Roman"/>
          <w:color w:val="auto"/>
          <w:sz w:val="18"/>
          <w:szCs w:val="18"/>
        </w:rPr>
        <w:t xml:space="preserve"> SOFA, Sequential Organ Failure Assessment; PPV, positive predictive value; NPV, negative predictive value; LR+, positive likelihood ratio; LR−, negative likelihood ratio; CI, confidence interval.</w:t>
      </w:r>
    </w:p>
    <w:p w14:paraId="5A099635">
      <w:pPr>
        <w:rPr>
          <w:rFonts w:ascii="Times New Roman" w:hAnsi="Times New Roman" w:cs="Times New Roman"/>
          <w:color w:val="auto"/>
          <w:sz w:val="18"/>
          <w:szCs w:val="18"/>
        </w:rPr>
      </w:pPr>
      <w:r>
        <w:rPr>
          <w:rFonts w:ascii="Times New Roman" w:hAnsi="Times New Roman" w:cs="Times New Roman"/>
          <w:b/>
          <w:bCs/>
          <w:color w:val="auto"/>
          <w:sz w:val="18"/>
          <w:szCs w:val="18"/>
        </w:rPr>
        <w:t>Notes:</w:t>
      </w:r>
      <w:r>
        <w:rPr>
          <w:rFonts w:ascii="Times New Roman" w:hAnsi="Times New Roman" w:cs="Times New Roman"/>
          <w:color w:val="auto"/>
          <w:sz w:val="18"/>
          <w:szCs w:val="18"/>
        </w:rPr>
        <w:t xml:space="preserve"> Sensitivity, specificity, PPV, NPV, LR+, and LR− were calculated using cutoff values derived from ROC analysis based on the Youden index. For ICU mortality, the cutoffs were 6.5 for SOFA-1 and 6.5 for SOFA-2 in MIMIC-IV, and 6.5 for SOFA-1 and 5.5 fo</w:t>
      </w:r>
      <w:r>
        <w:rPr>
          <w:rFonts w:hint="eastAsia" w:ascii="Times New Roman" w:hAnsi="Times New Roman" w:cs="Times New Roman"/>
          <w:color w:val="auto"/>
          <w:sz w:val="18"/>
          <w:szCs w:val="18"/>
        </w:rPr>
        <w:t>r SOFA-2 in eICU-CRD. Because SOFA scores are integer-based, cutoffs of 6.5 and 5.5 correspond to scores ≥7 and ≥6, respectively. PPV and NPV are dependent on outcome prevalence and should be interpreted with caution.</w:t>
      </w:r>
    </w:p>
    <w:p w14:paraId="3CD4632B">
      <w:pPr>
        <w:rPr>
          <w:rFonts w:ascii="Times New Roman" w:hAnsi="Times New Roman" w:eastAsia="宋体" w:cs="Times New Roman"/>
          <w:b/>
          <w:color w:val="auto"/>
          <w:sz w:val="18"/>
          <w:szCs w:val="18"/>
          <w:lang w:bidi="ar"/>
        </w:rPr>
      </w:pPr>
    </w:p>
    <w:p w14:paraId="3AED4263">
      <w:pPr>
        <w:rPr>
          <w:rFonts w:ascii="Times New Roman" w:hAnsi="Times New Roman" w:eastAsia="宋体" w:cs="Times New Roman"/>
          <w:b/>
          <w:color w:val="auto"/>
          <w:sz w:val="18"/>
          <w:szCs w:val="18"/>
          <w:lang w:bidi="ar"/>
        </w:rPr>
        <w:sectPr>
          <w:pgSz w:w="16838" w:h="11906" w:orient="landscape"/>
          <w:pgMar w:top="1797" w:right="1440" w:bottom="1797" w:left="1440" w:header="851" w:footer="992" w:gutter="0"/>
          <w:cols w:space="425" w:num="1"/>
          <w:docGrid w:type="lines" w:linePitch="312" w:charSpace="0"/>
        </w:sectPr>
      </w:pPr>
    </w:p>
    <w:p w14:paraId="3B189AAB">
      <w:pPr>
        <w:rPr>
          <w:rFonts w:ascii="Times New Roman" w:hAnsi="Times New Roman" w:eastAsia="宋体" w:cs="Times New Roman"/>
          <w:b/>
          <w:color w:val="auto"/>
          <w:szCs w:val="21"/>
          <w:lang w:bidi="ar"/>
        </w:rPr>
      </w:pPr>
      <w:r>
        <w:rPr>
          <w:rFonts w:hint="eastAsia" w:ascii="Times New Roman" w:hAnsi="Times New Roman" w:eastAsia="宋体" w:cs="Times New Roman"/>
          <w:b/>
          <w:color w:val="auto"/>
          <w:szCs w:val="21"/>
          <w:lang w:bidi="ar"/>
        </w:rPr>
        <w:t xml:space="preserve">eTable 3. </w:t>
      </w:r>
      <w:r>
        <w:rPr>
          <w:rFonts w:ascii="Times New Roman" w:hAnsi="Times New Roman" w:eastAsia="宋体" w:cs="Times New Roman"/>
          <w:b/>
          <w:color w:val="auto"/>
          <w:szCs w:val="21"/>
          <w:lang w:bidi="ar"/>
        </w:rPr>
        <w:t>Multivariable logistic regression analysis of SOFA-1 and SOFA-2 scores for ICU</w:t>
      </w:r>
      <w:r>
        <w:rPr>
          <w:rFonts w:hint="eastAsia" w:ascii="Times New Roman" w:hAnsi="Times New Roman" w:eastAsia="宋体" w:cs="Times New Roman"/>
          <w:b/>
          <w:color w:val="auto"/>
          <w:szCs w:val="21"/>
          <w:lang w:bidi="ar"/>
        </w:rPr>
        <w:t xml:space="preserve"> </w:t>
      </w:r>
      <w:r>
        <w:rPr>
          <w:rFonts w:ascii="Times New Roman" w:hAnsi="Times New Roman" w:eastAsia="宋体" w:cs="Times New Roman"/>
          <w:b/>
          <w:color w:val="auto"/>
          <w:szCs w:val="21"/>
          <w:lang w:bidi="ar"/>
        </w:rPr>
        <w:t>mortality</w:t>
      </w:r>
      <w:r>
        <w:rPr>
          <w:rFonts w:hint="eastAsia" w:ascii="Times New Roman" w:hAnsi="Times New Roman" w:eastAsia="宋体" w:cs="Times New Roman"/>
          <w:b/>
          <w:color w:val="auto"/>
          <w:szCs w:val="21"/>
          <w:lang w:bidi="ar"/>
        </w:rPr>
        <w:t>, by organ domains</w:t>
      </w:r>
    </w:p>
    <w:tbl>
      <w:tblPr>
        <w:tblStyle w:val="17"/>
        <w:tblW w:w="4997"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70"/>
        <w:gridCol w:w="1770"/>
        <w:gridCol w:w="1770"/>
        <w:gridCol w:w="1771"/>
        <w:gridCol w:w="1771"/>
        <w:gridCol w:w="1771"/>
        <w:gridCol w:w="1771"/>
        <w:gridCol w:w="1771"/>
      </w:tblGrid>
      <w:tr w14:paraId="4EFB7F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blHeader/>
        </w:trPr>
        <w:tc>
          <w:tcPr>
            <w:tcW w:w="625" w:type="pct"/>
            <w:tcBorders>
              <w:bottom w:val="single" w:color="auto" w:sz="4" w:space="0"/>
            </w:tcBorders>
            <w:vAlign w:val="center"/>
          </w:tcPr>
          <w:p w14:paraId="39F26FA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Cohort</w:t>
            </w:r>
          </w:p>
        </w:tc>
        <w:tc>
          <w:tcPr>
            <w:tcW w:w="625" w:type="pct"/>
            <w:tcBorders>
              <w:bottom w:val="single" w:color="auto" w:sz="4" w:space="0"/>
            </w:tcBorders>
            <w:vAlign w:val="center"/>
          </w:tcPr>
          <w:p w14:paraId="24B167B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Model</w:t>
            </w:r>
          </w:p>
        </w:tc>
        <w:tc>
          <w:tcPr>
            <w:tcW w:w="625" w:type="pct"/>
            <w:tcBorders>
              <w:bottom w:val="single" w:color="auto" w:sz="4" w:space="0"/>
            </w:tcBorders>
            <w:vAlign w:val="center"/>
          </w:tcPr>
          <w:p w14:paraId="44E433A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Domain</w:t>
            </w:r>
          </w:p>
        </w:tc>
        <w:tc>
          <w:tcPr>
            <w:tcW w:w="625" w:type="pct"/>
            <w:tcBorders>
              <w:bottom w:val="single" w:color="auto" w:sz="4" w:space="0"/>
            </w:tcBorders>
            <w:vAlign w:val="center"/>
          </w:tcPr>
          <w:p w14:paraId="019EE15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SOFA-1 OR (95% CI); P-value</w:t>
            </w:r>
          </w:p>
        </w:tc>
        <w:tc>
          <w:tcPr>
            <w:tcW w:w="625" w:type="pct"/>
            <w:tcBorders>
              <w:bottom w:val="single" w:color="auto" w:sz="4" w:space="0"/>
            </w:tcBorders>
            <w:vAlign w:val="center"/>
          </w:tcPr>
          <w:p w14:paraId="4737A59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SOFA-1 C-index (95% CI)</w:t>
            </w:r>
          </w:p>
        </w:tc>
        <w:tc>
          <w:tcPr>
            <w:tcW w:w="625" w:type="pct"/>
            <w:tcBorders>
              <w:bottom w:val="single" w:color="auto" w:sz="4" w:space="0"/>
            </w:tcBorders>
            <w:vAlign w:val="center"/>
          </w:tcPr>
          <w:p w14:paraId="3CD95E2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SOFA-2 OR (95% CI); P-value</w:t>
            </w:r>
          </w:p>
        </w:tc>
        <w:tc>
          <w:tcPr>
            <w:tcW w:w="625" w:type="pct"/>
            <w:tcBorders>
              <w:bottom w:val="single" w:color="auto" w:sz="4" w:space="0"/>
            </w:tcBorders>
            <w:vAlign w:val="center"/>
          </w:tcPr>
          <w:p w14:paraId="79FE464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SOFA-2 C-index (95% CI)</w:t>
            </w:r>
          </w:p>
        </w:tc>
        <w:tc>
          <w:tcPr>
            <w:tcW w:w="625" w:type="pct"/>
            <w:tcBorders>
              <w:bottom w:val="single" w:color="auto" w:sz="4" w:space="0"/>
            </w:tcBorders>
            <w:vAlign w:val="center"/>
          </w:tcPr>
          <w:p w14:paraId="2ADBD80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P-value for C-index comparison</w:t>
            </w:r>
          </w:p>
        </w:tc>
      </w:tr>
      <w:tr w14:paraId="59D23D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tcBorders>
              <w:top w:val="single" w:color="auto" w:sz="4" w:space="0"/>
            </w:tcBorders>
            <w:vAlign w:val="center"/>
          </w:tcPr>
          <w:p w14:paraId="215CEDD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tcBorders>
              <w:top w:val="single" w:color="auto" w:sz="4" w:space="0"/>
            </w:tcBorders>
            <w:vAlign w:val="center"/>
          </w:tcPr>
          <w:p w14:paraId="051DA94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tcBorders>
              <w:top w:val="single" w:color="auto" w:sz="4" w:space="0"/>
            </w:tcBorders>
            <w:vAlign w:val="center"/>
          </w:tcPr>
          <w:p w14:paraId="5DF3BD8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tcBorders>
              <w:top w:val="single" w:color="auto" w:sz="4" w:space="0"/>
            </w:tcBorders>
            <w:vAlign w:val="center"/>
          </w:tcPr>
          <w:p w14:paraId="6ABB528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1.52 (1.47-1.57); &lt;0.001</w:t>
            </w:r>
          </w:p>
        </w:tc>
        <w:tc>
          <w:tcPr>
            <w:tcW w:w="625" w:type="pct"/>
            <w:tcBorders>
              <w:top w:val="single" w:color="auto" w:sz="4" w:space="0"/>
            </w:tcBorders>
            <w:vAlign w:val="center"/>
          </w:tcPr>
          <w:p w14:paraId="2F5A583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0.641 (0.628-0.653)</w:t>
            </w:r>
          </w:p>
        </w:tc>
        <w:tc>
          <w:tcPr>
            <w:tcW w:w="625" w:type="pct"/>
            <w:tcBorders>
              <w:top w:val="single" w:color="auto" w:sz="4" w:space="0"/>
            </w:tcBorders>
            <w:vAlign w:val="center"/>
          </w:tcPr>
          <w:p w14:paraId="37F6246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1.70 (1.65-1.76); &lt;0.001</w:t>
            </w:r>
          </w:p>
        </w:tc>
        <w:tc>
          <w:tcPr>
            <w:tcW w:w="625" w:type="pct"/>
            <w:tcBorders>
              <w:top w:val="single" w:color="auto" w:sz="4" w:space="0"/>
            </w:tcBorders>
            <w:vAlign w:val="center"/>
          </w:tcPr>
          <w:p w14:paraId="78DF134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0.697 (0.685-0.709)</w:t>
            </w:r>
          </w:p>
        </w:tc>
        <w:tc>
          <w:tcPr>
            <w:tcW w:w="625" w:type="pct"/>
            <w:tcBorders>
              <w:top w:val="single" w:color="auto" w:sz="4" w:space="0"/>
            </w:tcBorders>
            <w:vAlign w:val="center"/>
          </w:tcPr>
          <w:p w14:paraId="20F45E4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1BCAC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719545A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069D104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52861EB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7E55A27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1.30 (1.24-1.36); &lt;0.001</w:t>
            </w:r>
          </w:p>
        </w:tc>
        <w:tc>
          <w:tcPr>
            <w:tcW w:w="625" w:type="pct"/>
            <w:vAlign w:val="center"/>
          </w:tcPr>
          <w:p w14:paraId="36472B8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0.533 (0.521-0.545)</w:t>
            </w:r>
          </w:p>
        </w:tc>
        <w:tc>
          <w:tcPr>
            <w:tcW w:w="625" w:type="pct"/>
            <w:vAlign w:val="center"/>
          </w:tcPr>
          <w:p w14:paraId="635D30E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1.26 (1.21-1.31); &lt;0.001</w:t>
            </w:r>
          </w:p>
        </w:tc>
        <w:tc>
          <w:tcPr>
            <w:tcW w:w="625" w:type="pct"/>
            <w:vAlign w:val="center"/>
          </w:tcPr>
          <w:p w14:paraId="092A18D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0.536 (0.524-0.549)</w:t>
            </w:r>
          </w:p>
        </w:tc>
        <w:tc>
          <w:tcPr>
            <w:tcW w:w="625" w:type="pct"/>
            <w:vAlign w:val="center"/>
          </w:tcPr>
          <w:p w14:paraId="2F079A7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0.058</w:t>
            </w:r>
          </w:p>
        </w:tc>
      </w:tr>
      <w:tr w14:paraId="2471AA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E35873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76909CC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24DB2B5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0719EF7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1.68 (1.60-1.77); &lt;0.001</w:t>
            </w:r>
          </w:p>
        </w:tc>
        <w:tc>
          <w:tcPr>
            <w:tcW w:w="625" w:type="pct"/>
            <w:vAlign w:val="center"/>
          </w:tcPr>
          <w:p w14:paraId="09035ED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0.581 (0.571-0.591)</w:t>
            </w:r>
          </w:p>
        </w:tc>
        <w:tc>
          <w:tcPr>
            <w:tcW w:w="625" w:type="pct"/>
            <w:vAlign w:val="center"/>
          </w:tcPr>
          <w:p w14:paraId="615994E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1.68 (1.59-1.77); &lt;0.001</w:t>
            </w:r>
          </w:p>
        </w:tc>
        <w:tc>
          <w:tcPr>
            <w:tcW w:w="625" w:type="pct"/>
            <w:vAlign w:val="center"/>
          </w:tcPr>
          <w:p w14:paraId="44B22A0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0.576 (0.566-0.586)</w:t>
            </w:r>
          </w:p>
        </w:tc>
        <w:tc>
          <w:tcPr>
            <w:tcW w:w="625" w:type="pct"/>
            <w:vAlign w:val="center"/>
          </w:tcPr>
          <w:p w14:paraId="020211C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0.022</w:t>
            </w:r>
          </w:p>
        </w:tc>
      </w:tr>
      <w:tr w14:paraId="678193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3797B65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523ADAA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36E2471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21CD960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1.67 (1.61-1.72); &lt;0.001</w:t>
            </w:r>
          </w:p>
        </w:tc>
        <w:tc>
          <w:tcPr>
            <w:tcW w:w="625" w:type="pct"/>
            <w:vAlign w:val="center"/>
          </w:tcPr>
          <w:p w14:paraId="670109C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0.650 (0.638-0.663)</w:t>
            </w:r>
          </w:p>
        </w:tc>
        <w:tc>
          <w:tcPr>
            <w:tcW w:w="625" w:type="pct"/>
            <w:vAlign w:val="center"/>
          </w:tcPr>
          <w:p w14:paraId="2DE191A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1.77 (1.70-1.83); &lt;0.001</w:t>
            </w:r>
          </w:p>
        </w:tc>
        <w:tc>
          <w:tcPr>
            <w:tcW w:w="625" w:type="pct"/>
            <w:vAlign w:val="center"/>
          </w:tcPr>
          <w:p w14:paraId="419CA20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0.646 (0.633-0.659)</w:t>
            </w:r>
          </w:p>
        </w:tc>
        <w:tc>
          <w:tcPr>
            <w:tcW w:w="625" w:type="pct"/>
            <w:vAlign w:val="center"/>
          </w:tcPr>
          <w:p w14:paraId="30FFFC5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0.134</w:t>
            </w:r>
          </w:p>
        </w:tc>
      </w:tr>
      <w:tr w14:paraId="600C90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7107E1D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566FFB1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20FFFF6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17F6547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1.20 (1.16-1.24); &lt;0.001</w:t>
            </w:r>
          </w:p>
        </w:tc>
        <w:tc>
          <w:tcPr>
            <w:tcW w:w="625" w:type="pct"/>
            <w:vAlign w:val="center"/>
          </w:tcPr>
          <w:p w14:paraId="6013DDC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0.520 (0.508-0.533)</w:t>
            </w:r>
          </w:p>
        </w:tc>
        <w:tc>
          <w:tcPr>
            <w:tcW w:w="625" w:type="pct"/>
            <w:vAlign w:val="center"/>
          </w:tcPr>
          <w:p w14:paraId="752F249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1.20 (1.15-1.24); &lt;0.001</w:t>
            </w:r>
          </w:p>
        </w:tc>
        <w:tc>
          <w:tcPr>
            <w:tcW w:w="625" w:type="pct"/>
            <w:vAlign w:val="center"/>
          </w:tcPr>
          <w:p w14:paraId="2C9C32F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0.517 (0.503-0.530)</w:t>
            </w:r>
          </w:p>
        </w:tc>
        <w:tc>
          <w:tcPr>
            <w:tcW w:w="625" w:type="pct"/>
            <w:vAlign w:val="center"/>
          </w:tcPr>
          <w:p w14:paraId="7F5AF8E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0.068</w:t>
            </w:r>
          </w:p>
        </w:tc>
      </w:tr>
      <w:tr w14:paraId="697FF5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D1D3B9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458394C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63F055D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161ACD8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1.63 (1.58-1.69); &lt;0.001</w:t>
            </w:r>
          </w:p>
        </w:tc>
        <w:tc>
          <w:tcPr>
            <w:tcW w:w="625" w:type="pct"/>
            <w:vAlign w:val="center"/>
          </w:tcPr>
          <w:p w14:paraId="1D4AE65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0.666 (0.654-0.678)</w:t>
            </w:r>
          </w:p>
        </w:tc>
        <w:tc>
          <w:tcPr>
            <w:tcW w:w="625" w:type="pct"/>
            <w:vAlign w:val="center"/>
          </w:tcPr>
          <w:p w14:paraId="5D7389F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1.71 (1.65-1.77); &lt;0.001</w:t>
            </w:r>
          </w:p>
        </w:tc>
        <w:tc>
          <w:tcPr>
            <w:tcW w:w="625" w:type="pct"/>
            <w:vAlign w:val="center"/>
          </w:tcPr>
          <w:p w14:paraId="347FE9C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0.671 (0.659-0.683)</w:t>
            </w:r>
          </w:p>
        </w:tc>
        <w:tc>
          <w:tcPr>
            <w:tcW w:w="625" w:type="pct"/>
            <w:vAlign w:val="center"/>
          </w:tcPr>
          <w:p w14:paraId="2A390BA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0.147</w:t>
            </w:r>
          </w:p>
        </w:tc>
      </w:tr>
      <w:tr w14:paraId="225658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CEBE46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30A729F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18012EF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00736B7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1.56 (1.51-1.61); &lt;0.001</w:t>
            </w:r>
          </w:p>
        </w:tc>
        <w:tc>
          <w:tcPr>
            <w:tcW w:w="625" w:type="pct"/>
            <w:vAlign w:val="center"/>
          </w:tcPr>
          <w:p w14:paraId="66EF3EE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0.661 (0.648-0.674)</w:t>
            </w:r>
          </w:p>
        </w:tc>
        <w:tc>
          <w:tcPr>
            <w:tcW w:w="625" w:type="pct"/>
            <w:vAlign w:val="center"/>
          </w:tcPr>
          <w:p w14:paraId="034CE90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1.72 (1.67-1.78); &lt;0.001</w:t>
            </w:r>
          </w:p>
        </w:tc>
        <w:tc>
          <w:tcPr>
            <w:tcW w:w="625" w:type="pct"/>
            <w:vAlign w:val="center"/>
          </w:tcPr>
          <w:p w14:paraId="38939C7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0.713 (0.701-0.725)</w:t>
            </w:r>
          </w:p>
        </w:tc>
        <w:tc>
          <w:tcPr>
            <w:tcW w:w="625" w:type="pct"/>
            <w:vAlign w:val="center"/>
          </w:tcPr>
          <w:p w14:paraId="11E53CB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EF3E7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58DE63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0FC4A86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067DB05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1EE2DE8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1.32 (1.25-1.38); &lt;0.001</w:t>
            </w:r>
          </w:p>
        </w:tc>
        <w:tc>
          <w:tcPr>
            <w:tcW w:w="625" w:type="pct"/>
            <w:vAlign w:val="center"/>
          </w:tcPr>
          <w:p w14:paraId="007FFAF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0.572 (0.559-0.585)</w:t>
            </w:r>
          </w:p>
        </w:tc>
        <w:tc>
          <w:tcPr>
            <w:tcW w:w="625" w:type="pct"/>
            <w:vAlign w:val="center"/>
          </w:tcPr>
          <w:p w14:paraId="48CAF33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1.27 (1.22-1.32); &lt;0.001</w:t>
            </w:r>
          </w:p>
        </w:tc>
        <w:tc>
          <w:tcPr>
            <w:tcW w:w="625" w:type="pct"/>
            <w:vAlign w:val="center"/>
          </w:tcPr>
          <w:p w14:paraId="2CE0CAD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0.576 (0.563-0.589)</w:t>
            </w:r>
          </w:p>
        </w:tc>
        <w:tc>
          <w:tcPr>
            <w:tcW w:w="625" w:type="pct"/>
            <w:vAlign w:val="center"/>
          </w:tcPr>
          <w:p w14:paraId="46D25AD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0.005</w:t>
            </w:r>
          </w:p>
        </w:tc>
      </w:tr>
      <w:tr w14:paraId="3D1AB6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3E14AE8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3A779B6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199180A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7E01766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1.71 (1.63-1.80); &lt;0.001</w:t>
            </w:r>
          </w:p>
        </w:tc>
        <w:tc>
          <w:tcPr>
            <w:tcW w:w="625" w:type="pct"/>
            <w:vAlign w:val="center"/>
          </w:tcPr>
          <w:p w14:paraId="1927872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0.627 (0.614-0.640)</w:t>
            </w:r>
          </w:p>
        </w:tc>
        <w:tc>
          <w:tcPr>
            <w:tcW w:w="625" w:type="pct"/>
            <w:vAlign w:val="center"/>
          </w:tcPr>
          <w:p w14:paraId="1C78152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1.71 (1.62-1.81); &lt;0.001</w:t>
            </w:r>
          </w:p>
        </w:tc>
        <w:tc>
          <w:tcPr>
            <w:tcW w:w="625" w:type="pct"/>
            <w:vAlign w:val="center"/>
          </w:tcPr>
          <w:p w14:paraId="45D0E91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0.625 (0.612-0.638)</w:t>
            </w:r>
          </w:p>
        </w:tc>
        <w:tc>
          <w:tcPr>
            <w:tcW w:w="625" w:type="pct"/>
            <w:vAlign w:val="center"/>
          </w:tcPr>
          <w:p w14:paraId="7A8AE25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0.188</w:t>
            </w:r>
          </w:p>
        </w:tc>
      </w:tr>
      <w:tr w14:paraId="161E91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4D5F0C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5E82F96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61A7C37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7C0238D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1.67 (1.61-1.72); &lt;0.001</w:t>
            </w:r>
          </w:p>
        </w:tc>
        <w:tc>
          <w:tcPr>
            <w:tcW w:w="625" w:type="pct"/>
            <w:vAlign w:val="center"/>
          </w:tcPr>
          <w:p w14:paraId="7C4A978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0.671 (0.658-0.684)</w:t>
            </w:r>
          </w:p>
        </w:tc>
        <w:tc>
          <w:tcPr>
            <w:tcW w:w="625" w:type="pct"/>
            <w:vAlign w:val="center"/>
          </w:tcPr>
          <w:p w14:paraId="54A4A5C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1.77 (1.71-1.84); &lt;0.001</w:t>
            </w:r>
          </w:p>
        </w:tc>
        <w:tc>
          <w:tcPr>
            <w:tcW w:w="625" w:type="pct"/>
            <w:vAlign w:val="center"/>
          </w:tcPr>
          <w:p w14:paraId="4B79C8D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0.662 (0.649-0.675)</w:t>
            </w:r>
          </w:p>
        </w:tc>
        <w:tc>
          <w:tcPr>
            <w:tcW w:w="625" w:type="pct"/>
            <w:vAlign w:val="center"/>
          </w:tcPr>
          <w:p w14:paraId="1A1AEDB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0.003</w:t>
            </w:r>
          </w:p>
        </w:tc>
      </w:tr>
      <w:tr w14:paraId="2C045B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2DB6085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3B6A697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7C5BCF3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692A6A6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1.19 (1.15-1.24); &lt;0.001</w:t>
            </w:r>
          </w:p>
        </w:tc>
        <w:tc>
          <w:tcPr>
            <w:tcW w:w="625" w:type="pct"/>
            <w:vAlign w:val="center"/>
          </w:tcPr>
          <w:p w14:paraId="1B407BB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0.565 (0.552-0.578)</w:t>
            </w:r>
          </w:p>
        </w:tc>
        <w:tc>
          <w:tcPr>
            <w:tcW w:w="625" w:type="pct"/>
            <w:vAlign w:val="center"/>
          </w:tcPr>
          <w:p w14:paraId="13D5BDF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1.19 (1.14-1.24); &lt;0.001</w:t>
            </w:r>
          </w:p>
        </w:tc>
        <w:tc>
          <w:tcPr>
            <w:tcW w:w="625" w:type="pct"/>
            <w:vAlign w:val="center"/>
          </w:tcPr>
          <w:p w14:paraId="09E695D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0.562 (0.549-0.576)</w:t>
            </w:r>
          </w:p>
        </w:tc>
        <w:tc>
          <w:tcPr>
            <w:tcW w:w="625" w:type="pct"/>
            <w:vAlign w:val="center"/>
          </w:tcPr>
          <w:p w14:paraId="6E0E0C8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0.049</w:t>
            </w:r>
          </w:p>
        </w:tc>
      </w:tr>
      <w:tr w14:paraId="2136C2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3E3F0A8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13843D8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5339456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57274BD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1.64 (1.58-1.69); &lt;0.001</w:t>
            </w:r>
          </w:p>
        </w:tc>
        <w:tc>
          <w:tcPr>
            <w:tcW w:w="625" w:type="pct"/>
            <w:vAlign w:val="center"/>
          </w:tcPr>
          <w:p w14:paraId="19955A6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0.684 (0.672-0.696)</w:t>
            </w:r>
          </w:p>
        </w:tc>
        <w:tc>
          <w:tcPr>
            <w:tcW w:w="625" w:type="pct"/>
            <w:vAlign w:val="center"/>
          </w:tcPr>
          <w:p w14:paraId="11B9554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1.72 (1.66-1.78); &lt;0.001</w:t>
            </w:r>
          </w:p>
        </w:tc>
        <w:tc>
          <w:tcPr>
            <w:tcW w:w="625" w:type="pct"/>
            <w:vAlign w:val="center"/>
          </w:tcPr>
          <w:p w14:paraId="0E09E31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0.687 (0.675-0.699)</w:t>
            </w:r>
          </w:p>
        </w:tc>
        <w:tc>
          <w:tcPr>
            <w:tcW w:w="625" w:type="pct"/>
            <w:vAlign w:val="center"/>
          </w:tcPr>
          <w:p w14:paraId="2C5A59E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0.357</w:t>
            </w:r>
          </w:p>
        </w:tc>
      </w:tr>
      <w:tr w14:paraId="6D2E25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CDA8B4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771D235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33E19B9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7119F74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1.59 (1.54-1.64); &lt;0.001</w:t>
            </w:r>
          </w:p>
        </w:tc>
        <w:tc>
          <w:tcPr>
            <w:tcW w:w="625" w:type="pct"/>
            <w:vAlign w:val="center"/>
          </w:tcPr>
          <w:p w14:paraId="0C30EE7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0.754 (0.743-0.766)</w:t>
            </w:r>
          </w:p>
        </w:tc>
        <w:tc>
          <w:tcPr>
            <w:tcW w:w="625" w:type="pct"/>
            <w:vAlign w:val="center"/>
          </w:tcPr>
          <w:p w14:paraId="4C39D6C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1.65 (1.60-1.71); &lt;0.001</w:t>
            </w:r>
          </w:p>
        </w:tc>
        <w:tc>
          <w:tcPr>
            <w:tcW w:w="625" w:type="pct"/>
            <w:vAlign w:val="center"/>
          </w:tcPr>
          <w:p w14:paraId="61F2427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0.783 (0.773-0.794)</w:t>
            </w:r>
          </w:p>
        </w:tc>
        <w:tc>
          <w:tcPr>
            <w:tcW w:w="625" w:type="pct"/>
            <w:vAlign w:val="center"/>
          </w:tcPr>
          <w:p w14:paraId="25EC16A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75CF8D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1E7157A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7D3C6CD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1227954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13956D8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1.19 (1.13-1.25); &lt;0.001</w:t>
            </w:r>
          </w:p>
        </w:tc>
        <w:tc>
          <w:tcPr>
            <w:tcW w:w="625" w:type="pct"/>
            <w:vAlign w:val="center"/>
          </w:tcPr>
          <w:p w14:paraId="66978D2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0.718 (0.706-0.729)</w:t>
            </w:r>
          </w:p>
        </w:tc>
        <w:tc>
          <w:tcPr>
            <w:tcW w:w="625" w:type="pct"/>
            <w:vAlign w:val="center"/>
          </w:tcPr>
          <w:p w14:paraId="5F0E614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1.17 (1.13-1.22); &lt;0.001</w:t>
            </w:r>
          </w:p>
        </w:tc>
        <w:tc>
          <w:tcPr>
            <w:tcW w:w="625" w:type="pct"/>
            <w:vAlign w:val="center"/>
          </w:tcPr>
          <w:p w14:paraId="45B72B1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0.719 (0.708-0.731)</w:t>
            </w:r>
          </w:p>
        </w:tc>
        <w:tc>
          <w:tcPr>
            <w:tcW w:w="625" w:type="pct"/>
            <w:vAlign w:val="center"/>
          </w:tcPr>
          <w:p w14:paraId="1EFD486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0.002</w:t>
            </w:r>
          </w:p>
        </w:tc>
      </w:tr>
      <w:tr w14:paraId="51E468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3685B11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41E89FE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144ADF6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1769F3C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1.34 (1.27-1.42); &lt;0.001</w:t>
            </w:r>
          </w:p>
        </w:tc>
        <w:tc>
          <w:tcPr>
            <w:tcW w:w="625" w:type="pct"/>
            <w:vAlign w:val="center"/>
          </w:tcPr>
          <w:p w14:paraId="56BAB07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0.726 (0.715-0.738)</w:t>
            </w:r>
          </w:p>
        </w:tc>
        <w:tc>
          <w:tcPr>
            <w:tcW w:w="625" w:type="pct"/>
            <w:vAlign w:val="center"/>
          </w:tcPr>
          <w:p w14:paraId="53110A3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1.32 (1.24-1.40); &lt;0.001</w:t>
            </w:r>
          </w:p>
        </w:tc>
        <w:tc>
          <w:tcPr>
            <w:tcW w:w="625" w:type="pct"/>
            <w:vAlign w:val="center"/>
          </w:tcPr>
          <w:p w14:paraId="4FC1CE4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0.724 (0.713-0.736)</w:t>
            </w:r>
          </w:p>
        </w:tc>
        <w:tc>
          <w:tcPr>
            <w:tcW w:w="625" w:type="pct"/>
            <w:vAlign w:val="center"/>
          </w:tcPr>
          <w:p w14:paraId="59133BA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0.005</w:t>
            </w:r>
          </w:p>
        </w:tc>
      </w:tr>
      <w:tr w14:paraId="37406C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299740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14062CE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4BF48DE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7FF3B7E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1.47 (1.42-1.53); &lt;0.001</w:t>
            </w:r>
          </w:p>
        </w:tc>
        <w:tc>
          <w:tcPr>
            <w:tcW w:w="625" w:type="pct"/>
            <w:vAlign w:val="center"/>
          </w:tcPr>
          <w:p w14:paraId="43E3A1A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0.751 (0.741-0.762)</w:t>
            </w:r>
          </w:p>
        </w:tc>
        <w:tc>
          <w:tcPr>
            <w:tcW w:w="625" w:type="pct"/>
            <w:vAlign w:val="center"/>
          </w:tcPr>
          <w:p w14:paraId="0EBCE06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1.61 (1.54-1.67); &lt;0.001</w:t>
            </w:r>
          </w:p>
        </w:tc>
        <w:tc>
          <w:tcPr>
            <w:tcW w:w="625" w:type="pct"/>
            <w:vAlign w:val="center"/>
          </w:tcPr>
          <w:p w14:paraId="7EF8ADD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0.749 (0.737-0.760)</w:t>
            </w:r>
          </w:p>
        </w:tc>
        <w:tc>
          <w:tcPr>
            <w:tcW w:w="625" w:type="pct"/>
            <w:vAlign w:val="center"/>
          </w:tcPr>
          <w:p w14:paraId="25332C8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0.142</w:t>
            </w:r>
          </w:p>
        </w:tc>
      </w:tr>
      <w:tr w14:paraId="612AC9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3D92E17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46E0F27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3EC3983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70B2C0D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1.17 (1.12-1.22); &lt;0.001</w:t>
            </w:r>
          </w:p>
        </w:tc>
        <w:tc>
          <w:tcPr>
            <w:tcW w:w="625" w:type="pct"/>
            <w:vAlign w:val="center"/>
          </w:tcPr>
          <w:p w14:paraId="149D73B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0.721 (0.709-0.732)</w:t>
            </w:r>
          </w:p>
        </w:tc>
        <w:tc>
          <w:tcPr>
            <w:tcW w:w="625" w:type="pct"/>
            <w:vAlign w:val="center"/>
          </w:tcPr>
          <w:p w14:paraId="776D0B8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1.17 (1.13-1.22); &lt;0.001</w:t>
            </w:r>
          </w:p>
        </w:tc>
        <w:tc>
          <w:tcPr>
            <w:tcW w:w="625" w:type="pct"/>
            <w:vAlign w:val="center"/>
          </w:tcPr>
          <w:p w14:paraId="2D5FD79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0.720 (0.709-0.732)</w:t>
            </w:r>
          </w:p>
        </w:tc>
        <w:tc>
          <w:tcPr>
            <w:tcW w:w="625" w:type="pct"/>
            <w:vAlign w:val="center"/>
          </w:tcPr>
          <w:p w14:paraId="50DD9F0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0.500</w:t>
            </w:r>
          </w:p>
        </w:tc>
      </w:tr>
      <w:tr w14:paraId="576A16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170CF9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1FD7DC9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3735A04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1F52E2C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1.57 (1.50-1.63); &lt;0.001</w:t>
            </w:r>
          </w:p>
        </w:tc>
        <w:tc>
          <w:tcPr>
            <w:tcW w:w="625" w:type="pct"/>
            <w:vAlign w:val="center"/>
          </w:tcPr>
          <w:p w14:paraId="49D34A2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0.748 (0.738-0.759)</w:t>
            </w:r>
          </w:p>
        </w:tc>
        <w:tc>
          <w:tcPr>
            <w:tcW w:w="625" w:type="pct"/>
            <w:vAlign w:val="center"/>
          </w:tcPr>
          <w:p w14:paraId="49D0B42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1.66 (1.59-1.74); &lt;0.001</w:t>
            </w:r>
          </w:p>
        </w:tc>
        <w:tc>
          <w:tcPr>
            <w:tcW w:w="625" w:type="pct"/>
            <w:vAlign w:val="center"/>
          </w:tcPr>
          <w:p w14:paraId="669C0AE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0.752 (0.741-0.762)</w:t>
            </w:r>
          </w:p>
        </w:tc>
        <w:tc>
          <w:tcPr>
            <w:tcW w:w="625" w:type="pct"/>
            <w:vAlign w:val="center"/>
          </w:tcPr>
          <w:p w14:paraId="0B5BAF8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0.132</w:t>
            </w:r>
          </w:p>
        </w:tc>
      </w:tr>
      <w:tr w14:paraId="119DC4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1BF2DBA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4EE091B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18431EB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61FDB79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1.58 (1.52-1.63); &lt;0.001</w:t>
            </w:r>
          </w:p>
        </w:tc>
        <w:tc>
          <w:tcPr>
            <w:tcW w:w="625" w:type="pct"/>
            <w:vAlign w:val="center"/>
          </w:tcPr>
          <w:p w14:paraId="5D78A0F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0.773 (0.762-0.783)</w:t>
            </w:r>
          </w:p>
        </w:tc>
        <w:tc>
          <w:tcPr>
            <w:tcW w:w="625" w:type="pct"/>
            <w:vAlign w:val="center"/>
          </w:tcPr>
          <w:p w14:paraId="77C3719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1.62 (1.57-1.67); &lt;0.001</w:t>
            </w:r>
          </w:p>
        </w:tc>
        <w:tc>
          <w:tcPr>
            <w:tcW w:w="625" w:type="pct"/>
            <w:vAlign w:val="center"/>
          </w:tcPr>
          <w:p w14:paraId="1FEA0D4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0.797 (0.787-0.807)</w:t>
            </w:r>
          </w:p>
        </w:tc>
        <w:tc>
          <w:tcPr>
            <w:tcW w:w="625" w:type="pct"/>
            <w:vAlign w:val="center"/>
          </w:tcPr>
          <w:p w14:paraId="710CC2E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C514F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C855F8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53AF181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7F3BCDA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344D21F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1.21 (1.15-1.28); &lt;0.001</w:t>
            </w:r>
          </w:p>
        </w:tc>
        <w:tc>
          <w:tcPr>
            <w:tcW w:w="625" w:type="pct"/>
            <w:vAlign w:val="center"/>
          </w:tcPr>
          <w:p w14:paraId="0E1DA1E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0.754 (0.743-0.764)</w:t>
            </w:r>
          </w:p>
        </w:tc>
        <w:tc>
          <w:tcPr>
            <w:tcW w:w="625" w:type="pct"/>
            <w:vAlign w:val="center"/>
          </w:tcPr>
          <w:p w14:paraId="21D80CB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1.19 (1.14-1.24); &lt;0.001</w:t>
            </w:r>
          </w:p>
        </w:tc>
        <w:tc>
          <w:tcPr>
            <w:tcW w:w="625" w:type="pct"/>
            <w:vAlign w:val="center"/>
          </w:tcPr>
          <w:p w14:paraId="786C38A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0.755 (0.744-0.765)</w:t>
            </w:r>
          </w:p>
        </w:tc>
        <w:tc>
          <w:tcPr>
            <w:tcW w:w="625" w:type="pct"/>
            <w:vAlign w:val="center"/>
          </w:tcPr>
          <w:p w14:paraId="6AC6EBC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0.030</w:t>
            </w:r>
          </w:p>
        </w:tc>
      </w:tr>
      <w:tr w14:paraId="23CC47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0660B96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47B47B4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71EB3A9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6833E28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1.36 (1.28-1.44); &lt;0.001</w:t>
            </w:r>
          </w:p>
        </w:tc>
        <w:tc>
          <w:tcPr>
            <w:tcW w:w="625" w:type="pct"/>
            <w:vAlign w:val="center"/>
          </w:tcPr>
          <w:p w14:paraId="2987863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0.759 (0.749-0.770)</w:t>
            </w:r>
          </w:p>
        </w:tc>
        <w:tc>
          <w:tcPr>
            <w:tcW w:w="625" w:type="pct"/>
            <w:vAlign w:val="center"/>
          </w:tcPr>
          <w:p w14:paraId="4F34553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1.34 (1.25-1.42); &lt;0.001</w:t>
            </w:r>
          </w:p>
        </w:tc>
        <w:tc>
          <w:tcPr>
            <w:tcW w:w="625" w:type="pct"/>
            <w:vAlign w:val="center"/>
          </w:tcPr>
          <w:p w14:paraId="25B57D5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0.758 (0.748-0.768)</w:t>
            </w:r>
          </w:p>
        </w:tc>
        <w:tc>
          <w:tcPr>
            <w:tcW w:w="625" w:type="pct"/>
            <w:vAlign w:val="center"/>
          </w:tcPr>
          <w:p w14:paraId="3E96371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0.047</w:t>
            </w:r>
          </w:p>
        </w:tc>
      </w:tr>
      <w:tr w14:paraId="6EBFD5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EF0D98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28D6800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47FAD1A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7C4AD61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1.45 (1.40-1.51); &lt;0.001</w:t>
            </w:r>
          </w:p>
        </w:tc>
        <w:tc>
          <w:tcPr>
            <w:tcW w:w="625" w:type="pct"/>
            <w:vAlign w:val="center"/>
          </w:tcPr>
          <w:p w14:paraId="5E039D3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0.773 (0.763-0.783)</w:t>
            </w:r>
          </w:p>
        </w:tc>
        <w:tc>
          <w:tcPr>
            <w:tcW w:w="625" w:type="pct"/>
            <w:vAlign w:val="center"/>
          </w:tcPr>
          <w:p w14:paraId="4BB46DF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1.58 (1.51-1.64); &lt;0.001</w:t>
            </w:r>
          </w:p>
        </w:tc>
        <w:tc>
          <w:tcPr>
            <w:tcW w:w="625" w:type="pct"/>
            <w:vAlign w:val="center"/>
          </w:tcPr>
          <w:p w14:paraId="63EAEAF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0.769 (0.758-0.780)</w:t>
            </w:r>
          </w:p>
        </w:tc>
        <w:tc>
          <w:tcPr>
            <w:tcW w:w="625" w:type="pct"/>
            <w:vAlign w:val="center"/>
          </w:tcPr>
          <w:p w14:paraId="464561A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0.025</w:t>
            </w:r>
          </w:p>
        </w:tc>
      </w:tr>
      <w:tr w14:paraId="4B0DD3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062F2B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7F05898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1279EB5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6A4646A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1.16 (1.11-1.20); &lt;0.001</w:t>
            </w:r>
          </w:p>
        </w:tc>
        <w:tc>
          <w:tcPr>
            <w:tcW w:w="625" w:type="pct"/>
            <w:vAlign w:val="center"/>
          </w:tcPr>
          <w:p w14:paraId="2510D9D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0.755 (0.744-0.765)</w:t>
            </w:r>
          </w:p>
        </w:tc>
        <w:tc>
          <w:tcPr>
            <w:tcW w:w="625" w:type="pct"/>
            <w:vAlign w:val="center"/>
          </w:tcPr>
          <w:p w14:paraId="12820C4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1.16 (1.11-1.21); &lt;0.001</w:t>
            </w:r>
          </w:p>
        </w:tc>
        <w:tc>
          <w:tcPr>
            <w:tcW w:w="625" w:type="pct"/>
            <w:vAlign w:val="center"/>
          </w:tcPr>
          <w:p w14:paraId="221D232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0.755 (0.744-0.765)</w:t>
            </w:r>
          </w:p>
        </w:tc>
        <w:tc>
          <w:tcPr>
            <w:tcW w:w="625" w:type="pct"/>
            <w:vAlign w:val="center"/>
          </w:tcPr>
          <w:p w14:paraId="52DB886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0.456</w:t>
            </w:r>
          </w:p>
        </w:tc>
      </w:tr>
      <w:tr w14:paraId="567EF6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C702E0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26A2A27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483F02C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345B30F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1.54 (1.48-1.61); &lt;0.001</w:t>
            </w:r>
          </w:p>
        </w:tc>
        <w:tc>
          <w:tcPr>
            <w:tcW w:w="625" w:type="pct"/>
            <w:vAlign w:val="center"/>
          </w:tcPr>
          <w:p w14:paraId="297239F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0.771 (0.761-0.781)</w:t>
            </w:r>
          </w:p>
        </w:tc>
        <w:tc>
          <w:tcPr>
            <w:tcW w:w="625" w:type="pct"/>
            <w:vAlign w:val="center"/>
          </w:tcPr>
          <w:p w14:paraId="1E258D9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1.63 (1.55-1.71); &lt;0.001</w:t>
            </w:r>
          </w:p>
        </w:tc>
        <w:tc>
          <w:tcPr>
            <w:tcW w:w="625" w:type="pct"/>
            <w:vAlign w:val="center"/>
          </w:tcPr>
          <w:p w14:paraId="21B5DF2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0.774 (0.764-0.784)</w:t>
            </w:r>
          </w:p>
        </w:tc>
        <w:tc>
          <w:tcPr>
            <w:tcW w:w="625" w:type="pct"/>
            <w:vAlign w:val="center"/>
          </w:tcPr>
          <w:p w14:paraId="593EBA5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0.127</w:t>
            </w:r>
          </w:p>
        </w:tc>
      </w:tr>
      <w:tr w14:paraId="439A1E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FB883A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44A0930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5F359E8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270F8E3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1.54 (1.51-1.58); &lt;0.001</w:t>
            </w:r>
          </w:p>
        </w:tc>
        <w:tc>
          <w:tcPr>
            <w:tcW w:w="625" w:type="pct"/>
            <w:vAlign w:val="center"/>
          </w:tcPr>
          <w:p w14:paraId="1ACFA06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0.660 (0.651-0.670)</w:t>
            </w:r>
          </w:p>
        </w:tc>
        <w:tc>
          <w:tcPr>
            <w:tcW w:w="625" w:type="pct"/>
            <w:vAlign w:val="center"/>
          </w:tcPr>
          <w:p w14:paraId="2A499A1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1.61 (1.57-1.65); &lt;0.001</w:t>
            </w:r>
          </w:p>
        </w:tc>
        <w:tc>
          <w:tcPr>
            <w:tcW w:w="625" w:type="pct"/>
            <w:vAlign w:val="center"/>
          </w:tcPr>
          <w:p w14:paraId="64AA065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0.679 (0.670-0.689)</w:t>
            </w:r>
          </w:p>
        </w:tc>
        <w:tc>
          <w:tcPr>
            <w:tcW w:w="625" w:type="pct"/>
            <w:vAlign w:val="center"/>
          </w:tcPr>
          <w:p w14:paraId="69C19C6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1E2E95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0A81502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1DED461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32A7546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585D97A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1.36 (1.31-1.41); &lt;0.001</w:t>
            </w:r>
          </w:p>
        </w:tc>
        <w:tc>
          <w:tcPr>
            <w:tcW w:w="625" w:type="pct"/>
            <w:vAlign w:val="center"/>
          </w:tcPr>
          <w:p w14:paraId="1990EB1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0.545 (0.536-0.555)</w:t>
            </w:r>
          </w:p>
        </w:tc>
        <w:tc>
          <w:tcPr>
            <w:tcW w:w="625" w:type="pct"/>
            <w:vAlign w:val="center"/>
          </w:tcPr>
          <w:p w14:paraId="6798AFD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1.30 (1.26-1.34); &lt;0.001</w:t>
            </w:r>
          </w:p>
        </w:tc>
        <w:tc>
          <w:tcPr>
            <w:tcW w:w="625" w:type="pct"/>
            <w:vAlign w:val="center"/>
          </w:tcPr>
          <w:p w14:paraId="679FCCE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0.547 (0.537-0.556)</w:t>
            </w:r>
          </w:p>
        </w:tc>
        <w:tc>
          <w:tcPr>
            <w:tcW w:w="625" w:type="pct"/>
            <w:vAlign w:val="center"/>
          </w:tcPr>
          <w:p w14:paraId="7884EAB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0.032</w:t>
            </w:r>
          </w:p>
        </w:tc>
      </w:tr>
      <w:tr w14:paraId="62DA19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7C17055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1A3449A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62FB238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578EB5E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1.75 (1.66-1.83); &lt;0.001</w:t>
            </w:r>
          </w:p>
        </w:tc>
        <w:tc>
          <w:tcPr>
            <w:tcW w:w="625" w:type="pct"/>
            <w:vAlign w:val="center"/>
          </w:tcPr>
          <w:p w14:paraId="18E634A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0.563 (0.555-0.570)</w:t>
            </w:r>
          </w:p>
        </w:tc>
        <w:tc>
          <w:tcPr>
            <w:tcW w:w="625" w:type="pct"/>
            <w:vAlign w:val="center"/>
          </w:tcPr>
          <w:p w14:paraId="527F495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1.84 (1.74-1.94); &lt;0.001</w:t>
            </w:r>
          </w:p>
        </w:tc>
        <w:tc>
          <w:tcPr>
            <w:tcW w:w="625" w:type="pct"/>
            <w:vAlign w:val="center"/>
          </w:tcPr>
          <w:p w14:paraId="782DFB9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0.560 (0.553-0.567)</w:t>
            </w:r>
          </w:p>
        </w:tc>
        <w:tc>
          <w:tcPr>
            <w:tcW w:w="625" w:type="pct"/>
            <w:vAlign w:val="center"/>
          </w:tcPr>
          <w:p w14:paraId="171A311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0.022</w:t>
            </w:r>
          </w:p>
        </w:tc>
      </w:tr>
      <w:tr w14:paraId="2D16B5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41C63C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302D8E4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5EB74B3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38CCB97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1.75 (1.71-1.80); &lt;0.001</w:t>
            </w:r>
          </w:p>
        </w:tc>
        <w:tc>
          <w:tcPr>
            <w:tcW w:w="625" w:type="pct"/>
            <w:vAlign w:val="center"/>
          </w:tcPr>
          <w:p w14:paraId="20F4178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0.649 (0.640-0.658)</w:t>
            </w:r>
          </w:p>
        </w:tc>
        <w:tc>
          <w:tcPr>
            <w:tcW w:w="625" w:type="pct"/>
            <w:vAlign w:val="center"/>
          </w:tcPr>
          <w:p w14:paraId="4F381F5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1.99 (1.92-2.05); &lt;0.001</w:t>
            </w:r>
          </w:p>
        </w:tc>
        <w:tc>
          <w:tcPr>
            <w:tcW w:w="625" w:type="pct"/>
            <w:vAlign w:val="center"/>
          </w:tcPr>
          <w:p w14:paraId="371813E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0.657 (0.648-0.666)</w:t>
            </w:r>
          </w:p>
        </w:tc>
        <w:tc>
          <w:tcPr>
            <w:tcW w:w="625" w:type="pct"/>
            <w:vAlign w:val="center"/>
          </w:tcPr>
          <w:p w14:paraId="31BFFB4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754E96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B4CDE6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2EFC981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2B647F0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496B12D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1.58 (1.54-1.61); &lt;0.001</w:t>
            </w:r>
          </w:p>
        </w:tc>
        <w:tc>
          <w:tcPr>
            <w:tcW w:w="625" w:type="pct"/>
            <w:vAlign w:val="center"/>
          </w:tcPr>
          <w:p w14:paraId="2BBF1C1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0.659 (0.649-0.669)</w:t>
            </w:r>
          </w:p>
        </w:tc>
        <w:tc>
          <w:tcPr>
            <w:tcW w:w="625" w:type="pct"/>
            <w:vAlign w:val="center"/>
          </w:tcPr>
          <w:p w14:paraId="5DA4C77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1.59 (1.55-1.63); &lt;0.001</w:t>
            </w:r>
          </w:p>
        </w:tc>
        <w:tc>
          <w:tcPr>
            <w:tcW w:w="625" w:type="pct"/>
            <w:vAlign w:val="center"/>
          </w:tcPr>
          <w:p w14:paraId="1583F8E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0.659 (0.649-0.669)</w:t>
            </w:r>
          </w:p>
        </w:tc>
        <w:tc>
          <w:tcPr>
            <w:tcW w:w="625" w:type="pct"/>
            <w:vAlign w:val="center"/>
          </w:tcPr>
          <w:p w14:paraId="02F1121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0.998</w:t>
            </w:r>
          </w:p>
        </w:tc>
      </w:tr>
      <w:tr w14:paraId="0B9D11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2E6F60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517A821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63DD10E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32DF683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1.36 (1.33-1.39); &lt;0.001</w:t>
            </w:r>
          </w:p>
        </w:tc>
        <w:tc>
          <w:tcPr>
            <w:tcW w:w="625" w:type="pct"/>
            <w:vAlign w:val="center"/>
          </w:tcPr>
          <w:p w14:paraId="3FAE7D3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0.634 (0.625-0.644)</w:t>
            </w:r>
          </w:p>
        </w:tc>
        <w:tc>
          <w:tcPr>
            <w:tcW w:w="625" w:type="pct"/>
            <w:vAlign w:val="center"/>
          </w:tcPr>
          <w:p w14:paraId="24079D4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1.40 (1.37-1.44); &lt;0.001</w:t>
            </w:r>
          </w:p>
        </w:tc>
        <w:tc>
          <w:tcPr>
            <w:tcW w:w="625" w:type="pct"/>
            <w:vAlign w:val="center"/>
          </w:tcPr>
          <w:p w14:paraId="53285F0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0.639 (0.630-0.649)</w:t>
            </w:r>
          </w:p>
        </w:tc>
        <w:tc>
          <w:tcPr>
            <w:tcW w:w="625" w:type="pct"/>
            <w:vAlign w:val="center"/>
          </w:tcPr>
          <w:p w14:paraId="4ED2E4B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0.110</w:t>
            </w:r>
          </w:p>
        </w:tc>
      </w:tr>
      <w:tr w14:paraId="5FB515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23B17CD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6B0F884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4DEB871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5FA9ACC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1.55 (1.52-1.59); &lt;0.001</w:t>
            </w:r>
          </w:p>
        </w:tc>
        <w:tc>
          <w:tcPr>
            <w:tcW w:w="625" w:type="pct"/>
            <w:vAlign w:val="center"/>
          </w:tcPr>
          <w:p w14:paraId="0B5750E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0.678 (0.668-0.688)</w:t>
            </w:r>
          </w:p>
        </w:tc>
        <w:tc>
          <w:tcPr>
            <w:tcW w:w="625" w:type="pct"/>
            <w:vAlign w:val="center"/>
          </w:tcPr>
          <w:p w14:paraId="2FC851C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1.62 (1.59-1.66); &lt;0.001</w:t>
            </w:r>
          </w:p>
        </w:tc>
        <w:tc>
          <w:tcPr>
            <w:tcW w:w="625" w:type="pct"/>
            <w:vAlign w:val="center"/>
          </w:tcPr>
          <w:p w14:paraId="32F5927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0.695 (0.685-0.704)</w:t>
            </w:r>
          </w:p>
        </w:tc>
        <w:tc>
          <w:tcPr>
            <w:tcW w:w="625" w:type="pct"/>
            <w:vAlign w:val="center"/>
          </w:tcPr>
          <w:p w14:paraId="1201876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5B1AC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0F54CE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1D93B75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46EE8A9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4848470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1.36 (1.31-1.42); &lt;0.001</w:t>
            </w:r>
          </w:p>
        </w:tc>
        <w:tc>
          <w:tcPr>
            <w:tcW w:w="625" w:type="pct"/>
            <w:vAlign w:val="center"/>
          </w:tcPr>
          <w:p w14:paraId="17D8E46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0.561 (0.551-0.572)</w:t>
            </w:r>
          </w:p>
        </w:tc>
        <w:tc>
          <w:tcPr>
            <w:tcW w:w="625" w:type="pct"/>
            <w:vAlign w:val="center"/>
          </w:tcPr>
          <w:p w14:paraId="76BE301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1.31 (1.27-1.35); &lt;0.001</w:t>
            </w:r>
          </w:p>
        </w:tc>
        <w:tc>
          <w:tcPr>
            <w:tcW w:w="625" w:type="pct"/>
            <w:vAlign w:val="center"/>
          </w:tcPr>
          <w:p w14:paraId="794877F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0.563 (0.553-0.574)</w:t>
            </w:r>
          </w:p>
        </w:tc>
        <w:tc>
          <w:tcPr>
            <w:tcW w:w="625" w:type="pct"/>
            <w:vAlign w:val="center"/>
          </w:tcPr>
          <w:p w14:paraId="6C2F17D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0.013</w:t>
            </w:r>
          </w:p>
        </w:tc>
      </w:tr>
      <w:tr w14:paraId="192E2C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C235E8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23EEEE3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20346C4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162B76A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1.76 (1.68-1.85); &lt;0.001</w:t>
            </w:r>
          </w:p>
        </w:tc>
        <w:tc>
          <w:tcPr>
            <w:tcW w:w="625" w:type="pct"/>
            <w:vAlign w:val="center"/>
          </w:tcPr>
          <w:p w14:paraId="1C74A73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0.586 (0.575-0.597)</w:t>
            </w:r>
          </w:p>
        </w:tc>
        <w:tc>
          <w:tcPr>
            <w:tcW w:w="625" w:type="pct"/>
            <w:vAlign w:val="center"/>
          </w:tcPr>
          <w:p w14:paraId="4240813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1.85 (1.75-1.96); &lt;0.001</w:t>
            </w:r>
          </w:p>
        </w:tc>
        <w:tc>
          <w:tcPr>
            <w:tcW w:w="625" w:type="pct"/>
            <w:vAlign w:val="center"/>
          </w:tcPr>
          <w:p w14:paraId="3FA9DB5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0.584 (0.574-0.595)</w:t>
            </w:r>
          </w:p>
        </w:tc>
        <w:tc>
          <w:tcPr>
            <w:tcW w:w="625" w:type="pct"/>
            <w:vAlign w:val="center"/>
          </w:tcPr>
          <w:p w14:paraId="725099E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0.231</w:t>
            </w:r>
          </w:p>
        </w:tc>
      </w:tr>
      <w:tr w14:paraId="590591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1B7E8ED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613A828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1CAF611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0F2DAC7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1.75 (1.71-1.80); &lt;0.001</w:t>
            </w:r>
          </w:p>
        </w:tc>
        <w:tc>
          <w:tcPr>
            <w:tcW w:w="625" w:type="pct"/>
            <w:vAlign w:val="center"/>
          </w:tcPr>
          <w:p w14:paraId="663D3E2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0.661 (0.651-0.671)</w:t>
            </w:r>
          </w:p>
        </w:tc>
        <w:tc>
          <w:tcPr>
            <w:tcW w:w="625" w:type="pct"/>
            <w:vAlign w:val="center"/>
          </w:tcPr>
          <w:p w14:paraId="5685FC2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1.99 (1.93-2.06); &lt;0.001</w:t>
            </w:r>
          </w:p>
        </w:tc>
        <w:tc>
          <w:tcPr>
            <w:tcW w:w="625" w:type="pct"/>
            <w:vAlign w:val="center"/>
          </w:tcPr>
          <w:p w14:paraId="6D26BDB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0.669 (0.658-0.679)</w:t>
            </w:r>
          </w:p>
        </w:tc>
        <w:tc>
          <w:tcPr>
            <w:tcW w:w="625" w:type="pct"/>
            <w:vAlign w:val="center"/>
          </w:tcPr>
          <w:p w14:paraId="024981C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D2DB0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5B6663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017D5F6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41C17DB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3701592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1.58 (1.54-1.62); &lt;0.001</w:t>
            </w:r>
          </w:p>
        </w:tc>
        <w:tc>
          <w:tcPr>
            <w:tcW w:w="625" w:type="pct"/>
            <w:vAlign w:val="center"/>
          </w:tcPr>
          <w:p w14:paraId="49C734B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0.672 (0.661-0.682)</w:t>
            </w:r>
          </w:p>
        </w:tc>
        <w:tc>
          <w:tcPr>
            <w:tcW w:w="625" w:type="pct"/>
            <w:vAlign w:val="center"/>
          </w:tcPr>
          <w:p w14:paraId="7A3F409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1.59 (1.56-1.63); &lt;0.001</w:t>
            </w:r>
          </w:p>
        </w:tc>
        <w:tc>
          <w:tcPr>
            <w:tcW w:w="625" w:type="pct"/>
            <w:vAlign w:val="center"/>
          </w:tcPr>
          <w:p w14:paraId="679E3D2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0.671 (0.661-0.682)</w:t>
            </w:r>
          </w:p>
        </w:tc>
        <w:tc>
          <w:tcPr>
            <w:tcW w:w="625" w:type="pct"/>
            <w:vAlign w:val="center"/>
          </w:tcPr>
          <w:p w14:paraId="3C9C8F2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0.468</w:t>
            </w:r>
          </w:p>
        </w:tc>
      </w:tr>
      <w:tr w14:paraId="1D102A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3CD0621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2150057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15ED87E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5483B08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1.36 (1.33-1.39); &lt;0.001</w:t>
            </w:r>
          </w:p>
        </w:tc>
        <w:tc>
          <w:tcPr>
            <w:tcW w:w="625" w:type="pct"/>
            <w:vAlign w:val="center"/>
          </w:tcPr>
          <w:p w14:paraId="5B186F2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0.641 (0.631-0.650)</w:t>
            </w:r>
          </w:p>
        </w:tc>
        <w:tc>
          <w:tcPr>
            <w:tcW w:w="625" w:type="pct"/>
            <w:vAlign w:val="center"/>
          </w:tcPr>
          <w:p w14:paraId="536C2C6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1.41 (1.37-1.44); &lt;0.001</w:t>
            </w:r>
          </w:p>
        </w:tc>
        <w:tc>
          <w:tcPr>
            <w:tcW w:w="625" w:type="pct"/>
            <w:vAlign w:val="center"/>
          </w:tcPr>
          <w:p w14:paraId="77EFC54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0.648 (0.638-0.658)</w:t>
            </w:r>
          </w:p>
        </w:tc>
        <w:tc>
          <w:tcPr>
            <w:tcW w:w="625" w:type="pct"/>
            <w:vAlign w:val="center"/>
          </w:tcPr>
          <w:p w14:paraId="4470238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0.020</w:t>
            </w:r>
          </w:p>
        </w:tc>
      </w:tr>
      <w:tr w14:paraId="4B5AAA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103ECB4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540A511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2AD6C75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0CA9129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1.53 (1.50-1.57); &lt;0.001</w:t>
            </w:r>
          </w:p>
        </w:tc>
        <w:tc>
          <w:tcPr>
            <w:tcW w:w="625" w:type="pct"/>
            <w:vAlign w:val="center"/>
          </w:tcPr>
          <w:p w14:paraId="4D3C06F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0.722 (0.713-0.731)</w:t>
            </w:r>
          </w:p>
        </w:tc>
        <w:tc>
          <w:tcPr>
            <w:tcW w:w="625" w:type="pct"/>
            <w:vAlign w:val="center"/>
          </w:tcPr>
          <w:p w14:paraId="12E4548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1.60 (1.56-1.64); &lt;0.001</w:t>
            </w:r>
          </w:p>
        </w:tc>
        <w:tc>
          <w:tcPr>
            <w:tcW w:w="625" w:type="pct"/>
            <w:vAlign w:val="center"/>
          </w:tcPr>
          <w:p w14:paraId="5C8C73B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0.732 (0.723-0.741)</w:t>
            </w:r>
          </w:p>
        </w:tc>
        <w:tc>
          <w:tcPr>
            <w:tcW w:w="625" w:type="pct"/>
            <w:vAlign w:val="center"/>
          </w:tcPr>
          <w:p w14:paraId="13414E0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4FA38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705CE84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3748720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714BDFF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06DB197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1.29 (1.24-1.34); &lt;0.001</w:t>
            </w:r>
          </w:p>
        </w:tc>
        <w:tc>
          <w:tcPr>
            <w:tcW w:w="625" w:type="pct"/>
            <w:vAlign w:val="center"/>
          </w:tcPr>
          <w:p w14:paraId="1E6D8A7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0.650 (0.640-0.660)</w:t>
            </w:r>
          </w:p>
        </w:tc>
        <w:tc>
          <w:tcPr>
            <w:tcW w:w="625" w:type="pct"/>
            <w:vAlign w:val="center"/>
          </w:tcPr>
          <w:p w14:paraId="6B6661C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1.25 (1.21-1.29); &lt;0.001</w:t>
            </w:r>
          </w:p>
        </w:tc>
        <w:tc>
          <w:tcPr>
            <w:tcW w:w="625" w:type="pct"/>
            <w:vAlign w:val="center"/>
          </w:tcPr>
          <w:p w14:paraId="51C1177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0.652 (0.642-0.662)</w:t>
            </w:r>
          </w:p>
        </w:tc>
        <w:tc>
          <w:tcPr>
            <w:tcW w:w="625" w:type="pct"/>
            <w:vAlign w:val="center"/>
          </w:tcPr>
          <w:p w14:paraId="77AEB8F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6FCB8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0E512BD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5B0AB73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452354A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77727F4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1.59 (1.51-1.68); &lt;0.001</w:t>
            </w:r>
          </w:p>
        </w:tc>
        <w:tc>
          <w:tcPr>
            <w:tcW w:w="625" w:type="pct"/>
            <w:vAlign w:val="center"/>
          </w:tcPr>
          <w:p w14:paraId="7E8A8C8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0.661 (0.651-0.671)</w:t>
            </w:r>
          </w:p>
        </w:tc>
        <w:tc>
          <w:tcPr>
            <w:tcW w:w="625" w:type="pct"/>
            <w:vAlign w:val="center"/>
          </w:tcPr>
          <w:p w14:paraId="243D217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1.66 (1.57-1.76); &lt;0.001</w:t>
            </w:r>
          </w:p>
        </w:tc>
        <w:tc>
          <w:tcPr>
            <w:tcW w:w="625" w:type="pct"/>
            <w:vAlign w:val="center"/>
          </w:tcPr>
          <w:p w14:paraId="583A45D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0.660 (0.650-0.670)</w:t>
            </w:r>
          </w:p>
        </w:tc>
        <w:tc>
          <w:tcPr>
            <w:tcW w:w="625" w:type="pct"/>
            <w:vAlign w:val="center"/>
          </w:tcPr>
          <w:p w14:paraId="4E9576D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0.317</w:t>
            </w:r>
          </w:p>
        </w:tc>
      </w:tr>
      <w:tr w14:paraId="0BA020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3844880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3823589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3F09C5A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74F1B2F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1.64 (1.60-1.69); &lt;0.001</w:t>
            </w:r>
          </w:p>
        </w:tc>
        <w:tc>
          <w:tcPr>
            <w:tcW w:w="625" w:type="pct"/>
            <w:vAlign w:val="center"/>
          </w:tcPr>
          <w:p w14:paraId="776AEF1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0.705 (0.695-0.714)</w:t>
            </w:r>
          </w:p>
        </w:tc>
        <w:tc>
          <w:tcPr>
            <w:tcW w:w="625" w:type="pct"/>
            <w:vAlign w:val="center"/>
          </w:tcPr>
          <w:p w14:paraId="5C6324E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1.88 (1.82-1.95); &lt;0.001</w:t>
            </w:r>
          </w:p>
        </w:tc>
        <w:tc>
          <w:tcPr>
            <w:tcW w:w="625" w:type="pct"/>
            <w:vAlign w:val="center"/>
          </w:tcPr>
          <w:p w14:paraId="628B091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0.709 (0.699-0.719)</w:t>
            </w:r>
          </w:p>
        </w:tc>
        <w:tc>
          <w:tcPr>
            <w:tcW w:w="625" w:type="pct"/>
            <w:vAlign w:val="center"/>
          </w:tcPr>
          <w:p w14:paraId="0AE844B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0.004</w:t>
            </w:r>
          </w:p>
        </w:tc>
      </w:tr>
      <w:tr w14:paraId="33BF53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191A24C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1B01428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1A6302C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636E40D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1.59 (1.55-1.62); &lt;0.001</w:t>
            </w:r>
          </w:p>
        </w:tc>
        <w:tc>
          <w:tcPr>
            <w:tcW w:w="625" w:type="pct"/>
            <w:vAlign w:val="center"/>
          </w:tcPr>
          <w:p w14:paraId="17B9786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0.725 (0.716-0.734)</w:t>
            </w:r>
          </w:p>
        </w:tc>
        <w:tc>
          <w:tcPr>
            <w:tcW w:w="625" w:type="pct"/>
            <w:vAlign w:val="center"/>
          </w:tcPr>
          <w:p w14:paraId="414DDA0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1.60 (1.56-1.64); &lt;0.001</w:t>
            </w:r>
          </w:p>
        </w:tc>
        <w:tc>
          <w:tcPr>
            <w:tcW w:w="625" w:type="pct"/>
            <w:vAlign w:val="center"/>
          </w:tcPr>
          <w:p w14:paraId="62B1C54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0.725 (0.716-0.735)</w:t>
            </w:r>
          </w:p>
        </w:tc>
        <w:tc>
          <w:tcPr>
            <w:tcW w:w="625" w:type="pct"/>
            <w:vAlign w:val="center"/>
          </w:tcPr>
          <w:p w14:paraId="58EA68B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0.458</w:t>
            </w:r>
          </w:p>
        </w:tc>
      </w:tr>
      <w:tr w14:paraId="0DCEFA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DE2D4A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1204A87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57C0A87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150C9E8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1.32 (1.29-1.35); &lt;0.001</w:t>
            </w:r>
          </w:p>
        </w:tc>
        <w:tc>
          <w:tcPr>
            <w:tcW w:w="625" w:type="pct"/>
            <w:vAlign w:val="center"/>
          </w:tcPr>
          <w:p w14:paraId="202A4FB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0.681 (0.672-0.690)</w:t>
            </w:r>
          </w:p>
        </w:tc>
        <w:tc>
          <w:tcPr>
            <w:tcW w:w="625" w:type="pct"/>
            <w:vAlign w:val="center"/>
          </w:tcPr>
          <w:p w14:paraId="12414C4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1.37 (1.33-1.41); &lt;0.001</w:t>
            </w:r>
          </w:p>
        </w:tc>
        <w:tc>
          <w:tcPr>
            <w:tcW w:w="625" w:type="pct"/>
            <w:vAlign w:val="center"/>
          </w:tcPr>
          <w:p w14:paraId="6E17A14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0.684 (0.675-0.694)</w:t>
            </w:r>
          </w:p>
        </w:tc>
        <w:tc>
          <w:tcPr>
            <w:tcW w:w="625" w:type="pct"/>
            <w:vAlign w:val="center"/>
          </w:tcPr>
          <w:p w14:paraId="1B93BD3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0.155</w:t>
            </w:r>
          </w:p>
        </w:tc>
      </w:tr>
      <w:tr w14:paraId="79E9CA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873261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548A4F5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5912EC3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45FDB10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1.46 (1.42-1.49); &lt;0.001</w:t>
            </w:r>
          </w:p>
        </w:tc>
        <w:tc>
          <w:tcPr>
            <w:tcW w:w="625" w:type="pct"/>
            <w:vAlign w:val="center"/>
          </w:tcPr>
          <w:p w14:paraId="307C733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0.756 (0.747-0.764)</w:t>
            </w:r>
          </w:p>
        </w:tc>
        <w:tc>
          <w:tcPr>
            <w:tcW w:w="625" w:type="pct"/>
            <w:vAlign w:val="center"/>
          </w:tcPr>
          <w:p w14:paraId="315BF3F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1.52 (1.48-1.55); &lt;0.001</w:t>
            </w:r>
          </w:p>
        </w:tc>
        <w:tc>
          <w:tcPr>
            <w:tcW w:w="625" w:type="pct"/>
            <w:vAlign w:val="center"/>
          </w:tcPr>
          <w:p w14:paraId="2FAC454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0.763 (0.755-0.771)</w:t>
            </w:r>
          </w:p>
        </w:tc>
        <w:tc>
          <w:tcPr>
            <w:tcW w:w="625" w:type="pct"/>
            <w:vAlign w:val="center"/>
          </w:tcPr>
          <w:p w14:paraId="7EEA346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2CBC2E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19001FD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34D3207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2290BA5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254957E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1.30 (1.25-1.36); &lt;0.001</w:t>
            </w:r>
          </w:p>
        </w:tc>
        <w:tc>
          <w:tcPr>
            <w:tcW w:w="625" w:type="pct"/>
            <w:vAlign w:val="center"/>
          </w:tcPr>
          <w:p w14:paraId="09BEDB0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0.724 (0.715-0.733)</w:t>
            </w:r>
          </w:p>
        </w:tc>
        <w:tc>
          <w:tcPr>
            <w:tcW w:w="625" w:type="pct"/>
            <w:vAlign w:val="center"/>
          </w:tcPr>
          <w:p w14:paraId="79E5F47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1.25 (1.21-1.30); &lt;0.001</w:t>
            </w:r>
          </w:p>
        </w:tc>
        <w:tc>
          <w:tcPr>
            <w:tcW w:w="625" w:type="pct"/>
            <w:vAlign w:val="center"/>
          </w:tcPr>
          <w:p w14:paraId="05E026F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0.726 (0.717-0.734)</w:t>
            </w:r>
          </w:p>
        </w:tc>
        <w:tc>
          <w:tcPr>
            <w:tcW w:w="625" w:type="pct"/>
            <w:vAlign w:val="center"/>
          </w:tcPr>
          <w:p w14:paraId="0342978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10D584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A43374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0FAD917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10B24BD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23132C4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1.53 (1.45-1.61); &lt;0.001</w:t>
            </w:r>
          </w:p>
        </w:tc>
        <w:tc>
          <w:tcPr>
            <w:tcW w:w="625" w:type="pct"/>
            <w:vAlign w:val="center"/>
          </w:tcPr>
          <w:p w14:paraId="31965EB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0.729 (0.720-0.738)</w:t>
            </w:r>
          </w:p>
        </w:tc>
        <w:tc>
          <w:tcPr>
            <w:tcW w:w="625" w:type="pct"/>
            <w:vAlign w:val="center"/>
          </w:tcPr>
          <w:p w14:paraId="70BD1BF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1.60 (1.50-1.69); &lt;0.001</w:t>
            </w:r>
          </w:p>
        </w:tc>
        <w:tc>
          <w:tcPr>
            <w:tcW w:w="625" w:type="pct"/>
            <w:vAlign w:val="center"/>
          </w:tcPr>
          <w:p w14:paraId="21E6285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0.729 (0.720-0.738)</w:t>
            </w:r>
          </w:p>
        </w:tc>
        <w:tc>
          <w:tcPr>
            <w:tcW w:w="625" w:type="pct"/>
            <w:vAlign w:val="center"/>
          </w:tcPr>
          <w:p w14:paraId="15A5B32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0.919</w:t>
            </w:r>
          </w:p>
        </w:tc>
      </w:tr>
      <w:tr w14:paraId="04D3F4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A3E885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7C01B20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6817550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622637C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1.53 (1.49-1.58); &lt;0.001</w:t>
            </w:r>
          </w:p>
        </w:tc>
        <w:tc>
          <w:tcPr>
            <w:tcW w:w="625" w:type="pct"/>
            <w:vAlign w:val="center"/>
          </w:tcPr>
          <w:p w14:paraId="6F368A4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0.747 (0.738-0.756)</w:t>
            </w:r>
          </w:p>
        </w:tc>
        <w:tc>
          <w:tcPr>
            <w:tcW w:w="625" w:type="pct"/>
            <w:vAlign w:val="center"/>
          </w:tcPr>
          <w:p w14:paraId="1A63E6D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1.72 (1.66-1.78); &lt;0.001</w:t>
            </w:r>
          </w:p>
        </w:tc>
        <w:tc>
          <w:tcPr>
            <w:tcW w:w="625" w:type="pct"/>
            <w:vAlign w:val="center"/>
          </w:tcPr>
          <w:p w14:paraId="059AA0B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0.747 (0.739-0.756)</w:t>
            </w:r>
          </w:p>
        </w:tc>
        <w:tc>
          <w:tcPr>
            <w:tcW w:w="625" w:type="pct"/>
            <w:vAlign w:val="center"/>
          </w:tcPr>
          <w:p w14:paraId="1815511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0.766</w:t>
            </w:r>
          </w:p>
        </w:tc>
      </w:tr>
      <w:tr w14:paraId="383960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24F58B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490AD67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3FD294B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0C9FB8C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1.51 (1.47-1.54); &lt;0.001</w:t>
            </w:r>
          </w:p>
        </w:tc>
        <w:tc>
          <w:tcPr>
            <w:tcW w:w="625" w:type="pct"/>
            <w:vAlign w:val="center"/>
          </w:tcPr>
          <w:p w14:paraId="66814A2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0.760 (0.752-0.769)</w:t>
            </w:r>
          </w:p>
        </w:tc>
        <w:tc>
          <w:tcPr>
            <w:tcW w:w="625" w:type="pct"/>
            <w:vAlign w:val="center"/>
          </w:tcPr>
          <w:p w14:paraId="0907283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1.52 (1.48-1.56); &lt;0.001</w:t>
            </w:r>
          </w:p>
        </w:tc>
        <w:tc>
          <w:tcPr>
            <w:tcW w:w="625" w:type="pct"/>
            <w:vAlign w:val="center"/>
          </w:tcPr>
          <w:p w14:paraId="729EA29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0.761 (0.752-0.769)</w:t>
            </w:r>
          </w:p>
        </w:tc>
        <w:tc>
          <w:tcPr>
            <w:tcW w:w="625" w:type="pct"/>
            <w:vAlign w:val="center"/>
          </w:tcPr>
          <w:p w14:paraId="4AD0682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0.209</w:t>
            </w:r>
          </w:p>
        </w:tc>
      </w:tr>
      <w:tr w14:paraId="4EC5D0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0C42E21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5" w:type="pct"/>
            <w:vAlign w:val="center"/>
          </w:tcPr>
          <w:p w14:paraId="7CE7D1A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64641E2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6FE5E0D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1.28 (1.24-1.31); &lt;0.001</w:t>
            </w:r>
          </w:p>
        </w:tc>
        <w:tc>
          <w:tcPr>
            <w:tcW w:w="625" w:type="pct"/>
            <w:vAlign w:val="center"/>
          </w:tcPr>
          <w:p w14:paraId="60EF58B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0.733 (0.724-0.741)</w:t>
            </w:r>
          </w:p>
        </w:tc>
        <w:tc>
          <w:tcPr>
            <w:tcW w:w="625" w:type="pct"/>
            <w:vAlign w:val="center"/>
          </w:tcPr>
          <w:p w14:paraId="592A6E5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1.32 (1.28-1.35); &lt;0.001</w:t>
            </w:r>
          </w:p>
        </w:tc>
        <w:tc>
          <w:tcPr>
            <w:tcW w:w="625" w:type="pct"/>
            <w:vAlign w:val="center"/>
          </w:tcPr>
          <w:p w14:paraId="4BD7087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0.734 (0.726-0.743)</w:t>
            </w:r>
          </w:p>
        </w:tc>
        <w:tc>
          <w:tcPr>
            <w:tcW w:w="625" w:type="pct"/>
            <w:vAlign w:val="center"/>
          </w:tcPr>
          <w:p w14:paraId="136CC4C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0.214</w:t>
            </w:r>
          </w:p>
        </w:tc>
      </w:tr>
    </w:tbl>
    <w:p w14:paraId="15D5C550">
      <w:pPr>
        <w:rPr>
          <w:rFonts w:ascii="Times New Roman" w:hAnsi="Times New Roman" w:eastAsia="宋体" w:cs="Times New Roman"/>
          <w:bCs/>
          <w:color w:val="auto"/>
          <w:sz w:val="18"/>
          <w:szCs w:val="18"/>
          <w:lang w:bidi="ar"/>
        </w:rPr>
      </w:pPr>
      <w:r>
        <w:rPr>
          <w:rFonts w:hint="eastAsia" w:ascii="Times New Roman" w:hAnsi="Times New Roman" w:eastAsia="宋体" w:cs="Times New Roman"/>
          <w:b/>
          <w:color w:val="auto"/>
          <w:sz w:val="18"/>
          <w:szCs w:val="18"/>
          <w:lang w:bidi="ar"/>
        </w:rPr>
        <w:t xml:space="preserve">Abbreviations: </w:t>
      </w:r>
      <w:r>
        <w:rPr>
          <w:rFonts w:ascii="Times New Roman" w:hAnsi="Times New Roman" w:eastAsia="宋体" w:cs="Times New Roman"/>
          <w:bCs/>
          <w:color w:val="auto"/>
          <w:sz w:val="18"/>
          <w:szCs w:val="18"/>
          <w:lang w:bidi="ar"/>
        </w:rPr>
        <w:t>SOFA, Sequential Organ Failure Assessment; OR, odds ratio; CI, confidence interval; ICU, intensive care unit.</w:t>
      </w:r>
    </w:p>
    <w:p w14:paraId="44FF5AA4">
      <w:pPr>
        <w:rPr>
          <w:rFonts w:ascii="Times New Roman" w:hAnsi="Times New Roman" w:eastAsia="宋体" w:cs="Times New Roman"/>
          <w:bCs/>
          <w:color w:val="auto"/>
          <w:sz w:val="18"/>
          <w:szCs w:val="18"/>
          <w:lang w:bidi="ar"/>
        </w:rPr>
      </w:pPr>
      <w:r>
        <w:rPr>
          <w:rFonts w:ascii="Times New Roman Bold" w:hAnsi="Times New Roman Bold" w:eastAsia="宋体" w:cs="Times New Roman Bold"/>
          <w:b/>
          <w:color w:val="auto"/>
          <w:sz w:val="18"/>
          <w:szCs w:val="18"/>
          <w:lang w:bidi="ar"/>
        </w:rPr>
        <w:t xml:space="preserve">Notes: </w:t>
      </w:r>
      <w:r>
        <w:rPr>
          <w:rFonts w:ascii="Times New Roman" w:hAnsi="Times New Roman" w:eastAsia="宋体" w:cs="Times New Roman"/>
          <w:bCs/>
          <w:color w:val="auto"/>
          <w:sz w:val="18"/>
          <w:szCs w:val="18"/>
          <w:lang w:bidi="ar"/>
        </w:rPr>
        <w:t xml:space="preserve">ORs represent the change in odds of ICU mortality per 1-point increase in the corresponding SOFA score. Model A was adjusted for age and sex. Model B was further adjusted for documented sepsis and baseline comorbidities, including cardiovascular disease, diabetes, neurological disease, chronic kidney disease, chronic obstructive pulmonary disease, malignancy, and liver disease. </w:t>
      </w:r>
      <w:r>
        <w:rPr>
          <w:rFonts w:hint="eastAsia" w:ascii="Times New Roman" w:hAnsi="Times New Roman" w:eastAsia="宋体" w:cs="Times New Roman"/>
          <w:bCs/>
          <w:color w:val="auto"/>
          <w:sz w:val="18"/>
          <w:szCs w:val="18"/>
          <w:lang w:bidi="ar"/>
        </w:rPr>
        <w:t xml:space="preserve">Model C was further adjusted for white blood cell count, hemoglobin, blood glucose, and heart rate; the corresponding units were ×10⁹/L, g/dL, mg/dL, and beats/min, respectively. </w:t>
      </w:r>
      <w:r>
        <w:rPr>
          <w:rFonts w:ascii="Times New Roman" w:hAnsi="Times New Roman" w:eastAsia="宋体" w:cs="Times New Roman"/>
          <w:bCs/>
          <w:color w:val="auto"/>
          <w:sz w:val="18"/>
          <w:szCs w:val="18"/>
          <w:lang w:bidi="ar"/>
        </w:rPr>
        <w:t>P-values for C-index comparison indicate paired comparisons between SOFA-1 and SOFA-2 within the same cohort, model, and score domain.</w:t>
      </w:r>
    </w:p>
    <w:p w14:paraId="1345117C">
      <w:pPr>
        <w:rPr>
          <w:rFonts w:ascii="Times New Roman" w:hAnsi="Times New Roman" w:eastAsia="宋体" w:cs="Times New Roman"/>
          <w:bCs/>
          <w:color w:val="auto"/>
          <w:szCs w:val="21"/>
          <w:lang w:bidi="ar"/>
        </w:rPr>
        <w:sectPr>
          <w:pgSz w:w="16838" w:h="11906" w:orient="landscape"/>
          <w:pgMar w:top="1797" w:right="1440" w:bottom="1797" w:left="1440" w:header="851" w:footer="992" w:gutter="0"/>
          <w:cols w:space="425" w:num="1"/>
          <w:docGrid w:type="lines" w:linePitch="312" w:charSpace="0"/>
        </w:sectPr>
      </w:pPr>
    </w:p>
    <w:p w14:paraId="5BBC7599">
      <w:pPr>
        <w:rPr>
          <w:rFonts w:ascii="Times New Roman" w:hAnsi="Times New Roman" w:eastAsia="宋体" w:cs="Times New Roman"/>
          <w:bCs/>
          <w:color w:val="auto"/>
          <w:szCs w:val="21"/>
          <w:lang w:bidi="ar"/>
        </w:rPr>
      </w:pPr>
      <w:r>
        <w:rPr>
          <w:rFonts w:hint="eastAsia" w:ascii="Times New Roman" w:hAnsi="Times New Roman" w:eastAsia="宋体" w:cs="Times New Roman"/>
          <w:b/>
          <w:color w:val="auto"/>
          <w:szCs w:val="21"/>
          <w:lang w:bidi="ar"/>
        </w:rPr>
        <w:t>eTable 4.</w:t>
      </w:r>
      <w:r>
        <w:rPr>
          <w:color w:val="auto"/>
        </w:rPr>
        <w:t xml:space="preserve"> </w:t>
      </w:r>
      <w:r>
        <w:rPr>
          <w:rFonts w:hint="eastAsia" w:ascii="Times New Roman" w:hAnsi="Times New Roman" w:eastAsia="宋体" w:cs="Times New Roman"/>
          <w:b/>
          <w:color w:val="auto"/>
          <w:szCs w:val="21"/>
          <w:lang w:bidi="ar"/>
        </w:rPr>
        <w:t>Full m</w:t>
      </w:r>
      <w:r>
        <w:rPr>
          <w:rFonts w:ascii="Times New Roman" w:hAnsi="Times New Roman" w:eastAsia="宋体" w:cs="Times New Roman"/>
          <w:b/>
          <w:color w:val="auto"/>
          <w:szCs w:val="21"/>
          <w:lang w:bidi="ar"/>
        </w:rPr>
        <w:t>odel C covariate estimates for</w:t>
      </w:r>
      <w:r>
        <w:rPr>
          <w:rFonts w:hint="eastAsia" w:ascii="Times New Roman" w:hAnsi="Times New Roman" w:eastAsia="宋体" w:cs="Times New Roman"/>
          <w:b/>
          <w:color w:val="auto"/>
          <w:szCs w:val="21"/>
          <w:lang w:bidi="ar"/>
        </w:rPr>
        <w:t xml:space="preserve"> </w:t>
      </w:r>
      <w:r>
        <w:rPr>
          <w:rFonts w:ascii="Times New Roman" w:hAnsi="Times New Roman" w:eastAsia="宋体" w:cs="Times New Roman"/>
          <w:b/>
          <w:color w:val="auto"/>
          <w:szCs w:val="21"/>
          <w:lang w:bidi="ar"/>
        </w:rPr>
        <w:t>ICU mortality, presented as odds ratios with 95% confidence intervals.</w:t>
      </w:r>
    </w:p>
    <w:tbl>
      <w:tblPr>
        <w:tblStyle w:val="1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5"/>
        <w:gridCol w:w="1705"/>
        <w:gridCol w:w="1706"/>
        <w:gridCol w:w="1706"/>
        <w:gridCol w:w="1706"/>
      </w:tblGrid>
      <w:tr w14:paraId="126A22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Borders>
              <w:bottom w:val="single" w:color="auto" w:sz="4" w:space="0"/>
            </w:tcBorders>
          </w:tcPr>
          <w:p w14:paraId="67F84738">
            <w:pPr>
              <w:spacing w:before="80" w:after="160"/>
              <w:rPr>
                <w:rFonts w:ascii="Times New Roman Regular" w:hAnsi="Times New Roman Regular" w:cs="Times New Roman Regular"/>
                <w:color w:val="auto"/>
                <w:sz w:val="18"/>
                <w:szCs w:val="18"/>
              </w:rPr>
            </w:pPr>
            <w:r>
              <w:rPr>
                <w:rFonts w:ascii="Times New Roman Regular" w:hAnsi="Times New Roman Regular" w:cs="Times New Roman Regular"/>
                <w:b/>
                <w:bCs/>
                <w:color w:val="auto"/>
                <w:sz w:val="18"/>
                <w:szCs w:val="18"/>
              </w:rPr>
              <w:t>Covariate</w:t>
            </w:r>
          </w:p>
        </w:tc>
        <w:tc>
          <w:tcPr>
            <w:tcW w:w="1705" w:type="dxa"/>
            <w:tcBorders>
              <w:bottom w:val="single" w:color="auto" w:sz="4" w:space="0"/>
            </w:tcBorders>
          </w:tcPr>
          <w:p w14:paraId="3AD12AFA">
            <w:pPr>
              <w:spacing w:before="80" w:after="160"/>
              <w:rPr>
                <w:rFonts w:ascii="Times New Roman Regular" w:hAnsi="Times New Roman Regular" w:cs="Times New Roman Regular"/>
                <w:color w:val="auto"/>
                <w:sz w:val="18"/>
                <w:szCs w:val="18"/>
              </w:rPr>
            </w:pPr>
            <w:r>
              <w:rPr>
                <w:rFonts w:ascii="Times New Roman Regular" w:hAnsi="Times New Roman Regular" w:cs="Times New Roman Regular"/>
                <w:b/>
                <w:bCs/>
                <w:color w:val="auto"/>
                <w:sz w:val="18"/>
                <w:szCs w:val="18"/>
              </w:rPr>
              <w:t>MIMIC-IV SOFA-1 model</w:t>
            </w:r>
          </w:p>
        </w:tc>
        <w:tc>
          <w:tcPr>
            <w:tcW w:w="1706" w:type="dxa"/>
            <w:tcBorders>
              <w:bottom w:val="single" w:color="auto" w:sz="4" w:space="0"/>
            </w:tcBorders>
          </w:tcPr>
          <w:p w14:paraId="056A876D">
            <w:pPr>
              <w:spacing w:before="80" w:after="160"/>
              <w:rPr>
                <w:rFonts w:ascii="Times New Roman Regular" w:hAnsi="Times New Roman Regular" w:cs="Times New Roman Regular"/>
                <w:color w:val="auto"/>
                <w:sz w:val="18"/>
                <w:szCs w:val="18"/>
              </w:rPr>
            </w:pPr>
            <w:r>
              <w:rPr>
                <w:rFonts w:ascii="Times New Roman Regular" w:hAnsi="Times New Roman Regular" w:cs="Times New Roman Regular"/>
                <w:b/>
                <w:bCs/>
                <w:color w:val="auto"/>
                <w:sz w:val="18"/>
                <w:szCs w:val="18"/>
              </w:rPr>
              <w:t>MIMIC-IV SOFA-2 model</w:t>
            </w:r>
          </w:p>
        </w:tc>
        <w:tc>
          <w:tcPr>
            <w:tcW w:w="1706" w:type="dxa"/>
            <w:tcBorders>
              <w:bottom w:val="single" w:color="auto" w:sz="4" w:space="0"/>
            </w:tcBorders>
          </w:tcPr>
          <w:p w14:paraId="62DA0277">
            <w:pPr>
              <w:spacing w:before="80" w:after="160"/>
              <w:rPr>
                <w:rFonts w:ascii="Times New Roman Regular" w:hAnsi="Times New Roman Regular" w:cs="Times New Roman Regular"/>
                <w:color w:val="auto"/>
                <w:sz w:val="18"/>
                <w:szCs w:val="18"/>
              </w:rPr>
            </w:pPr>
            <w:r>
              <w:rPr>
                <w:rFonts w:ascii="Times New Roman Regular" w:hAnsi="Times New Roman Regular" w:cs="Times New Roman Regular"/>
                <w:b/>
                <w:bCs/>
                <w:color w:val="auto"/>
                <w:sz w:val="18"/>
                <w:szCs w:val="18"/>
              </w:rPr>
              <w:t>eICU-CRD SOFA-1 model</w:t>
            </w:r>
          </w:p>
        </w:tc>
        <w:tc>
          <w:tcPr>
            <w:tcW w:w="1706" w:type="dxa"/>
            <w:tcBorders>
              <w:bottom w:val="single" w:color="auto" w:sz="4" w:space="0"/>
            </w:tcBorders>
          </w:tcPr>
          <w:p w14:paraId="609D6CF7">
            <w:pPr>
              <w:spacing w:before="80" w:after="160"/>
              <w:rPr>
                <w:rFonts w:ascii="Times New Roman Regular" w:hAnsi="Times New Roman Regular" w:cs="Times New Roman Regular"/>
                <w:color w:val="auto"/>
                <w:sz w:val="18"/>
                <w:szCs w:val="18"/>
              </w:rPr>
            </w:pPr>
            <w:r>
              <w:rPr>
                <w:rFonts w:ascii="Times New Roman Regular" w:hAnsi="Times New Roman Regular" w:cs="Times New Roman Regular"/>
                <w:b/>
                <w:bCs/>
                <w:color w:val="auto"/>
                <w:sz w:val="18"/>
                <w:szCs w:val="18"/>
              </w:rPr>
              <w:t>eICU-CRD SOFA-2 model</w:t>
            </w:r>
          </w:p>
        </w:tc>
      </w:tr>
      <w:tr w14:paraId="047579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Borders>
              <w:top w:val="single" w:color="auto" w:sz="4" w:space="0"/>
            </w:tcBorders>
          </w:tcPr>
          <w:p w14:paraId="0CB9D853">
            <w:pPr>
              <w:spacing w:before="80" w:after="160"/>
              <w:rPr>
                <w:rFonts w:ascii="Times New Roman" w:hAnsi="Times New Roman"/>
                <w:color w:val="auto"/>
                <w:sz w:val="18"/>
                <w:szCs w:val="18"/>
              </w:rPr>
            </w:pPr>
            <w:r>
              <w:rPr>
                <w:rFonts w:ascii="Times New Roman" w:hAnsi="Times New Roman"/>
                <w:color w:val="auto"/>
                <w:sz w:val="18"/>
                <w:szCs w:val="18"/>
              </w:rPr>
              <w:t>Total SOFA score</w:t>
            </w:r>
          </w:p>
        </w:tc>
        <w:tc>
          <w:tcPr>
            <w:tcW w:w="1705" w:type="dxa"/>
            <w:tcBorders>
              <w:top w:val="single" w:color="auto" w:sz="4" w:space="0"/>
            </w:tcBorders>
          </w:tcPr>
          <w:p w14:paraId="50ACA37F">
            <w:pPr>
              <w:spacing w:before="80" w:after="160"/>
              <w:rPr>
                <w:rFonts w:ascii="Times New Roman" w:hAnsi="Times New Roman"/>
                <w:color w:val="auto"/>
                <w:sz w:val="18"/>
                <w:szCs w:val="18"/>
              </w:rPr>
            </w:pPr>
            <w:r>
              <w:rPr>
                <w:rFonts w:ascii="Times New Roman" w:hAnsi="Times New Roman"/>
                <w:color w:val="auto"/>
                <w:sz w:val="18"/>
                <w:szCs w:val="18"/>
              </w:rPr>
              <w:t>1.29 (1.27-1.31); &lt;0.001</w:t>
            </w:r>
          </w:p>
        </w:tc>
        <w:tc>
          <w:tcPr>
            <w:tcW w:w="1706" w:type="dxa"/>
            <w:tcBorders>
              <w:top w:val="single" w:color="auto" w:sz="4" w:space="0"/>
            </w:tcBorders>
          </w:tcPr>
          <w:p w14:paraId="0A091396">
            <w:pPr>
              <w:spacing w:before="80" w:after="160"/>
              <w:rPr>
                <w:rFonts w:ascii="Times New Roman" w:hAnsi="Times New Roman"/>
                <w:color w:val="auto"/>
                <w:sz w:val="18"/>
                <w:szCs w:val="18"/>
              </w:rPr>
            </w:pPr>
            <w:r>
              <w:rPr>
                <w:rFonts w:ascii="Times New Roman" w:hAnsi="Times New Roman"/>
                <w:color w:val="auto"/>
                <w:sz w:val="18"/>
                <w:szCs w:val="18"/>
              </w:rPr>
              <w:t>1.31 (1.29-1.33); &lt;0.001</w:t>
            </w:r>
          </w:p>
        </w:tc>
        <w:tc>
          <w:tcPr>
            <w:tcW w:w="1706" w:type="dxa"/>
            <w:tcBorders>
              <w:top w:val="single" w:color="auto" w:sz="4" w:space="0"/>
            </w:tcBorders>
          </w:tcPr>
          <w:p w14:paraId="194109CE">
            <w:pPr>
              <w:spacing w:before="80" w:after="160"/>
              <w:rPr>
                <w:rFonts w:ascii="Times New Roman" w:hAnsi="Times New Roman"/>
                <w:color w:val="auto"/>
                <w:sz w:val="18"/>
                <w:szCs w:val="18"/>
              </w:rPr>
            </w:pPr>
            <w:r>
              <w:rPr>
                <w:rFonts w:ascii="Times New Roman" w:hAnsi="Times New Roman"/>
                <w:color w:val="auto"/>
                <w:sz w:val="18"/>
                <w:szCs w:val="18"/>
              </w:rPr>
              <w:t>1.25 (1.24-1.26); &lt;0.001</w:t>
            </w:r>
          </w:p>
        </w:tc>
        <w:tc>
          <w:tcPr>
            <w:tcW w:w="1706" w:type="dxa"/>
            <w:tcBorders>
              <w:top w:val="single" w:color="auto" w:sz="4" w:space="0"/>
            </w:tcBorders>
          </w:tcPr>
          <w:p w14:paraId="6F21F308">
            <w:pPr>
              <w:spacing w:before="80" w:after="160"/>
              <w:rPr>
                <w:rFonts w:ascii="Times New Roman" w:hAnsi="Times New Roman"/>
                <w:color w:val="auto"/>
                <w:sz w:val="18"/>
                <w:szCs w:val="18"/>
              </w:rPr>
            </w:pPr>
            <w:r>
              <w:rPr>
                <w:rFonts w:ascii="Times New Roman" w:hAnsi="Times New Roman"/>
                <w:color w:val="auto"/>
                <w:sz w:val="18"/>
                <w:szCs w:val="18"/>
              </w:rPr>
              <w:t>1.27 (1.25-1.28); &lt;0.001</w:t>
            </w:r>
          </w:p>
        </w:tc>
      </w:tr>
      <w:tr w14:paraId="4C16DE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29D1B63C">
            <w:pPr>
              <w:spacing w:before="80" w:after="160"/>
              <w:rPr>
                <w:rFonts w:ascii="Times New Roman" w:hAnsi="Times New Roman"/>
                <w:color w:val="auto"/>
                <w:sz w:val="18"/>
                <w:szCs w:val="18"/>
              </w:rPr>
            </w:pPr>
            <w:r>
              <w:rPr>
                <w:rFonts w:ascii="Times New Roman" w:hAnsi="Times New Roman"/>
                <w:color w:val="auto"/>
                <w:sz w:val="18"/>
                <w:szCs w:val="18"/>
              </w:rPr>
              <w:t>Age</w:t>
            </w:r>
          </w:p>
        </w:tc>
        <w:tc>
          <w:tcPr>
            <w:tcW w:w="1705" w:type="dxa"/>
          </w:tcPr>
          <w:p w14:paraId="6D48DB2F">
            <w:pPr>
              <w:spacing w:before="80" w:after="160"/>
              <w:rPr>
                <w:rFonts w:ascii="Times New Roman" w:hAnsi="Times New Roman"/>
                <w:color w:val="auto"/>
                <w:sz w:val="18"/>
                <w:szCs w:val="18"/>
              </w:rPr>
            </w:pPr>
            <w:r>
              <w:rPr>
                <w:rFonts w:ascii="Times New Roman" w:hAnsi="Times New Roman"/>
                <w:color w:val="auto"/>
                <w:sz w:val="18"/>
                <w:szCs w:val="18"/>
              </w:rPr>
              <w:t>1.03 (1.02-1.04); &lt;0.001</w:t>
            </w:r>
          </w:p>
        </w:tc>
        <w:tc>
          <w:tcPr>
            <w:tcW w:w="1706" w:type="dxa"/>
          </w:tcPr>
          <w:p w14:paraId="1F0D8D8B">
            <w:pPr>
              <w:spacing w:before="80" w:after="160"/>
              <w:rPr>
                <w:rFonts w:ascii="Times New Roman" w:hAnsi="Times New Roman"/>
                <w:color w:val="auto"/>
                <w:sz w:val="18"/>
                <w:szCs w:val="18"/>
              </w:rPr>
            </w:pPr>
            <w:r>
              <w:rPr>
                <w:rFonts w:ascii="Times New Roman" w:hAnsi="Times New Roman"/>
                <w:color w:val="auto"/>
                <w:sz w:val="18"/>
                <w:szCs w:val="18"/>
              </w:rPr>
              <w:t>1.03 (1.02-1.04); &lt;0.001</w:t>
            </w:r>
          </w:p>
        </w:tc>
        <w:tc>
          <w:tcPr>
            <w:tcW w:w="1706" w:type="dxa"/>
          </w:tcPr>
          <w:p w14:paraId="65FBBD86">
            <w:pPr>
              <w:spacing w:before="80" w:after="160"/>
              <w:rPr>
                <w:rFonts w:ascii="Times New Roman" w:hAnsi="Times New Roman"/>
                <w:color w:val="auto"/>
                <w:sz w:val="18"/>
                <w:szCs w:val="18"/>
              </w:rPr>
            </w:pPr>
            <w:r>
              <w:rPr>
                <w:rFonts w:ascii="Times New Roman" w:hAnsi="Times New Roman"/>
                <w:color w:val="auto"/>
                <w:sz w:val="18"/>
                <w:szCs w:val="18"/>
              </w:rPr>
              <w:t>1.02 (1.01-1.03); &lt;0.001</w:t>
            </w:r>
          </w:p>
        </w:tc>
        <w:tc>
          <w:tcPr>
            <w:tcW w:w="1706" w:type="dxa"/>
          </w:tcPr>
          <w:p w14:paraId="05A2A815">
            <w:pPr>
              <w:spacing w:before="80" w:after="160"/>
              <w:rPr>
                <w:rFonts w:ascii="Times New Roman" w:hAnsi="Times New Roman"/>
                <w:color w:val="auto"/>
                <w:sz w:val="18"/>
                <w:szCs w:val="18"/>
              </w:rPr>
            </w:pPr>
            <w:r>
              <w:rPr>
                <w:rFonts w:ascii="Times New Roman" w:hAnsi="Times New Roman"/>
                <w:color w:val="auto"/>
                <w:sz w:val="18"/>
                <w:szCs w:val="18"/>
              </w:rPr>
              <w:t>1.02 (1.02-1.03); &lt;0.001</w:t>
            </w:r>
          </w:p>
        </w:tc>
      </w:tr>
      <w:tr w14:paraId="5910EE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245F1F23">
            <w:pPr>
              <w:spacing w:before="80" w:after="160"/>
              <w:rPr>
                <w:rFonts w:ascii="Times New Roman" w:hAnsi="Times New Roman"/>
                <w:color w:val="auto"/>
                <w:sz w:val="18"/>
                <w:szCs w:val="18"/>
              </w:rPr>
            </w:pPr>
            <w:r>
              <w:rPr>
                <w:rFonts w:ascii="Times New Roman" w:hAnsi="Times New Roman"/>
                <w:color w:val="auto"/>
                <w:sz w:val="18"/>
                <w:szCs w:val="18"/>
              </w:rPr>
              <w:t>Male sex</w:t>
            </w:r>
          </w:p>
        </w:tc>
        <w:tc>
          <w:tcPr>
            <w:tcW w:w="1705" w:type="dxa"/>
          </w:tcPr>
          <w:p w14:paraId="703A5602">
            <w:pPr>
              <w:spacing w:before="80" w:after="160"/>
              <w:rPr>
                <w:rFonts w:ascii="Times New Roman" w:hAnsi="Times New Roman"/>
                <w:color w:val="auto"/>
                <w:sz w:val="18"/>
                <w:szCs w:val="18"/>
              </w:rPr>
            </w:pPr>
            <w:r>
              <w:rPr>
                <w:rFonts w:ascii="Times New Roman" w:hAnsi="Times New Roman"/>
                <w:color w:val="auto"/>
                <w:sz w:val="18"/>
                <w:szCs w:val="18"/>
              </w:rPr>
              <w:t>0.79 (0.71-0.87); &lt;0.001</w:t>
            </w:r>
          </w:p>
        </w:tc>
        <w:tc>
          <w:tcPr>
            <w:tcW w:w="1706" w:type="dxa"/>
          </w:tcPr>
          <w:p w14:paraId="090271D5">
            <w:pPr>
              <w:spacing w:before="80" w:after="160"/>
              <w:rPr>
                <w:rFonts w:ascii="Times New Roman" w:hAnsi="Times New Roman"/>
                <w:color w:val="auto"/>
                <w:sz w:val="18"/>
                <w:szCs w:val="18"/>
              </w:rPr>
            </w:pPr>
            <w:r>
              <w:rPr>
                <w:rFonts w:ascii="Times New Roman" w:hAnsi="Times New Roman"/>
                <w:color w:val="auto"/>
                <w:sz w:val="18"/>
                <w:szCs w:val="18"/>
              </w:rPr>
              <w:t>0.79 (0.71-0.87); &lt;0.001</w:t>
            </w:r>
          </w:p>
        </w:tc>
        <w:tc>
          <w:tcPr>
            <w:tcW w:w="1706" w:type="dxa"/>
          </w:tcPr>
          <w:p w14:paraId="3DD5A975">
            <w:pPr>
              <w:spacing w:before="80" w:after="160"/>
              <w:rPr>
                <w:rFonts w:ascii="Times New Roman" w:hAnsi="Times New Roman"/>
                <w:color w:val="auto"/>
                <w:sz w:val="18"/>
                <w:szCs w:val="18"/>
              </w:rPr>
            </w:pPr>
            <w:r>
              <w:rPr>
                <w:rFonts w:ascii="Times New Roman" w:hAnsi="Times New Roman"/>
                <w:color w:val="auto"/>
                <w:sz w:val="18"/>
                <w:szCs w:val="18"/>
              </w:rPr>
              <w:t>0.94 (0.87-1.02); 0.116</w:t>
            </w:r>
          </w:p>
        </w:tc>
        <w:tc>
          <w:tcPr>
            <w:tcW w:w="1706" w:type="dxa"/>
          </w:tcPr>
          <w:p w14:paraId="48D2C65E">
            <w:pPr>
              <w:spacing w:before="80" w:after="160"/>
              <w:rPr>
                <w:rFonts w:ascii="Times New Roman" w:hAnsi="Times New Roman"/>
                <w:color w:val="auto"/>
                <w:sz w:val="18"/>
                <w:szCs w:val="18"/>
              </w:rPr>
            </w:pPr>
            <w:r>
              <w:rPr>
                <w:rFonts w:ascii="Times New Roman" w:hAnsi="Times New Roman"/>
                <w:color w:val="auto"/>
                <w:sz w:val="18"/>
                <w:szCs w:val="18"/>
              </w:rPr>
              <w:t>0.93 (0.86-1.00); 0.048</w:t>
            </w:r>
          </w:p>
        </w:tc>
      </w:tr>
      <w:tr w14:paraId="563F37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7993A863">
            <w:pPr>
              <w:spacing w:before="80" w:after="160"/>
              <w:rPr>
                <w:rFonts w:ascii="Times New Roman" w:hAnsi="Times New Roman"/>
                <w:color w:val="auto"/>
                <w:sz w:val="18"/>
                <w:szCs w:val="18"/>
              </w:rPr>
            </w:pPr>
            <w:r>
              <w:rPr>
                <w:rFonts w:ascii="Times New Roman" w:hAnsi="Times New Roman"/>
                <w:color w:val="auto"/>
                <w:sz w:val="18"/>
                <w:szCs w:val="18"/>
              </w:rPr>
              <w:t>Documented sepsis</w:t>
            </w:r>
          </w:p>
        </w:tc>
        <w:tc>
          <w:tcPr>
            <w:tcW w:w="1705" w:type="dxa"/>
          </w:tcPr>
          <w:p w14:paraId="30AFCDAF">
            <w:pPr>
              <w:spacing w:before="80" w:after="160"/>
              <w:rPr>
                <w:rFonts w:ascii="Times New Roman" w:hAnsi="Times New Roman"/>
                <w:color w:val="auto"/>
                <w:sz w:val="18"/>
                <w:szCs w:val="18"/>
              </w:rPr>
            </w:pPr>
            <w:r>
              <w:rPr>
                <w:rFonts w:ascii="Times New Roman" w:hAnsi="Times New Roman"/>
                <w:color w:val="auto"/>
                <w:sz w:val="18"/>
                <w:szCs w:val="18"/>
              </w:rPr>
              <w:t>2.02 (1.82-2.25); &lt;0.001</w:t>
            </w:r>
          </w:p>
        </w:tc>
        <w:tc>
          <w:tcPr>
            <w:tcW w:w="1706" w:type="dxa"/>
          </w:tcPr>
          <w:p w14:paraId="637285D1">
            <w:pPr>
              <w:spacing w:before="80" w:after="160"/>
              <w:rPr>
                <w:rFonts w:ascii="Times New Roman" w:hAnsi="Times New Roman"/>
                <w:color w:val="auto"/>
                <w:sz w:val="18"/>
                <w:szCs w:val="18"/>
              </w:rPr>
            </w:pPr>
            <w:r>
              <w:rPr>
                <w:rFonts w:ascii="Times New Roman" w:hAnsi="Times New Roman"/>
                <w:color w:val="auto"/>
                <w:sz w:val="18"/>
                <w:szCs w:val="18"/>
              </w:rPr>
              <w:t>2.09 (1.88-2.33); &lt;0.001</w:t>
            </w:r>
          </w:p>
        </w:tc>
        <w:tc>
          <w:tcPr>
            <w:tcW w:w="1706" w:type="dxa"/>
          </w:tcPr>
          <w:p w14:paraId="3B849B90">
            <w:pPr>
              <w:spacing w:before="80" w:after="160"/>
              <w:rPr>
                <w:rFonts w:ascii="Times New Roman" w:hAnsi="Times New Roman"/>
                <w:color w:val="auto"/>
                <w:sz w:val="18"/>
                <w:szCs w:val="18"/>
              </w:rPr>
            </w:pPr>
            <w:r>
              <w:rPr>
                <w:rFonts w:ascii="Times New Roman" w:hAnsi="Times New Roman"/>
                <w:color w:val="auto"/>
                <w:sz w:val="18"/>
                <w:szCs w:val="18"/>
              </w:rPr>
              <w:t>1.47 (1.35-1.60); &lt;0.001</w:t>
            </w:r>
          </w:p>
        </w:tc>
        <w:tc>
          <w:tcPr>
            <w:tcW w:w="1706" w:type="dxa"/>
          </w:tcPr>
          <w:p w14:paraId="6950A7B8">
            <w:pPr>
              <w:spacing w:before="80" w:after="160"/>
              <w:rPr>
                <w:rFonts w:ascii="Times New Roman" w:hAnsi="Times New Roman"/>
                <w:color w:val="auto"/>
                <w:sz w:val="18"/>
                <w:szCs w:val="18"/>
              </w:rPr>
            </w:pPr>
            <w:r>
              <w:rPr>
                <w:rFonts w:ascii="Times New Roman" w:hAnsi="Times New Roman"/>
                <w:color w:val="auto"/>
                <w:sz w:val="18"/>
                <w:szCs w:val="18"/>
              </w:rPr>
              <w:t>1.52 (1.40-1.66); &lt;0.001</w:t>
            </w:r>
          </w:p>
        </w:tc>
      </w:tr>
      <w:tr w14:paraId="5EEB8A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524D8EC4">
            <w:pPr>
              <w:spacing w:before="80" w:after="160"/>
              <w:rPr>
                <w:rFonts w:ascii="Times New Roman" w:hAnsi="Times New Roman"/>
                <w:color w:val="auto"/>
                <w:sz w:val="18"/>
                <w:szCs w:val="18"/>
              </w:rPr>
            </w:pPr>
            <w:r>
              <w:rPr>
                <w:rFonts w:ascii="Times New Roman" w:hAnsi="Times New Roman"/>
                <w:color w:val="auto"/>
                <w:sz w:val="18"/>
                <w:szCs w:val="18"/>
              </w:rPr>
              <w:t>Cardiovascular comorbidity</w:t>
            </w:r>
          </w:p>
        </w:tc>
        <w:tc>
          <w:tcPr>
            <w:tcW w:w="1705" w:type="dxa"/>
          </w:tcPr>
          <w:p w14:paraId="046ACB60">
            <w:pPr>
              <w:spacing w:before="80" w:after="160"/>
              <w:rPr>
                <w:rFonts w:ascii="Times New Roman" w:hAnsi="Times New Roman"/>
                <w:color w:val="auto"/>
                <w:sz w:val="18"/>
                <w:szCs w:val="18"/>
              </w:rPr>
            </w:pPr>
            <w:r>
              <w:rPr>
                <w:rFonts w:ascii="Times New Roman" w:hAnsi="Times New Roman"/>
                <w:color w:val="auto"/>
                <w:sz w:val="18"/>
                <w:szCs w:val="18"/>
              </w:rPr>
              <w:t>1.20 (1.08-1.33); &lt;0.001</w:t>
            </w:r>
          </w:p>
        </w:tc>
        <w:tc>
          <w:tcPr>
            <w:tcW w:w="1706" w:type="dxa"/>
          </w:tcPr>
          <w:p w14:paraId="1008D102">
            <w:pPr>
              <w:spacing w:before="80" w:after="160"/>
              <w:rPr>
                <w:rFonts w:ascii="Times New Roman" w:hAnsi="Times New Roman"/>
                <w:color w:val="auto"/>
                <w:sz w:val="18"/>
                <w:szCs w:val="18"/>
              </w:rPr>
            </w:pPr>
            <w:r>
              <w:rPr>
                <w:rFonts w:ascii="Times New Roman" w:hAnsi="Times New Roman"/>
                <w:color w:val="auto"/>
                <w:sz w:val="18"/>
                <w:szCs w:val="18"/>
              </w:rPr>
              <w:t>1.18 (1.06-1.30); 0.002</w:t>
            </w:r>
          </w:p>
        </w:tc>
        <w:tc>
          <w:tcPr>
            <w:tcW w:w="1706" w:type="dxa"/>
          </w:tcPr>
          <w:p w14:paraId="3D46F6DE">
            <w:pPr>
              <w:spacing w:before="80" w:after="160"/>
              <w:rPr>
                <w:rFonts w:ascii="Times New Roman" w:hAnsi="Times New Roman"/>
                <w:color w:val="auto"/>
                <w:sz w:val="18"/>
                <w:szCs w:val="18"/>
              </w:rPr>
            </w:pPr>
            <w:r>
              <w:rPr>
                <w:rFonts w:ascii="Times New Roman" w:hAnsi="Times New Roman"/>
                <w:color w:val="auto"/>
                <w:sz w:val="18"/>
                <w:szCs w:val="18"/>
              </w:rPr>
              <w:t>1.23 (1.13-1.33); &lt;0.001</w:t>
            </w:r>
          </w:p>
        </w:tc>
        <w:tc>
          <w:tcPr>
            <w:tcW w:w="1706" w:type="dxa"/>
          </w:tcPr>
          <w:p w14:paraId="667984E1">
            <w:pPr>
              <w:spacing w:before="80" w:after="160"/>
              <w:rPr>
                <w:rFonts w:ascii="Times New Roman" w:hAnsi="Times New Roman"/>
                <w:color w:val="auto"/>
                <w:sz w:val="18"/>
                <w:szCs w:val="18"/>
              </w:rPr>
            </w:pPr>
            <w:r>
              <w:rPr>
                <w:rFonts w:ascii="Times New Roman" w:hAnsi="Times New Roman"/>
                <w:color w:val="auto"/>
                <w:sz w:val="18"/>
                <w:szCs w:val="18"/>
              </w:rPr>
              <w:t>1.22 (1.13-1.32); &lt;0.001</w:t>
            </w:r>
          </w:p>
        </w:tc>
      </w:tr>
      <w:tr w14:paraId="59AD9E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0D30E7C7">
            <w:pPr>
              <w:spacing w:before="80" w:after="160"/>
              <w:rPr>
                <w:rFonts w:ascii="Times New Roman" w:hAnsi="Times New Roman"/>
                <w:color w:val="auto"/>
                <w:sz w:val="18"/>
                <w:szCs w:val="18"/>
              </w:rPr>
            </w:pPr>
            <w:r>
              <w:rPr>
                <w:rFonts w:ascii="Times New Roman" w:hAnsi="Times New Roman"/>
                <w:color w:val="auto"/>
                <w:sz w:val="18"/>
                <w:szCs w:val="18"/>
              </w:rPr>
              <w:t>Diabetes</w:t>
            </w:r>
          </w:p>
        </w:tc>
        <w:tc>
          <w:tcPr>
            <w:tcW w:w="1705" w:type="dxa"/>
          </w:tcPr>
          <w:p w14:paraId="283868C1">
            <w:pPr>
              <w:spacing w:before="80" w:after="160"/>
              <w:rPr>
                <w:rFonts w:ascii="Times New Roman" w:hAnsi="Times New Roman"/>
                <w:color w:val="auto"/>
                <w:sz w:val="18"/>
                <w:szCs w:val="18"/>
              </w:rPr>
            </w:pPr>
            <w:r>
              <w:rPr>
                <w:rFonts w:ascii="Times New Roman" w:hAnsi="Times New Roman"/>
                <w:color w:val="auto"/>
                <w:sz w:val="18"/>
                <w:szCs w:val="18"/>
              </w:rPr>
              <w:t>0.86 (0.77-0.96); 0.006</w:t>
            </w:r>
          </w:p>
        </w:tc>
        <w:tc>
          <w:tcPr>
            <w:tcW w:w="1706" w:type="dxa"/>
          </w:tcPr>
          <w:p w14:paraId="17177514">
            <w:pPr>
              <w:spacing w:before="80" w:after="160"/>
              <w:rPr>
                <w:rFonts w:ascii="Times New Roman" w:hAnsi="Times New Roman"/>
                <w:color w:val="auto"/>
                <w:sz w:val="18"/>
                <w:szCs w:val="18"/>
              </w:rPr>
            </w:pPr>
            <w:r>
              <w:rPr>
                <w:rFonts w:ascii="Times New Roman" w:hAnsi="Times New Roman"/>
                <w:color w:val="auto"/>
                <w:sz w:val="18"/>
                <w:szCs w:val="18"/>
              </w:rPr>
              <w:t>0.87 (0.78-0.97); 0.011</w:t>
            </w:r>
          </w:p>
        </w:tc>
        <w:tc>
          <w:tcPr>
            <w:tcW w:w="1706" w:type="dxa"/>
          </w:tcPr>
          <w:p w14:paraId="79F3463F">
            <w:pPr>
              <w:spacing w:before="80" w:after="160"/>
              <w:rPr>
                <w:rFonts w:ascii="Times New Roman" w:hAnsi="Times New Roman"/>
                <w:color w:val="auto"/>
                <w:sz w:val="18"/>
                <w:szCs w:val="18"/>
              </w:rPr>
            </w:pPr>
            <w:r>
              <w:rPr>
                <w:rFonts w:ascii="Times New Roman" w:hAnsi="Times New Roman"/>
                <w:color w:val="auto"/>
                <w:sz w:val="18"/>
                <w:szCs w:val="18"/>
              </w:rPr>
              <w:t>0.86 (0.79-0.94); &lt;0.001</w:t>
            </w:r>
          </w:p>
        </w:tc>
        <w:tc>
          <w:tcPr>
            <w:tcW w:w="1706" w:type="dxa"/>
          </w:tcPr>
          <w:p w14:paraId="04DAD1C1">
            <w:pPr>
              <w:spacing w:before="80" w:after="160"/>
              <w:rPr>
                <w:rFonts w:ascii="Times New Roman" w:hAnsi="Times New Roman"/>
                <w:color w:val="auto"/>
                <w:sz w:val="18"/>
                <w:szCs w:val="18"/>
              </w:rPr>
            </w:pPr>
            <w:r>
              <w:rPr>
                <w:rFonts w:ascii="Times New Roman" w:hAnsi="Times New Roman"/>
                <w:color w:val="auto"/>
                <w:sz w:val="18"/>
                <w:szCs w:val="18"/>
              </w:rPr>
              <w:t>0.86 (0.79-0.93); &lt;0.001</w:t>
            </w:r>
          </w:p>
        </w:tc>
      </w:tr>
      <w:tr w14:paraId="52B767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7497F043">
            <w:pPr>
              <w:spacing w:before="80" w:after="160"/>
              <w:rPr>
                <w:rFonts w:ascii="Times New Roman" w:hAnsi="Times New Roman"/>
                <w:color w:val="auto"/>
                <w:sz w:val="18"/>
                <w:szCs w:val="18"/>
              </w:rPr>
            </w:pPr>
            <w:r>
              <w:rPr>
                <w:rFonts w:ascii="Times New Roman" w:hAnsi="Times New Roman"/>
                <w:color w:val="auto"/>
                <w:sz w:val="18"/>
                <w:szCs w:val="18"/>
              </w:rPr>
              <w:t>Neurologic comorbidity</w:t>
            </w:r>
          </w:p>
        </w:tc>
        <w:tc>
          <w:tcPr>
            <w:tcW w:w="1705" w:type="dxa"/>
          </w:tcPr>
          <w:p w14:paraId="03E934DA">
            <w:pPr>
              <w:spacing w:before="80" w:after="160"/>
              <w:rPr>
                <w:rFonts w:ascii="Times New Roman" w:hAnsi="Times New Roman"/>
                <w:color w:val="auto"/>
                <w:sz w:val="18"/>
                <w:szCs w:val="18"/>
              </w:rPr>
            </w:pPr>
            <w:r>
              <w:rPr>
                <w:rFonts w:ascii="Times New Roman" w:hAnsi="Times New Roman"/>
                <w:color w:val="auto"/>
                <w:sz w:val="18"/>
                <w:szCs w:val="18"/>
              </w:rPr>
              <w:t>1.86 (1.66-2.07); &lt;0.001</w:t>
            </w:r>
          </w:p>
        </w:tc>
        <w:tc>
          <w:tcPr>
            <w:tcW w:w="1706" w:type="dxa"/>
          </w:tcPr>
          <w:p w14:paraId="249D4213">
            <w:pPr>
              <w:spacing w:before="80" w:after="160"/>
              <w:rPr>
                <w:rFonts w:ascii="Times New Roman" w:hAnsi="Times New Roman"/>
                <w:color w:val="auto"/>
                <w:sz w:val="18"/>
                <w:szCs w:val="18"/>
              </w:rPr>
            </w:pPr>
            <w:r>
              <w:rPr>
                <w:rFonts w:ascii="Times New Roman" w:hAnsi="Times New Roman"/>
                <w:color w:val="auto"/>
                <w:sz w:val="18"/>
                <w:szCs w:val="18"/>
              </w:rPr>
              <w:t>1.84 (1.65-2.06); &lt;0.001</w:t>
            </w:r>
          </w:p>
        </w:tc>
        <w:tc>
          <w:tcPr>
            <w:tcW w:w="1706" w:type="dxa"/>
          </w:tcPr>
          <w:p w14:paraId="3FFC9331">
            <w:pPr>
              <w:spacing w:before="80" w:after="160"/>
              <w:rPr>
                <w:rFonts w:ascii="Times New Roman" w:hAnsi="Times New Roman"/>
                <w:color w:val="auto"/>
                <w:sz w:val="18"/>
                <w:szCs w:val="18"/>
              </w:rPr>
            </w:pPr>
            <w:r>
              <w:rPr>
                <w:rFonts w:ascii="Times New Roman" w:hAnsi="Times New Roman"/>
                <w:color w:val="auto"/>
                <w:sz w:val="18"/>
                <w:szCs w:val="18"/>
              </w:rPr>
              <w:t>1.22 (1.12-1.34); &lt;0.001</w:t>
            </w:r>
          </w:p>
        </w:tc>
        <w:tc>
          <w:tcPr>
            <w:tcW w:w="1706" w:type="dxa"/>
          </w:tcPr>
          <w:p w14:paraId="57A792CB">
            <w:pPr>
              <w:spacing w:before="80" w:after="160"/>
              <w:rPr>
                <w:rFonts w:ascii="Times New Roman" w:hAnsi="Times New Roman"/>
                <w:color w:val="auto"/>
                <w:sz w:val="18"/>
                <w:szCs w:val="18"/>
              </w:rPr>
            </w:pPr>
            <w:r>
              <w:rPr>
                <w:rFonts w:ascii="Times New Roman" w:hAnsi="Times New Roman"/>
                <w:color w:val="auto"/>
                <w:sz w:val="18"/>
                <w:szCs w:val="18"/>
              </w:rPr>
              <w:t>1.25 (1.14-1.36); &lt;0.001</w:t>
            </w:r>
          </w:p>
        </w:tc>
      </w:tr>
      <w:tr w14:paraId="684A08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6104362B">
            <w:pPr>
              <w:spacing w:before="80" w:after="160"/>
              <w:rPr>
                <w:rFonts w:ascii="Times New Roman" w:hAnsi="Times New Roman"/>
                <w:color w:val="auto"/>
                <w:sz w:val="18"/>
                <w:szCs w:val="18"/>
              </w:rPr>
            </w:pPr>
            <w:r>
              <w:rPr>
                <w:rFonts w:ascii="Times New Roman" w:hAnsi="Times New Roman"/>
                <w:color w:val="auto"/>
                <w:sz w:val="18"/>
                <w:szCs w:val="18"/>
              </w:rPr>
              <w:t>Chronic kidney disease</w:t>
            </w:r>
          </w:p>
        </w:tc>
        <w:tc>
          <w:tcPr>
            <w:tcW w:w="1705" w:type="dxa"/>
          </w:tcPr>
          <w:p w14:paraId="799EE6FC">
            <w:pPr>
              <w:spacing w:before="80" w:after="160"/>
              <w:rPr>
                <w:rFonts w:ascii="Times New Roman" w:hAnsi="Times New Roman"/>
                <w:color w:val="auto"/>
                <w:sz w:val="18"/>
                <w:szCs w:val="18"/>
              </w:rPr>
            </w:pPr>
            <w:r>
              <w:rPr>
                <w:rFonts w:ascii="Times New Roman" w:hAnsi="Times New Roman"/>
                <w:color w:val="auto"/>
                <w:sz w:val="18"/>
                <w:szCs w:val="18"/>
              </w:rPr>
              <w:t>0.99 (0.88-1.10); 0.798</w:t>
            </w:r>
          </w:p>
        </w:tc>
        <w:tc>
          <w:tcPr>
            <w:tcW w:w="1706" w:type="dxa"/>
          </w:tcPr>
          <w:p w14:paraId="601049CE">
            <w:pPr>
              <w:spacing w:before="80" w:after="160"/>
              <w:rPr>
                <w:rFonts w:ascii="Times New Roman" w:hAnsi="Times New Roman"/>
                <w:color w:val="auto"/>
                <w:sz w:val="18"/>
                <w:szCs w:val="18"/>
              </w:rPr>
            </w:pPr>
            <w:r>
              <w:rPr>
                <w:rFonts w:ascii="Times New Roman" w:hAnsi="Times New Roman"/>
                <w:color w:val="auto"/>
                <w:sz w:val="18"/>
                <w:szCs w:val="18"/>
              </w:rPr>
              <w:t>1.01 (0.90-1.13); 0.893</w:t>
            </w:r>
          </w:p>
        </w:tc>
        <w:tc>
          <w:tcPr>
            <w:tcW w:w="1706" w:type="dxa"/>
          </w:tcPr>
          <w:p w14:paraId="6BEC5234">
            <w:pPr>
              <w:spacing w:before="80" w:after="160"/>
              <w:rPr>
                <w:rFonts w:ascii="Times New Roman" w:hAnsi="Times New Roman"/>
                <w:color w:val="auto"/>
                <w:sz w:val="18"/>
                <w:szCs w:val="18"/>
              </w:rPr>
            </w:pPr>
            <w:r>
              <w:rPr>
                <w:rFonts w:ascii="Times New Roman" w:hAnsi="Times New Roman"/>
                <w:color w:val="auto"/>
                <w:sz w:val="18"/>
                <w:szCs w:val="18"/>
              </w:rPr>
              <w:t>1.02 (0.93-1.12); 0.648</w:t>
            </w:r>
          </w:p>
        </w:tc>
        <w:tc>
          <w:tcPr>
            <w:tcW w:w="1706" w:type="dxa"/>
          </w:tcPr>
          <w:p w14:paraId="641A8415">
            <w:pPr>
              <w:spacing w:before="80" w:after="160"/>
              <w:rPr>
                <w:rFonts w:ascii="Times New Roman" w:hAnsi="Times New Roman"/>
                <w:color w:val="auto"/>
                <w:sz w:val="18"/>
                <w:szCs w:val="18"/>
              </w:rPr>
            </w:pPr>
            <w:r>
              <w:rPr>
                <w:rFonts w:ascii="Times New Roman" w:hAnsi="Times New Roman"/>
                <w:color w:val="auto"/>
                <w:sz w:val="18"/>
                <w:szCs w:val="18"/>
              </w:rPr>
              <w:t>1.00 (0.92-1.10); 0.961</w:t>
            </w:r>
          </w:p>
        </w:tc>
      </w:tr>
      <w:tr w14:paraId="1C86CB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7B3E6F89">
            <w:pPr>
              <w:spacing w:before="80" w:after="160"/>
              <w:rPr>
                <w:rFonts w:ascii="Times New Roman" w:hAnsi="Times New Roman"/>
                <w:color w:val="auto"/>
                <w:sz w:val="18"/>
                <w:szCs w:val="18"/>
              </w:rPr>
            </w:pPr>
            <w:r>
              <w:rPr>
                <w:rFonts w:ascii="Times New Roman" w:hAnsi="Times New Roman"/>
                <w:color w:val="auto"/>
                <w:sz w:val="18"/>
                <w:szCs w:val="18"/>
              </w:rPr>
              <w:t>COPD</w:t>
            </w:r>
          </w:p>
        </w:tc>
        <w:tc>
          <w:tcPr>
            <w:tcW w:w="1705" w:type="dxa"/>
          </w:tcPr>
          <w:p w14:paraId="2549C70B">
            <w:pPr>
              <w:spacing w:before="80" w:after="160"/>
              <w:rPr>
                <w:rFonts w:ascii="Times New Roman" w:hAnsi="Times New Roman"/>
                <w:color w:val="auto"/>
                <w:sz w:val="18"/>
                <w:szCs w:val="18"/>
              </w:rPr>
            </w:pPr>
            <w:r>
              <w:rPr>
                <w:rFonts w:ascii="Times New Roman" w:hAnsi="Times New Roman"/>
                <w:color w:val="auto"/>
                <w:sz w:val="18"/>
                <w:szCs w:val="18"/>
              </w:rPr>
              <w:t>1.32 (1.18-1.47); &lt;0.001</w:t>
            </w:r>
          </w:p>
        </w:tc>
        <w:tc>
          <w:tcPr>
            <w:tcW w:w="1706" w:type="dxa"/>
          </w:tcPr>
          <w:p w14:paraId="1A65B69B">
            <w:pPr>
              <w:spacing w:before="80" w:after="160"/>
              <w:rPr>
                <w:rFonts w:ascii="Times New Roman" w:hAnsi="Times New Roman"/>
                <w:color w:val="auto"/>
                <w:sz w:val="18"/>
                <w:szCs w:val="18"/>
              </w:rPr>
            </w:pPr>
            <w:r>
              <w:rPr>
                <w:rFonts w:ascii="Times New Roman" w:hAnsi="Times New Roman"/>
                <w:color w:val="auto"/>
                <w:sz w:val="18"/>
                <w:szCs w:val="18"/>
              </w:rPr>
              <w:t>1.32 (1.18-1.47); &lt;0.001</w:t>
            </w:r>
          </w:p>
        </w:tc>
        <w:tc>
          <w:tcPr>
            <w:tcW w:w="1706" w:type="dxa"/>
          </w:tcPr>
          <w:p w14:paraId="4B1B2855">
            <w:pPr>
              <w:spacing w:before="80" w:after="160"/>
              <w:rPr>
                <w:rFonts w:ascii="Times New Roman" w:hAnsi="Times New Roman"/>
                <w:color w:val="auto"/>
                <w:sz w:val="18"/>
                <w:szCs w:val="18"/>
              </w:rPr>
            </w:pPr>
            <w:r>
              <w:rPr>
                <w:rFonts w:ascii="Times New Roman" w:hAnsi="Times New Roman"/>
                <w:color w:val="auto"/>
                <w:sz w:val="18"/>
                <w:szCs w:val="18"/>
              </w:rPr>
              <w:t>1.13 (1.03-1.23); 0.007</w:t>
            </w:r>
          </w:p>
        </w:tc>
        <w:tc>
          <w:tcPr>
            <w:tcW w:w="1706" w:type="dxa"/>
          </w:tcPr>
          <w:p w14:paraId="6BE71E6A">
            <w:pPr>
              <w:spacing w:before="80" w:after="160"/>
              <w:rPr>
                <w:rFonts w:ascii="Times New Roman" w:hAnsi="Times New Roman"/>
                <w:color w:val="auto"/>
                <w:sz w:val="18"/>
                <w:szCs w:val="18"/>
              </w:rPr>
            </w:pPr>
            <w:r>
              <w:rPr>
                <w:rFonts w:ascii="Times New Roman" w:hAnsi="Times New Roman"/>
                <w:color w:val="auto"/>
                <w:sz w:val="18"/>
                <w:szCs w:val="18"/>
              </w:rPr>
              <w:t>1.13 (1.03-1.23); 0.009</w:t>
            </w:r>
          </w:p>
        </w:tc>
      </w:tr>
      <w:tr w14:paraId="4586ED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7A27DBED">
            <w:pPr>
              <w:spacing w:before="80" w:after="160"/>
              <w:rPr>
                <w:rFonts w:ascii="Times New Roman" w:hAnsi="Times New Roman"/>
                <w:color w:val="auto"/>
                <w:sz w:val="18"/>
                <w:szCs w:val="18"/>
              </w:rPr>
            </w:pPr>
            <w:r>
              <w:rPr>
                <w:rFonts w:ascii="Times New Roman" w:hAnsi="Times New Roman"/>
                <w:color w:val="auto"/>
                <w:sz w:val="18"/>
                <w:szCs w:val="18"/>
              </w:rPr>
              <w:t>Malignancy</w:t>
            </w:r>
          </w:p>
        </w:tc>
        <w:tc>
          <w:tcPr>
            <w:tcW w:w="1705" w:type="dxa"/>
          </w:tcPr>
          <w:p w14:paraId="662D141F">
            <w:pPr>
              <w:spacing w:before="80" w:after="160"/>
              <w:rPr>
                <w:rFonts w:ascii="Times New Roman" w:hAnsi="Times New Roman"/>
                <w:color w:val="auto"/>
                <w:sz w:val="18"/>
                <w:szCs w:val="18"/>
              </w:rPr>
            </w:pPr>
            <w:r>
              <w:rPr>
                <w:rFonts w:ascii="Times New Roman" w:hAnsi="Times New Roman"/>
                <w:color w:val="auto"/>
                <w:sz w:val="18"/>
                <w:szCs w:val="18"/>
              </w:rPr>
              <w:t>1.50 (1.33-1.70); &lt;0.001</w:t>
            </w:r>
          </w:p>
        </w:tc>
        <w:tc>
          <w:tcPr>
            <w:tcW w:w="1706" w:type="dxa"/>
          </w:tcPr>
          <w:p w14:paraId="6A69E15F">
            <w:pPr>
              <w:spacing w:before="80" w:after="160"/>
              <w:rPr>
                <w:rFonts w:ascii="Times New Roman" w:hAnsi="Times New Roman"/>
                <w:color w:val="auto"/>
                <w:sz w:val="18"/>
                <w:szCs w:val="18"/>
              </w:rPr>
            </w:pPr>
            <w:r>
              <w:rPr>
                <w:rFonts w:ascii="Times New Roman" w:hAnsi="Times New Roman"/>
                <w:color w:val="auto"/>
                <w:sz w:val="18"/>
                <w:szCs w:val="18"/>
              </w:rPr>
              <w:t>1.50 (1.32-1.69); &lt;0.001</w:t>
            </w:r>
          </w:p>
        </w:tc>
        <w:tc>
          <w:tcPr>
            <w:tcW w:w="1706" w:type="dxa"/>
          </w:tcPr>
          <w:p w14:paraId="7AF7D9DE">
            <w:pPr>
              <w:spacing w:before="80" w:after="160"/>
              <w:rPr>
                <w:rFonts w:ascii="Times New Roman" w:hAnsi="Times New Roman"/>
                <w:color w:val="auto"/>
                <w:sz w:val="18"/>
                <w:szCs w:val="18"/>
              </w:rPr>
            </w:pPr>
            <w:r>
              <w:rPr>
                <w:rFonts w:ascii="Times New Roman" w:hAnsi="Times New Roman"/>
                <w:color w:val="auto"/>
                <w:sz w:val="18"/>
                <w:szCs w:val="18"/>
              </w:rPr>
              <w:t>1.27 (1.16-1.39); &lt;0.001</w:t>
            </w:r>
          </w:p>
        </w:tc>
        <w:tc>
          <w:tcPr>
            <w:tcW w:w="1706" w:type="dxa"/>
          </w:tcPr>
          <w:p w14:paraId="116E0A1E">
            <w:pPr>
              <w:spacing w:before="80" w:after="160"/>
              <w:rPr>
                <w:rFonts w:ascii="Times New Roman" w:hAnsi="Times New Roman"/>
                <w:color w:val="auto"/>
                <w:sz w:val="18"/>
                <w:szCs w:val="18"/>
              </w:rPr>
            </w:pPr>
            <w:r>
              <w:rPr>
                <w:rFonts w:ascii="Times New Roman" w:hAnsi="Times New Roman"/>
                <w:color w:val="auto"/>
                <w:sz w:val="18"/>
                <w:szCs w:val="18"/>
              </w:rPr>
              <w:t>1.26 (1.15-1.38); &lt;0.001</w:t>
            </w:r>
          </w:p>
        </w:tc>
      </w:tr>
      <w:tr w14:paraId="5DB84C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6442CDDE">
            <w:pPr>
              <w:spacing w:before="80" w:after="160"/>
              <w:rPr>
                <w:rFonts w:ascii="Times New Roman" w:hAnsi="Times New Roman"/>
                <w:color w:val="auto"/>
                <w:sz w:val="18"/>
                <w:szCs w:val="18"/>
              </w:rPr>
            </w:pPr>
            <w:r>
              <w:rPr>
                <w:rFonts w:ascii="Times New Roman" w:hAnsi="Times New Roman"/>
                <w:color w:val="auto"/>
                <w:sz w:val="18"/>
                <w:szCs w:val="18"/>
              </w:rPr>
              <w:t>Chronic liver disease</w:t>
            </w:r>
          </w:p>
        </w:tc>
        <w:tc>
          <w:tcPr>
            <w:tcW w:w="1705" w:type="dxa"/>
          </w:tcPr>
          <w:p w14:paraId="71E0AC2A">
            <w:pPr>
              <w:spacing w:before="80" w:after="160"/>
              <w:rPr>
                <w:rFonts w:ascii="Times New Roman" w:hAnsi="Times New Roman"/>
                <w:color w:val="auto"/>
                <w:sz w:val="18"/>
                <w:szCs w:val="18"/>
              </w:rPr>
            </w:pPr>
            <w:r>
              <w:rPr>
                <w:rFonts w:ascii="Times New Roman" w:hAnsi="Times New Roman"/>
                <w:color w:val="auto"/>
                <w:sz w:val="18"/>
                <w:szCs w:val="18"/>
              </w:rPr>
              <w:t>1.68 (1.46-1.94); &lt;0.001</w:t>
            </w:r>
          </w:p>
        </w:tc>
        <w:tc>
          <w:tcPr>
            <w:tcW w:w="1706" w:type="dxa"/>
          </w:tcPr>
          <w:p w14:paraId="5339C463">
            <w:pPr>
              <w:spacing w:before="80" w:after="160"/>
              <w:rPr>
                <w:rFonts w:ascii="Times New Roman" w:hAnsi="Times New Roman"/>
                <w:color w:val="auto"/>
                <w:sz w:val="18"/>
                <w:szCs w:val="18"/>
              </w:rPr>
            </w:pPr>
            <w:r>
              <w:rPr>
                <w:rFonts w:ascii="Times New Roman" w:hAnsi="Times New Roman"/>
                <w:color w:val="auto"/>
                <w:sz w:val="18"/>
                <w:szCs w:val="18"/>
              </w:rPr>
              <w:t>1.56 (1.36-1.81); &lt;0.001</w:t>
            </w:r>
          </w:p>
        </w:tc>
        <w:tc>
          <w:tcPr>
            <w:tcW w:w="1706" w:type="dxa"/>
          </w:tcPr>
          <w:p w14:paraId="6A2FF0FD">
            <w:pPr>
              <w:spacing w:before="80" w:after="160"/>
              <w:rPr>
                <w:rFonts w:ascii="Times New Roman" w:hAnsi="Times New Roman"/>
                <w:color w:val="auto"/>
                <w:sz w:val="18"/>
                <w:szCs w:val="18"/>
              </w:rPr>
            </w:pPr>
            <w:r>
              <w:rPr>
                <w:rFonts w:ascii="Times New Roman" w:hAnsi="Times New Roman"/>
                <w:color w:val="auto"/>
                <w:sz w:val="18"/>
                <w:szCs w:val="18"/>
              </w:rPr>
              <w:t>1.37 (1.15-1.64); &lt;0.001</w:t>
            </w:r>
          </w:p>
        </w:tc>
        <w:tc>
          <w:tcPr>
            <w:tcW w:w="1706" w:type="dxa"/>
          </w:tcPr>
          <w:p w14:paraId="4C3D10BF">
            <w:pPr>
              <w:spacing w:before="80" w:after="160"/>
              <w:rPr>
                <w:rFonts w:ascii="Times New Roman" w:hAnsi="Times New Roman"/>
                <w:color w:val="auto"/>
                <w:sz w:val="18"/>
                <w:szCs w:val="18"/>
              </w:rPr>
            </w:pPr>
            <w:r>
              <w:rPr>
                <w:rFonts w:ascii="Times New Roman" w:hAnsi="Times New Roman"/>
                <w:color w:val="auto"/>
                <w:sz w:val="18"/>
                <w:szCs w:val="18"/>
              </w:rPr>
              <w:t>1.37 (1.14-1.64); &lt;0.001</w:t>
            </w:r>
          </w:p>
        </w:tc>
      </w:tr>
      <w:tr w14:paraId="414BD1D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0256C251">
            <w:pPr>
              <w:spacing w:before="80" w:after="160"/>
              <w:rPr>
                <w:rFonts w:ascii="Times New Roman" w:hAnsi="Times New Roman"/>
                <w:color w:val="auto"/>
                <w:sz w:val="18"/>
                <w:szCs w:val="18"/>
              </w:rPr>
            </w:pPr>
            <w:r>
              <w:rPr>
                <w:rFonts w:ascii="Times New Roman" w:hAnsi="Times New Roman"/>
                <w:color w:val="auto"/>
                <w:sz w:val="18"/>
                <w:szCs w:val="18"/>
              </w:rPr>
              <w:t>White blood cell count</w:t>
            </w:r>
          </w:p>
        </w:tc>
        <w:tc>
          <w:tcPr>
            <w:tcW w:w="1705" w:type="dxa"/>
          </w:tcPr>
          <w:p w14:paraId="55693CD2">
            <w:pPr>
              <w:spacing w:before="80" w:after="160"/>
              <w:rPr>
                <w:rFonts w:ascii="Times New Roman" w:hAnsi="Times New Roman"/>
                <w:color w:val="auto"/>
                <w:sz w:val="18"/>
                <w:szCs w:val="18"/>
              </w:rPr>
            </w:pPr>
            <w:r>
              <w:rPr>
                <w:rFonts w:ascii="Times New Roman" w:hAnsi="Times New Roman"/>
                <w:color w:val="auto"/>
                <w:sz w:val="18"/>
                <w:szCs w:val="18"/>
              </w:rPr>
              <w:t>1.003 (1.000-1.006); 0.083</w:t>
            </w:r>
          </w:p>
        </w:tc>
        <w:tc>
          <w:tcPr>
            <w:tcW w:w="1706" w:type="dxa"/>
          </w:tcPr>
          <w:p w14:paraId="414F2240">
            <w:pPr>
              <w:spacing w:before="80" w:after="160"/>
              <w:rPr>
                <w:rFonts w:ascii="Times New Roman" w:hAnsi="Times New Roman"/>
                <w:color w:val="auto"/>
                <w:sz w:val="18"/>
                <w:szCs w:val="18"/>
              </w:rPr>
            </w:pPr>
            <w:r>
              <w:rPr>
                <w:rFonts w:ascii="Times New Roman" w:hAnsi="Times New Roman"/>
                <w:color w:val="auto"/>
                <w:sz w:val="18"/>
                <w:szCs w:val="18"/>
              </w:rPr>
              <w:t>1.002 (0.999-1.006); 0.131</w:t>
            </w:r>
          </w:p>
        </w:tc>
        <w:tc>
          <w:tcPr>
            <w:tcW w:w="1706" w:type="dxa"/>
          </w:tcPr>
          <w:p w14:paraId="13E1D98E">
            <w:pPr>
              <w:spacing w:before="80" w:after="160"/>
              <w:rPr>
                <w:rFonts w:ascii="Times New Roman" w:hAnsi="Times New Roman"/>
                <w:color w:val="auto"/>
                <w:sz w:val="18"/>
                <w:szCs w:val="18"/>
              </w:rPr>
            </w:pPr>
            <w:r>
              <w:rPr>
                <w:rFonts w:ascii="Times New Roman" w:hAnsi="Times New Roman"/>
                <w:color w:val="auto"/>
                <w:sz w:val="18"/>
                <w:szCs w:val="18"/>
              </w:rPr>
              <w:t>1.020 (1.016-1.024); &lt;0.001</w:t>
            </w:r>
          </w:p>
        </w:tc>
        <w:tc>
          <w:tcPr>
            <w:tcW w:w="1706" w:type="dxa"/>
          </w:tcPr>
          <w:p w14:paraId="5A63CA11">
            <w:pPr>
              <w:spacing w:before="80" w:after="160"/>
              <w:rPr>
                <w:rFonts w:ascii="Times New Roman" w:hAnsi="Times New Roman"/>
                <w:color w:val="auto"/>
                <w:sz w:val="18"/>
                <w:szCs w:val="18"/>
              </w:rPr>
            </w:pPr>
            <w:r>
              <w:rPr>
                <w:rFonts w:ascii="Times New Roman" w:hAnsi="Times New Roman"/>
                <w:color w:val="auto"/>
                <w:sz w:val="18"/>
                <w:szCs w:val="18"/>
              </w:rPr>
              <w:t>1.020 (1.017-1.024); &lt;0.001</w:t>
            </w:r>
          </w:p>
        </w:tc>
      </w:tr>
      <w:tr w14:paraId="346F24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14BDA230">
            <w:pPr>
              <w:spacing w:before="80" w:after="160"/>
              <w:rPr>
                <w:rFonts w:ascii="Times New Roman" w:hAnsi="Times New Roman"/>
                <w:color w:val="auto"/>
                <w:sz w:val="18"/>
                <w:szCs w:val="18"/>
              </w:rPr>
            </w:pPr>
            <w:r>
              <w:rPr>
                <w:rFonts w:ascii="Times New Roman" w:hAnsi="Times New Roman"/>
                <w:color w:val="auto"/>
                <w:sz w:val="18"/>
                <w:szCs w:val="18"/>
              </w:rPr>
              <w:t>Hemoglobin</w:t>
            </w:r>
          </w:p>
        </w:tc>
        <w:tc>
          <w:tcPr>
            <w:tcW w:w="1705" w:type="dxa"/>
          </w:tcPr>
          <w:p w14:paraId="4A03BBB1">
            <w:pPr>
              <w:spacing w:before="80" w:after="160"/>
              <w:rPr>
                <w:rFonts w:ascii="Times New Roman" w:hAnsi="Times New Roman"/>
                <w:color w:val="auto"/>
                <w:sz w:val="18"/>
                <w:szCs w:val="18"/>
              </w:rPr>
            </w:pPr>
            <w:r>
              <w:rPr>
                <w:rFonts w:ascii="Times New Roman" w:hAnsi="Times New Roman"/>
                <w:color w:val="auto"/>
                <w:sz w:val="18"/>
                <w:szCs w:val="18"/>
              </w:rPr>
              <w:t>1.10 (1.08-1.13); &lt;0.001</w:t>
            </w:r>
          </w:p>
        </w:tc>
        <w:tc>
          <w:tcPr>
            <w:tcW w:w="1706" w:type="dxa"/>
          </w:tcPr>
          <w:p w14:paraId="0C444E3F">
            <w:pPr>
              <w:spacing w:before="80" w:after="160"/>
              <w:rPr>
                <w:rFonts w:ascii="Times New Roman" w:hAnsi="Times New Roman"/>
                <w:color w:val="auto"/>
                <w:sz w:val="18"/>
                <w:szCs w:val="18"/>
              </w:rPr>
            </w:pPr>
            <w:r>
              <w:rPr>
                <w:rFonts w:ascii="Times New Roman" w:hAnsi="Times New Roman"/>
                <w:color w:val="auto"/>
                <w:sz w:val="18"/>
                <w:szCs w:val="18"/>
              </w:rPr>
              <w:t>1.11 (1.08-1.13); &lt;0.001</w:t>
            </w:r>
          </w:p>
        </w:tc>
        <w:tc>
          <w:tcPr>
            <w:tcW w:w="1706" w:type="dxa"/>
          </w:tcPr>
          <w:p w14:paraId="337A6B4E">
            <w:pPr>
              <w:spacing w:before="80" w:after="160"/>
              <w:rPr>
                <w:rFonts w:ascii="Times New Roman" w:hAnsi="Times New Roman"/>
                <w:color w:val="auto"/>
                <w:sz w:val="18"/>
                <w:szCs w:val="18"/>
              </w:rPr>
            </w:pPr>
            <w:r>
              <w:rPr>
                <w:rFonts w:ascii="Times New Roman" w:hAnsi="Times New Roman"/>
                <w:color w:val="auto"/>
                <w:sz w:val="18"/>
                <w:szCs w:val="18"/>
              </w:rPr>
              <w:t>1.02 (1.00-1.03); 0.052</w:t>
            </w:r>
          </w:p>
        </w:tc>
        <w:tc>
          <w:tcPr>
            <w:tcW w:w="1706" w:type="dxa"/>
          </w:tcPr>
          <w:p w14:paraId="7A734D73">
            <w:pPr>
              <w:spacing w:before="80" w:after="160"/>
              <w:rPr>
                <w:rFonts w:ascii="Times New Roman" w:hAnsi="Times New Roman"/>
                <w:color w:val="auto"/>
                <w:sz w:val="18"/>
                <w:szCs w:val="18"/>
              </w:rPr>
            </w:pPr>
            <w:r>
              <w:rPr>
                <w:rFonts w:ascii="Times New Roman" w:hAnsi="Times New Roman"/>
                <w:color w:val="auto"/>
                <w:sz w:val="18"/>
                <w:szCs w:val="18"/>
              </w:rPr>
              <w:t>1.03 (1.01-1.04); 0.005</w:t>
            </w:r>
          </w:p>
        </w:tc>
      </w:tr>
      <w:tr w14:paraId="3FFB2D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26E64EAA">
            <w:pPr>
              <w:spacing w:before="80" w:after="160"/>
              <w:rPr>
                <w:rFonts w:ascii="Times New Roman" w:hAnsi="Times New Roman"/>
                <w:color w:val="auto"/>
                <w:sz w:val="18"/>
                <w:szCs w:val="18"/>
              </w:rPr>
            </w:pPr>
            <w:r>
              <w:rPr>
                <w:rFonts w:ascii="Times New Roman" w:hAnsi="Times New Roman"/>
                <w:color w:val="auto"/>
                <w:sz w:val="18"/>
                <w:szCs w:val="18"/>
              </w:rPr>
              <w:t>Glucose</w:t>
            </w:r>
          </w:p>
        </w:tc>
        <w:tc>
          <w:tcPr>
            <w:tcW w:w="1705" w:type="dxa"/>
          </w:tcPr>
          <w:p w14:paraId="6C648674">
            <w:pPr>
              <w:spacing w:before="80" w:after="160"/>
              <w:rPr>
                <w:rFonts w:ascii="Times New Roman" w:hAnsi="Times New Roman"/>
                <w:color w:val="auto"/>
                <w:sz w:val="18"/>
                <w:szCs w:val="18"/>
              </w:rPr>
            </w:pPr>
            <w:r>
              <w:rPr>
                <w:rFonts w:ascii="Times New Roman" w:hAnsi="Times New Roman"/>
                <w:color w:val="auto"/>
                <w:sz w:val="18"/>
                <w:szCs w:val="18"/>
              </w:rPr>
              <w:t>1.001 (1.001-1.002); &lt;0.001</w:t>
            </w:r>
          </w:p>
        </w:tc>
        <w:tc>
          <w:tcPr>
            <w:tcW w:w="1706" w:type="dxa"/>
          </w:tcPr>
          <w:p w14:paraId="678700E8">
            <w:pPr>
              <w:spacing w:before="80" w:after="160"/>
              <w:rPr>
                <w:rFonts w:ascii="Times New Roman" w:hAnsi="Times New Roman"/>
                <w:color w:val="auto"/>
                <w:sz w:val="18"/>
                <w:szCs w:val="18"/>
              </w:rPr>
            </w:pPr>
            <w:r>
              <w:rPr>
                <w:rFonts w:ascii="Times New Roman" w:hAnsi="Times New Roman"/>
                <w:color w:val="auto"/>
                <w:sz w:val="18"/>
                <w:szCs w:val="18"/>
              </w:rPr>
              <w:t>1.001 (1.001-1.002); &lt;0.001</w:t>
            </w:r>
          </w:p>
        </w:tc>
        <w:tc>
          <w:tcPr>
            <w:tcW w:w="1706" w:type="dxa"/>
          </w:tcPr>
          <w:p w14:paraId="413AAC5B">
            <w:pPr>
              <w:spacing w:before="80" w:after="160"/>
              <w:rPr>
                <w:rFonts w:ascii="Times New Roman" w:hAnsi="Times New Roman"/>
                <w:color w:val="auto"/>
                <w:sz w:val="18"/>
                <w:szCs w:val="18"/>
              </w:rPr>
            </w:pPr>
            <w:r>
              <w:rPr>
                <w:rFonts w:ascii="Times New Roman" w:hAnsi="Times New Roman"/>
                <w:color w:val="auto"/>
                <w:sz w:val="18"/>
                <w:szCs w:val="18"/>
              </w:rPr>
              <w:t>1.001 (1.001-1.002); &lt;0.001</w:t>
            </w:r>
          </w:p>
        </w:tc>
        <w:tc>
          <w:tcPr>
            <w:tcW w:w="1706" w:type="dxa"/>
          </w:tcPr>
          <w:p w14:paraId="02F3045E">
            <w:pPr>
              <w:spacing w:before="80" w:after="160"/>
              <w:rPr>
                <w:rFonts w:ascii="Times New Roman" w:hAnsi="Times New Roman"/>
                <w:color w:val="auto"/>
                <w:sz w:val="18"/>
                <w:szCs w:val="18"/>
              </w:rPr>
            </w:pPr>
            <w:r>
              <w:rPr>
                <w:rFonts w:ascii="Times New Roman" w:hAnsi="Times New Roman"/>
                <w:color w:val="auto"/>
                <w:sz w:val="18"/>
                <w:szCs w:val="18"/>
              </w:rPr>
              <w:t>1.001 (1.001-1.002); &lt;0.001</w:t>
            </w:r>
          </w:p>
        </w:tc>
      </w:tr>
      <w:tr w14:paraId="2AEE31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220B10BC">
            <w:pPr>
              <w:spacing w:before="80" w:after="160"/>
              <w:rPr>
                <w:rFonts w:ascii="Times New Roman" w:hAnsi="Times New Roman"/>
                <w:color w:val="auto"/>
                <w:sz w:val="18"/>
                <w:szCs w:val="18"/>
              </w:rPr>
            </w:pPr>
            <w:r>
              <w:rPr>
                <w:rFonts w:ascii="Times New Roman" w:hAnsi="Times New Roman"/>
                <w:color w:val="auto"/>
                <w:sz w:val="18"/>
                <w:szCs w:val="18"/>
              </w:rPr>
              <w:t>Heart rate</w:t>
            </w:r>
          </w:p>
        </w:tc>
        <w:tc>
          <w:tcPr>
            <w:tcW w:w="1705" w:type="dxa"/>
          </w:tcPr>
          <w:p w14:paraId="1D8DCE1F">
            <w:pPr>
              <w:spacing w:before="80" w:after="160"/>
              <w:rPr>
                <w:rFonts w:ascii="Times New Roman" w:hAnsi="Times New Roman"/>
                <w:color w:val="auto"/>
                <w:sz w:val="18"/>
                <w:szCs w:val="18"/>
              </w:rPr>
            </w:pPr>
            <w:r>
              <w:rPr>
                <w:rFonts w:ascii="Times New Roman" w:hAnsi="Times New Roman"/>
                <w:color w:val="auto"/>
                <w:sz w:val="18"/>
                <w:szCs w:val="18"/>
              </w:rPr>
              <w:t>1.005 (1.003-1.007); &lt;0.001</w:t>
            </w:r>
          </w:p>
        </w:tc>
        <w:tc>
          <w:tcPr>
            <w:tcW w:w="1706" w:type="dxa"/>
          </w:tcPr>
          <w:p w14:paraId="64293C39">
            <w:pPr>
              <w:spacing w:before="80" w:after="160"/>
              <w:rPr>
                <w:rFonts w:ascii="Times New Roman" w:hAnsi="Times New Roman"/>
                <w:color w:val="auto"/>
                <w:sz w:val="18"/>
                <w:szCs w:val="18"/>
              </w:rPr>
            </w:pPr>
            <w:r>
              <w:rPr>
                <w:rFonts w:ascii="Times New Roman" w:hAnsi="Times New Roman"/>
                <w:color w:val="auto"/>
                <w:sz w:val="18"/>
                <w:szCs w:val="18"/>
              </w:rPr>
              <w:t>1.004 (1.002-1.006); &lt;0.001</w:t>
            </w:r>
          </w:p>
        </w:tc>
        <w:tc>
          <w:tcPr>
            <w:tcW w:w="1706" w:type="dxa"/>
          </w:tcPr>
          <w:p w14:paraId="1CF8430E">
            <w:pPr>
              <w:spacing w:before="80" w:after="160"/>
              <w:rPr>
                <w:rFonts w:ascii="Times New Roman" w:hAnsi="Times New Roman"/>
                <w:color w:val="auto"/>
                <w:sz w:val="18"/>
                <w:szCs w:val="18"/>
              </w:rPr>
            </w:pPr>
            <w:r>
              <w:rPr>
                <w:rFonts w:ascii="Times New Roman" w:hAnsi="Times New Roman"/>
                <w:color w:val="auto"/>
                <w:sz w:val="18"/>
                <w:szCs w:val="18"/>
              </w:rPr>
              <w:t>1.013 (1.011-1.014); &lt;0.001</w:t>
            </w:r>
          </w:p>
        </w:tc>
        <w:tc>
          <w:tcPr>
            <w:tcW w:w="1706" w:type="dxa"/>
          </w:tcPr>
          <w:p w14:paraId="7B313C96">
            <w:pPr>
              <w:spacing w:before="80" w:after="160"/>
              <w:rPr>
                <w:rFonts w:ascii="Times New Roman" w:hAnsi="Times New Roman"/>
                <w:color w:val="auto"/>
                <w:sz w:val="18"/>
                <w:szCs w:val="18"/>
              </w:rPr>
            </w:pPr>
            <w:r>
              <w:rPr>
                <w:rFonts w:ascii="Times New Roman" w:hAnsi="Times New Roman"/>
                <w:color w:val="auto"/>
                <w:sz w:val="18"/>
                <w:szCs w:val="18"/>
              </w:rPr>
              <w:t>1.012 (1.011-1.014); &lt;0.001</w:t>
            </w:r>
          </w:p>
        </w:tc>
      </w:tr>
    </w:tbl>
    <w:p w14:paraId="0EF8F06C">
      <w:pPr>
        <w:spacing w:before="80" w:after="160"/>
        <w:rPr>
          <w:color w:val="auto"/>
          <w:sz w:val="18"/>
          <w:szCs w:val="18"/>
        </w:rPr>
      </w:pPr>
      <w:r>
        <w:rPr>
          <w:rFonts w:ascii="Times New Roman Bold" w:hAnsi="Times New Roman Bold" w:cs="Times New Roman Bold"/>
          <w:b/>
          <w:bCs/>
          <w:color w:val="auto"/>
          <w:sz w:val="18"/>
          <w:szCs w:val="18"/>
        </w:rPr>
        <w:t>Abbreviations:</w:t>
      </w:r>
      <w:r>
        <w:rPr>
          <w:rFonts w:ascii="Times New Roman" w:hAnsi="Times New Roman"/>
          <w:color w:val="auto"/>
          <w:sz w:val="18"/>
          <w:szCs w:val="18"/>
        </w:rPr>
        <w:t xml:space="preserve"> SOFA, Sequential Organ Failure Assessment; OR, odds ratio; CI, confidence interval; ICU, intensive care unit; COPD, chronic obstructive pulmonary disease; CNS, central nervous system.</w:t>
      </w:r>
    </w:p>
    <w:p w14:paraId="7F2C1122">
      <w:pPr>
        <w:spacing w:before="80" w:after="160"/>
        <w:rPr>
          <w:rFonts w:ascii="Times New Roman" w:hAnsi="Times New Roman"/>
          <w:color w:val="auto"/>
          <w:sz w:val="18"/>
          <w:szCs w:val="18"/>
        </w:rPr>
        <w:sectPr>
          <w:pgSz w:w="11906" w:h="16838"/>
          <w:pgMar w:top="1440" w:right="1797" w:bottom="1440" w:left="1797" w:header="851" w:footer="992" w:gutter="0"/>
          <w:cols w:space="425" w:num="1"/>
          <w:docGrid w:type="lines" w:linePitch="312" w:charSpace="0"/>
        </w:sectPr>
      </w:pPr>
      <w:r>
        <w:rPr>
          <w:rFonts w:ascii="Times New Roman Bold" w:hAnsi="Times New Roman Bold" w:cs="Times New Roman Bold"/>
          <w:b/>
          <w:bCs/>
          <w:color w:val="auto"/>
          <w:sz w:val="18"/>
          <w:szCs w:val="18"/>
        </w:rPr>
        <w:t xml:space="preserve">Notes: </w:t>
      </w:r>
      <w:r>
        <w:rPr>
          <w:rFonts w:ascii="Times New Roman" w:hAnsi="Times New Roman"/>
          <w:color w:val="auto"/>
          <w:sz w:val="18"/>
          <w:szCs w:val="18"/>
        </w:rPr>
        <w:t xml:space="preserve">This table presents full covariate estimates from Model C for ICU mortality. Model C included the corresponding SOFA score, age, sex, documented sepsis, baseline comorbidities, white blood cell count, hemoglobin, blood glucose, and heart rate. ORs are presented with 95% confidence intervals. </w:t>
      </w:r>
      <w:r>
        <w:rPr>
          <w:rFonts w:ascii="Times New Roman" w:hAnsi="Times New Roman"/>
          <w:color w:val="auto"/>
          <w:sz w:val="18"/>
          <w:szCs w:val="18"/>
        </w:rPr>
        <w:t>Odds ratios for continuous variables were calculated per 1-unit increase in the original measurement unit: age per 1-year, total SOFA score per 1-point, white blood cell count per 1 × 10⁹/L, hemoglobin per 1 g/dL, blood glucose per 1 mg/dL, and heart rate per 1 beat/min.</w:t>
      </w:r>
    </w:p>
    <w:p w14:paraId="589A4481">
      <w:pPr>
        <w:spacing w:after="120"/>
        <w:jc w:val="left"/>
        <w:rPr>
          <w:rFonts w:ascii="Times New Roman" w:hAnsi="Times New Roman"/>
          <w:b/>
          <w:color w:val="auto"/>
          <w:sz w:val="20"/>
        </w:rPr>
      </w:pPr>
      <w:r>
        <w:rPr>
          <w:rFonts w:ascii="Times New Roman" w:hAnsi="Times New Roman"/>
          <w:b/>
          <w:color w:val="auto"/>
          <w:sz w:val="20"/>
        </w:rPr>
        <w:t>eTable 5. Variance inflation factors for covariates included in Model C for ICU mortality</w:t>
      </w:r>
    </w:p>
    <w:tbl>
      <w:tblPr>
        <w:tblStyle w:val="1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21"/>
        <w:gridCol w:w="1421"/>
        <w:gridCol w:w="1421"/>
        <w:gridCol w:w="1421"/>
        <w:gridCol w:w="1422"/>
        <w:gridCol w:w="1422"/>
      </w:tblGrid>
      <w:tr w14:paraId="229A0F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Borders>
              <w:bottom w:val="single" w:color="auto" w:sz="4" w:space="0"/>
            </w:tcBorders>
          </w:tcPr>
          <w:p w14:paraId="3142EC25">
            <w:pPr>
              <w:spacing w:before="80" w:after="160"/>
              <w:rPr>
                <w:color w:val="auto"/>
                <w:sz w:val="18"/>
                <w:szCs w:val="18"/>
              </w:rPr>
            </w:pPr>
            <w:r>
              <w:rPr>
                <w:rFonts w:ascii="Times New Roman Bold" w:hAnsi="Times New Roman Bold" w:cs="Times New Roman Bold"/>
                <w:b/>
                <w:bCs/>
                <w:color w:val="auto"/>
                <w:sz w:val="18"/>
                <w:szCs w:val="18"/>
              </w:rPr>
              <w:t>Covariate</w:t>
            </w:r>
          </w:p>
        </w:tc>
        <w:tc>
          <w:tcPr>
            <w:tcW w:w="1421" w:type="dxa"/>
            <w:tcBorders>
              <w:bottom w:val="single" w:color="auto" w:sz="4" w:space="0"/>
            </w:tcBorders>
          </w:tcPr>
          <w:p w14:paraId="6F6A14C4">
            <w:pPr>
              <w:spacing w:before="80" w:after="160"/>
              <w:rPr>
                <w:color w:val="auto"/>
                <w:sz w:val="18"/>
                <w:szCs w:val="18"/>
              </w:rPr>
            </w:pPr>
            <w:r>
              <w:rPr>
                <w:rFonts w:ascii="Times New Roman Bold" w:hAnsi="Times New Roman Bold" w:cs="Times New Roman Bold"/>
                <w:b/>
                <w:bCs/>
                <w:color w:val="auto"/>
                <w:sz w:val="18"/>
                <w:szCs w:val="18"/>
              </w:rPr>
              <w:t>MIMIC-IV SOFA-1 model</w:t>
            </w:r>
          </w:p>
        </w:tc>
        <w:tc>
          <w:tcPr>
            <w:tcW w:w="1421" w:type="dxa"/>
            <w:tcBorders>
              <w:bottom w:val="single" w:color="auto" w:sz="4" w:space="0"/>
            </w:tcBorders>
          </w:tcPr>
          <w:p w14:paraId="53AB8E6D">
            <w:pPr>
              <w:spacing w:before="80" w:after="160"/>
              <w:rPr>
                <w:color w:val="auto"/>
                <w:sz w:val="18"/>
                <w:szCs w:val="18"/>
              </w:rPr>
            </w:pPr>
            <w:r>
              <w:rPr>
                <w:rFonts w:ascii="Times New Roman Bold" w:hAnsi="Times New Roman Bold" w:cs="Times New Roman Bold"/>
                <w:b/>
                <w:bCs/>
                <w:color w:val="auto"/>
                <w:sz w:val="18"/>
                <w:szCs w:val="18"/>
              </w:rPr>
              <w:t>MIMIC-IV SOFA-2 model</w:t>
            </w:r>
          </w:p>
        </w:tc>
        <w:tc>
          <w:tcPr>
            <w:tcW w:w="1421" w:type="dxa"/>
            <w:tcBorders>
              <w:bottom w:val="single" w:color="auto" w:sz="4" w:space="0"/>
            </w:tcBorders>
          </w:tcPr>
          <w:p w14:paraId="7783C2BC">
            <w:pPr>
              <w:spacing w:before="80" w:after="160"/>
              <w:rPr>
                <w:color w:val="auto"/>
                <w:sz w:val="18"/>
                <w:szCs w:val="18"/>
              </w:rPr>
            </w:pPr>
            <w:r>
              <w:rPr>
                <w:rFonts w:ascii="Times New Roman Bold" w:hAnsi="Times New Roman Bold" w:cs="Times New Roman Bold"/>
                <w:b/>
                <w:bCs/>
                <w:color w:val="auto"/>
                <w:sz w:val="18"/>
                <w:szCs w:val="18"/>
              </w:rPr>
              <w:t>eICU-CRD SOFA-1 model</w:t>
            </w:r>
          </w:p>
        </w:tc>
        <w:tc>
          <w:tcPr>
            <w:tcW w:w="1422" w:type="dxa"/>
            <w:tcBorders>
              <w:bottom w:val="single" w:color="auto" w:sz="4" w:space="0"/>
            </w:tcBorders>
          </w:tcPr>
          <w:p w14:paraId="14D2B005">
            <w:pPr>
              <w:spacing w:before="80" w:after="160"/>
              <w:rPr>
                <w:color w:val="auto"/>
                <w:sz w:val="18"/>
                <w:szCs w:val="18"/>
              </w:rPr>
            </w:pPr>
            <w:r>
              <w:rPr>
                <w:rFonts w:ascii="Times New Roman Bold" w:hAnsi="Times New Roman Bold" w:cs="Times New Roman Bold"/>
                <w:b/>
                <w:bCs/>
                <w:color w:val="auto"/>
                <w:sz w:val="18"/>
                <w:szCs w:val="18"/>
              </w:rPr>
              <w:t>eICU-CRD SOFA-2 model</w:t>
            </w:r>
          </w:p>
        </w:tc>
        <w:tc>
          <w:tcPr>
            <w:tcW w:w="1422" w:type="dxa"/>
            <w:tcBorders>
              <w:bottom w:val="single" w:color="auto" w:sz="4" w:space="0"/>
            </w:tcBorders>
          </w:tcPr>
          <w:p w14:paraId="71B75DE5">
            <w:pPr>
              <w:spacing w:before="80" w:after="160"/>
              <w:rPr>
                <w:color w:val="auto"/>
                <w:sz w:val="18"/>
                <w:szCs w:val="18"/>
              </w:rPr>
            </w:pPr>
            <w:r>
              <w:rPr>
                <w:rFonts w:ascii="Times New Roman Bold" w:hAnsi="Times New Roman Bold" w:cs="Times New Roman Bold"/>
                <w:b/>
                <w:bCs/>
                <w:color w:val="auto"/>
                <w:sz w:val="18"/>
                <w:szCs w:val="18"/>
              </w:rPr>
              <w:t>Maximum VIF across total and organ-specific Model C models</w:t>
            </w:r>
          </w:p>
        </w:tc>
      </w:tr>
      <w:tr w14:paraId="644374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Borders>
              <w:top w:val="single" w:color="auto" w:sz="4" w:space="0"/>
            </w:tcBorders>
          </w:tcPr>
          <w:p w14:paraId="0B4719C9">
            <w:pPr>
              <w:spacing w:before="80" w:after="160"/>
              <w:rPr>
                <w:rFonts w:ascii="Times New Roman" w:hAnsi="Times New Roman"/>
                <w:color w:val="auto"/>
                <w:sz w:val="18"/>
                <w:szCs w:val="18"/>
              </w:rPr>
            </w:pPr>
            <w:r>
              <w:rPr>
                <w:rFonts w:ascii="Times New Roman" w:hAnsi="Times New Roman"/>
                <w:color w:val="auto"/>
                <w:sz w:val="18"/>
                <w:szCs w:val="18"/>
              </w:rPr>
              <w:t>Total SOFA score</w:t>
            </w:r>
          </w:p>
        </w:tc>
        <w:tc>
          <w:tcPr>
            <w:tcW w:w="1421" w:type="dxa"/>
            <w:tcBorders>
              <w:top w:val="single" w:color="auto" w:sz="4" w:space="0"/>
            </w:tcBorders>
          </w:tcPr>
          <w:p w14:paraId="41B4F535">
            <w:pPr>
              <w:spacing w:before="80" w:after="160"/>
              <w:rPr>
                <w:rFonts w:ascii="Times New Roman" w:hAnsi="Times New Roman"/>
                <w:color w:val="auto"/>
                <w:sz w:val="18"/>
                <w:szCs w:val="18"/>
              </w:rPr>
            </w:pPr>
            <w:r>
              <w:rPr>
                <w:rFonts w:ascii="Times New Roman" w:hAnsi="Times New Roman"/>
                <w:color w:val="auto"/>
                <w:sz w:val="18"/>
                <w:szCs w:val="18"/>
              </w:rPr>
              <w:t>1.36</w:t>
            </w:r>
          </w:p>
        </w:tc>
        <w:tc>
          <w:tcPr>
            <w:tcW w:w="1421" w:type="dxa"/>
            <w:tcBorders>
              <w:top w:val="single" w:color="auto" w:sz="4" w:space="0"/>
            </w:tcBorders>
          </w:tcPr>
          <w:p w14:paraId="562FCD24">
            <w:pPr>
              <w:spacing w:before="80" w:after="160"/>
              <w:rPr>
                <w:rFonts w:ascii="Times New Roman" w:hAnsi="Times New Roman"/>
                <w:color w:val="auto"/>
                <w:sz w:val="18"/>
                <w:szCs w:val="18"/>
              </w:rPr>
            </w:pPr>
            <w:r>
              <w:rPr>
                <w:rFonts w:ascii="Times New Roman" w:hAnsi="Times New Roman"/>
                <w:color w:val="auto"/>
                <w:sz w:val="18"/>
                <w:szCs w:val="18"/>
              </w:rPr>
              <w:t>1.33</w:t>
            </w:r>
          </w:p>
        </w:tc>
        <w:tc>
          <w:tcPr>
            <w:tcW w:w="1421" w:type="dxa"/>
            <w:tcBorders>
              <w:top w:val="single" w:color="auto" w:sz="4" w:space="0"/>
            </w:tcBorders>
          </w:tcPr>
          <w:p w14:paraId="02DDC496">
            <w:pPr>
              <w:spacing w:before="80" w:after="160"/>
              <w:rPr>
                <w:rFonts w:ascii="Times New Roman" w:hAnsi="Times New Roman"/>
                <w:color w:val="auto"/>
                <w:sz w:val="18"/>
                <w:szCs w:val="18"/>
              </w:rPr>
            </w:pPr>
            <w:r>
              <w:rPr>
                <w:rFonts w:ascii="Times New Roman" w:hAnsi="Times New Roman"/>
                <w:color w:val="auto"/>
                <w:sz w:val="18"/>
                <w:szCs w:val="18"/>
              </w:rPr>
              <w:t>1.19</w:t>
            </w:r>
          </w:p>
        </w:tc>
        <w:tc>
          <w:tcPr>
            <w:tcW w:w="1422" w:type="dxa"/>
            <w:tcBorders>
              <w:top w:val="single" w:color="auto" w:sz="4" w:space="0"/>
            </w:tcBorders>
          </w:tcPr>
          <w:p w14:paraId="10CB4E31">
            <w:pPr>
              <w:spacing w:before="80" w:after="160"/>
              <w:rPr>
                <w:rFonts w:ascii="Times New Roman" w:hAnsi="Times New Roman"/>
                <w:color w:val="auto"/>
                <w:sz w:val="18"/>
                <w:szCs w:val="18"/>
              </w:rPr>
            </w:pPr>
            <w:r>
              <w:rPr>
                <w:rFonts w:ascii="Times New Roman" w:hAnsi="Times New Roman"/>
                <w:color w:val="auto"/>
                <w:sz w:val="18"/>
                <w:szCs w:val="18"/>
              </w:rPr>
              <w:t>1.20</w:t>
            </w:r>
          </w:p>
        </w:tc>
        <w:tc>
          <w:tcPr>
            <w:tcW w:w="1422" w:type="dxa"/>
            <w:tcBorders>
              <w:top w:val="single" w:color="auto" w:sz="4" w:space="0"/>
            </w:tcBorders>
          </w:tcPr>
          <w:p w14:paraId="62835AE8">
            <w:pPr>
              <w:spacing w:before="80" w:after="160"/>
              <w:rPr>
                <w:rFonts w:ascii="Times New Roman" w:hAnsi="Times New Roman"/>
                <w:color w:val="auto"/>
                <w:sz w:val="18"/>
                <w:szCs w:val="18"/>
              </w:rPr>
            </w:pPr>
            <w:r>
              <w:rPr>
                <w:rFonts w:ascii="Times New Roman" w:hAnsi="Times New Roman"/>
                <w:color w:val="auto"/>
                <w:sz w:val="18"/>
                <w:szCs w:val="18"/>
              </w:rPr>
              <w:t>1.53</w:t>
            </w:r>
          </w:p>
        </w:tc>
      </w:tr>
      <w:tr w14:paraId="1461EC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90" w:hRule="atLeast"/>
        </w:trPr>
        <w:tc>
          <w:tcPr>
            <w:tcW w:w="1421" w:type="dxa"/>
          </w:tcPr>
          <w:p w14:paraId="0AD7A837">
            <w:pPr>
              <w:spacing w:before="80" w:after="160"/>
              <w:rPr>
                <w:rFonts w:ascii="Times New Roman" w:hAnsi="Times New Roman"/>
                <w:color w:val="auto"/>
                <w:sz w:val="18"/>
                <w:szCs w:val="18"/>
              </w:rPr>
            </w:pPr>
            <w:r>
              <w:rPr>
                <w:rFonts w:ascii="Times New Roman" w:hAnsi="Times New Roman"/>
                <w:color w:val="auto"/>
                <w:sz w:val="18"/>
                <w:szCs w:val="18"/>
              </w:rPr>
              <w:t>Age</w:t>
            </w:r>
          </w:p>
        </w:tc>
        <w:tc>
          <w:tcPr>
            <w:tcW w:w="1421" w:type="dxa"/>
          </w:tcPr>
          <w:p w14:paraId="0E5CF530">
            <w:pPr>
              <w:spacing w:before="80" w:after="160"/>
              <w:rPr>
                <w:rFonts w:ascii="Times New Roman" w:hAnsi="Times New Roman"/>
                <w:color w:val="auto"/>
                <w:sz w:val="18"/>
                <w:szCs w:val="18"/>
              </w:rPr>
            </w:pPr>
            <w:r>
              <w:rPr>
                <w:rFonts w:ascii="Times New Roman" w:hAnsi="Times New Roman"/>
                <w:color w:val="auto"/>
                <w:sz w:val="18"/>
                <w:szCs w:val="18"/>
              </w:rPr>
              <w:t>1.07</w:t>
            </w:r>
          </w:p>
        </w:tc>
        <w:tc>
          <w:tcPr>
            <w:tcW w:w="1421" w:type="dxa"/>
          </w:tcPr>
          <w:p w14:paraId="1F36F68D">
            <w:pPr>
              <w:spacing w:before="80" w:after="160"/>
              <w:rPr>
                <w:rFonts w:ascii="Times New Roman" w:hAnsi="Times New Roman"/>
                <w:color w:val="auto"/>
                <w:sz w:val="18"/>
                <w:szCs w:val="18"/>
              </w:rPr>
            </w:pPr>
            <w:r>
              <w:rPr>
                <w:rFonts w:ascii="Times New Roman" w:hAnsi="Times New Roman"/>
                <w:color w:val="auto"/>
                <w:sz w:val="18"/>
                <w:szCs w:val="18"/>
              </w:rPr>
              <w:t>1.07</w:t>
            </w:r>
          </w:p>
        </w:tc>
        <w:tc>
          <w:tcPr>
            <w:tcW w:w="1421" w:type="dxa"/>
          </w:tcPr>
          <w:p w14:paraId="1A9D36F9">
            <w:pPr>
              <w:spacing w:before="80" w:after="160"/>
              <w:rPr>
                <w:rFonts w:ascii="Times New Roman" w:hAnsi="Times New Roman"/>
                <w:color w:val="auto"/>
                <w:sz w:val="18"/>
                <w:szCs w:val="18"/>
              </w:rPr>
            </w:pPr>
            <w:r>
              <w:rPr>
                <w:rFonts w:ascii="Times New Roman" w:hAnsi="Times New Roman"/>
                <w:color w:val="auto"/>
                <w:sz w:val="18"/>
                <w:szCs w:val="18"/>
              </w:rPr>
              <w:t>1.04</w:t>
            </w:r>
          </w:p>
        </w:tc>
        <w:tc>
          <w:tcPr>
            <w:tcW w:w="1422" w:type="dxa"/>
          </w:tcPr>
          <w:p w14:paraId="1C52A755">
            <w:pPr>
              <w:spacing w:before="80" w:after="160"/>
              <w:rPr>
                <w:rFonts w:ascii="Times New Roman" w:hAnsi="Times New Roman"/>
                <w:color w:val="auto"/>
                <w:sz w:val="18"/>
                <w:szCs w:val="18"/>
              </w:rPr>
            </w:pPr>
            <w:r>
              <w:rPr>
                <w:rFonts w:ascii="Times New Roman" w:hAnsi="Times New Roman"/>
                <w:color w:val="auto"/>
                <w:sz w:val="18"/>
                <w:szCs w:val="18"/>
              </w:rPr>
              <w:t>1.04</w:t>
            </w:r>
          </w:p>
        </w:tc>
        <w:tc>
          <w:tcPr>
            <w:tcW w:w="1422" w:type="dxa"/>
          </w:tcPr>
          <w:p w14:paraId="29EA1630">
            <w:pPr>
              <w:spacing w:before="80" w:after="160"/>
              <w:rPr>
                <w:rFonts w:ascii="Times New Roman" w:hAnsi="Times New Roman"/>
                <w:color w:val="auto"/>
                <w:sz w:val="18"/>
                <w:szCs w:val="18"/>
              </w:rPr>
            </w:pPr>
            <w:r>
              <w:rPr>
                <w:rFonts w:ascii="Times New Roman" w:hAnsi="Times New Roman"/>
                <w:color w:val="auto"/>
                <w:sz w:val="18"/>
                <w:szCs w:val="18"/>
              </w:rPr>
              <w:t>1.08</w:t>
            </w:r>
          </w:p>
        </w:tc>
      </w:tr>
      <w:tr w14:paraId="4E8C71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0BC0ABDF">
            <w:pPr>
              <w:spacing w:before="80" w:after="160"/>
              <w:rPr>
                <w:rFonts w:ascii="Times New Roman" w:hAnsi="Times New Roman"/>
                <w:color w:val="auto"/>
                <w:sz w:val="18"/>
                <w:szCs w:val="18"/>
              </w:rPr>
            </w:pPr>
            <w:r>
              <w:rPr>
                <w:rFonts w:ascii="Times New Roman" w:hAnsi="Times New Roman"/>
                <w:color w:val="auto"/>
                <w:sz w:val="18"/>
                <w:szCs w:val="18"/>
              </w:rPr>
              <w:t>Male sex</w:t>
            </w:r>
          </w:p>
        </w:tc>
        <w:tc>
          <w:tcPr>
            <w:tcW w:w="1421" w:type="dxa"/>
          </w:tcPr>
          <w:p w14:paraId="798E3E62">
            <w:pPr>
              <w:spacing w:before="80" w:after="160"/>
              <w:rPr>
                <w:rFonts w:ascii="Times New Roman" w:hAnsi="Times New Roman"/>
                <w:color w:val="auto"/>
                <w:sz w:val="18"/>
                <w:szCs w:val="18"/>
              </w:rPr>
            </w:pPr>
            <w:r>
              <w:rPr>
                <w:rFonts w:ascii="Times New Roman" w:hAnsi="Times New Roman"/>
                <w:color w:val="auto"/>
                <w:sz w:val="18"/>
                <w:szCs w:val="18"/>
              </w:rPr>
              <w:t>1.06</w:t>
            </w:r>
          </w:p>
        </w:tc>
        <w:tc>
          <w:tcPr>
            <w:tcW w:w="1421" w:type="dxa"/>
          </w:tcPr>
          <w:p w14:paraId="60FC3487">
            <w:pPr>
              <w:spacing w:before="80" w:after="160"/>
              <w:rPr>
                <w:rFonts w:ascii="Times New Roman" w:hAnsi="Times New Roman"/>
                <w:color w:val="auto"/>
                <w:sz w:val="18"/>
                <w:szCs w:val="18"/>
              </w:rPr>
            </w:pPr>
            <w:r>
              <w:rPr>
                <w:rFonts w:ascii="Times New Roman" w:hAnsi="Times New Roman"/>
                <w:color w:val="auto"/>
                <w:sz w:val="18"/>
                <w:szCs w:val="18"/>
              </w:rPr>
              <w:t>1.05</w:t>
            </w:r>
          </w:p>
        </w:tc>
        <w:tc>
          <w:tcPr>
            <w:tcW w:w="1421" w:type="dxa"/>
          </w:tcPr>
          <w:p w14:paraId="467813DB">
            <w:pPr>
              <w:spacing w:before="80" w:after="160"/>
              <w:rPr>
                <w:rFonts w:ascii="Times New Roman" w:hAnsi="Times New Roman"/>
                <w:color w:val="auto"/>
                <w:sz w:val="18"/>
                <w:szCs w:val="18"/>
              </w:rPr>
            </w:pPr>
            <w:r>
              <w:rPr>
                <w:rFonts w:ascii="Times New Roman" w:hAnsi="Times New Roman"/>
                <w:color w:val="auto"/>
                <w:sz w:val="18"/>
                <w:szCs w:val="18"/>
              </w:rPr>
              <w:t>1.03</w:t>
            </w:r>
          </w:p>
        </w:tc>
        <w:tc>
          <w:tcPr>
            <w:tcW w:w="1422" w:type="dxa"/>
          </w:tcPr>
          <w:p w14:paraId="079E9938">
            <w:pPr>
              <w:spacing w:before="80" w:after="160"/>
              <w:rPr>
                <w:rFonts w:ascii="Times New Roman" w:hAnsi="Times New Roman"/>
                <w:color w:val="auto"/>
                <w:sz w:val="18"/>
                <w:szCs w:val="18"/>
              </w:rPr>
            </w:pPr>
            <w:r>
              <w:rPr>
                <w:rFonts w:ascii="Times New Roman" w:hAnsi="Times New Roman"/>
                <w:color w:val="auto"/>
                <w:sz w:val="18"/>
                <w:szCs w:val="18"/>
              </w:rPr>
              <w:t>1.03</w:t>
            </w:r>
          </w:p>
        </w:tc>
        <w:tc>
          <w:tcPr>
            <w:tcW w:w="1422" w:type="dxa"/>
          </w:tcPr>
          <w:p w14:paraId="6A68B8F5">
            <w:pPr>
              <w:spacing w:before="80" w:after="160"/>
              <w:rPr>
                <w:rFonts w:ascii="Times New Roman" w:hAnsi="Times New Roman"/>
                <w:color w:val="auto"/>
                <w:sz w:val="18"/>
                <w:szCs w:val="18"/>
              </w:rPr>
            </w:pPr>
            <w:r>
              <w:rPr>
                <w:rFonts w:ascii="Times New Roman" w:hAnsi="Times New Roman"/>
                <w:color w:val="auto"/>
                <w:sz w:val="18"/>
                <w:szCs w:val="18"/>
              </w:rPr>
              <w:t>1.06</w:t>
            </w:r>
          </w:p>
        </w:tc>
      </w:tr>
      <w:tr w14:paraId="2A3036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7CD84A0A">
            <w:pPr>
              <w:spacing w:before="80" w:after="160"/>
              <w:rPr>
                <w:rFonts w:ascii="Times New Roman" w:hAnsi="Times New Roman"/>
                <w:color w:val="auto"/>
                <w:sz w:val="18"/>
                <w:szCs w:val="18"/>
              </w:rPr>
            </w:pPr>
            <w:r>
              <w:rPr>
                <w:rFonts w:ascii="Times New Roman" w:hAnsi="Times New Roman"/>
                <w:color w:val="auto"/>
                <w:sz w:val="18"/>
                <w:szCs w:val="18"/>
              </w:rPr>
              <w:t>Documented sepsis</w:t>
            </w:r>
          </w:p>
        </w:tc>
        <w:tc>
          <w:tcPr>
            <w:tcW w:w="1421" w:type="dxa"/>
          </w:tcPr>
          <w:p w14:paraId="109D6C8E">
            <w:pPr>
              <w:spacing w:before="80" w:after="160"/>
              <w:rPr>
                <w:rFonts w:ascii="Times New Roman" w:hAnsi="Times New Roman"/>
                <w:color w:val="auto"/>
                <w:sz w:val="18"/>
                <w:szCs w:val="18"/>
              </w:rPr>
            </w:pPr>
            <w:r>
              <w:rPr>
                <w:rFonts w:ascii="Times New Roman" w:hAnsi="Times New Roman"/>
                <w:color w:val="auto"/>
                <w:sz w:val="18"/>
                <w:szCs w:val="18"/>
              </w:rPr>
              <w:t>1.13</w:t>
            </w:r>
          </w:p>
        </w:tc>
        <w:tc>
          <w:tcPr>
            <w:tcW w:w="1421" w:type="dxa"/>
          </w:tcPr>
          <w:p w14:paraId="025A2E13">
            <w:pPr>
              <w:spacing w:before="80" w:after="160"/>
              <w:rPr>
                <w:rFonts w:ascii="Times New Roman" w:hAnsi="Times New Roman"/>
                <w:color w:val="auto"/>
                <w:sz w:val="18"/>
                <w:szCs w:val="18"/>
              </w:rPr>
            </w:pPr>
            <w:r>
              <w:rPr>
                <w:rFonts w:ascii="Times New Roman" w:hAnsi="Times New Roman"/>
                <w:color w:val="auto"/>
                <w:sz w:val="18"/>
                <w:szCs w:val="18"/>
              </w:rPr>
              <w:t>1.12</w:t>
            </w:r>
          </w:p>
        </w:tc>
        <w:tc>
          <w:tcPr>
            <w:tcW w:w="1421" w:type="dxa"/>
          </w:tcPr>
          <w:p w14:paraId="58A64201">
            <w:pPr>
              <w:spacing w:before="80" w:after="160"/>
              <w:rPr>
                <w:rFonts w:ascii="Times New Roman" w:hAnsi="Times New Roman"/>
                <w:color w:val="auto"/>
                <w:sz w:val="18"/>
                <w:szCs w:val="18"/>
              </w:rPr>
            </w:pPr>
            <w:r>
              <w:rPr>
                <w:rFonts w:ascii="Times New Roman" w:hAnsi="Times New Roman"/>
                <w:color w:val="auto"/>
                <w:sz w:val="18"/>
                <w:szCs w:val="18"/>
              </w:rPr>
              <w:t>1.12</w:t>
            </w:r>
          </w:p>
        </w:tc>
        <w:tc>
          <w:tcPr>
            <w:tcW w:w="1422" w:type="dxa"/>
          </w:tcPr>
          <w:p w14:paraId="7D3EF58E">
            <w:pPr>
              <w:spacing w:before="80" w:after="160"/>
              <w:rPr>
                <w:rFonts w:ascii="Times New Roman" w:hAnsi="Times New Roman"/>
                <w:color w:val="auto"/>
                <w:sz w:val="18"/>
                <w:szCs w:val="18"/>
              </w:rPr>
            </w:pPr>
            <w:r>
              <w:rPr>
                <w:rFonts w:ascii="Times New Roman" w:hAnsi="Times New Roman"/>
                <w:color w:val="auto"/>
                <w:sz w:val="18"/>
                <w:szCs w:val="18"/>
              </w:rPr>
              <w:t>1.11</w:t>
            </w:r>
          </w:p>
        </w:tc>
        <w:tc>
          <w:tcPr>
            <w:tcW w:w="1422" w:type="dxa"/>
          </w:tcPr>
          <w:p w14:paraId="735F4D95">
            <w:pPr>
              <w:spacing w:before="80" w:after="160"/>
              <w:rPr>
                <w:rFonts w:ascii="Times New Roman" w:hAnsi="Times New Roman"/>
                <w:color w:val="auto"/>
                <w:sz w:val="18"/>
                <w:szCs w:val="18"/>
              </w:rPr>
            </w:pPr>
            <w:r>
              <w:rPr>
                <w:rFonts w:ascii="Times New Roman" w:hAnsi="Times New Roman"/>
                <w:color w:val="auto"/>
                <w:sz w:val="18"/>
                <w:szCs w:val="18"/>
              </w:rPr>
              <w:t>1.15</w:t>
            </w:r>
          </w:p>
        </w:tc>
      </w:tr>
      <w:tr w14:paraId="03F9DB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16B52E6D">
            <w:pPr>
              <w:spacing w:before="80" w:after="160"/>
              <w:rPr>
                <w:rFonts w:ascii="Times New Roman" w:hAnsi="Times New Roman"/>
                <w:color w:val="auto"/>
                <w:sz w:val="18"/>
                <w:szCs w:val="18"/>
              </w:rPr>
            </w:pPr>
            <w:r>
              <w:rPr>
                <w:rFonts w:ascii="Times New Roman" w:hAnsi="Times New Roman"/>
                <w:color w:val="auto"/>
                <w:sz w:val="18"/>
                <w:szCs w:val="18"/>
              </w:rPr>
              <w:t>Cardiovascular comorbidity</w:t>
            </w:r>
          </w:p>
        </w:tc>
        <w:tc>
          <w:tcPr>
            <w:tcW w:w="1421" w:type="dxa"/>
          </w:tcPr>
          <w:p w14:paraId="3FC2CE49">
            <w:pPr>
              <w:spacing w:before="80" w:after="160"/>
              <w:rPr>
                <w:rFonts w:ascii="Times New Roman" w:hAnsi="Times New Roman"/>
                <w:color w:val="auto"/>
                <w:sz w:val="18"/>
                <w:szCs w:val="18"/>
              </w:rPr>
            </w:pPr>
            <w:r>
              <w:rPr>
                <w:rFonts w:ascii="Times New Roman" w:hAnsi="Times New Roman"/>
                <w:color w:val="auto"/>
                <w:sz w:val="18"/>
                <w:szCs w:val="18"/>
              </w:rPr>
              <w:t>1.12</w:t>
            </w:r>
          </w:p>
        </w:tc>
        <w:tc>
          <w:tcPr>
            <w:tcW w:w="1421" w:type="dxa"/>
          </w:tcPr>
          <w:p w14:paraId="2F709353">
            <w:pPr>
              <w:spacing w:before="80" w:after="160"/>
              <w:rPr>
                <w:rFonts w:ascii="Times New Roman" w:hAnsi="Times New Roman"/>
                <w:color w:val="auto"/>
                <w:sz w:val="18"/>
                <w:szCs w:val="18"/>
              </w:rPr>
            </w:pPr>
            <w:r>
              <w:rPr>
                <w:rFonts w:ascii="Times New Roman" w:hAnsi="Times New Roman"/>
                <w:color w:val="auto"/>
                <w:sz w:val="18"/>
                <w:szCs w:val="18"/>
              </w:rPr>
              <w:t>1.13</w:t>
            </w:r>
          </w:p>
        </w:tc>
        <w:tc>
          <w:tcPr>
            <w:tcW w:w="1421" w:type="dxa"/>
          </w:tcPr>
          <w:p w14:paraId="0CD0919A">
            <w:pPr>
              <w:spacing w:before="80" w:after="160"/>
              <w:rPr>
                <w:rFonts w:ascii="Times New Roman" w:hAnsi="Times New Roman"/>
                <w:color w:val="auto"/>
                <w:sz w:val="18"/>
                <w:szCs w:val="18"/>
              </w:rPr>
            </w:pPr>
            <w:r>
              <w:rPr>
                <w:rFonts w:ascii="Times New Roman" w:hAnsi="Times New Roman"/>
                <w:color w:val="auto"/>
                <w:sz w:val="18"/>
                <w:szCs w:val="18"/>
              </w:rPr>
              <w:t>1.08</w:t>
            </w:r>
          </w:p>
        </w:tc>
        <w:tc>
          <w:tcPr>
            <w:tcW w:w="1422" w:type="dxa"/>
          </w:tcPr>
          <w:p w14:paraId="386E6822">
            <w:pPr>
              <w:spacing w:before="80" w:after="160"/>
              <w:rPr>
                <w:rFonts w:ascii="Times New Roman" w:hAnsi="Times New Roman"/>
                <w:color w:val="auto"/>
                <w:sz w:val="18"/>
                <w:szCs w:val="18"/>
              </w:rPr>
            </w:pPr>
            <w:r>
              <w:rPr>
                <w:rFonts w:ascii="Times New Roman" w:hAnsi="Times New Roman"/>
                <w:color w:val="auto"/>
                <w:sz w:val="18"/>
                <w:szCs w:val="18"/>
              </w:rPr>
              <w:t>1.08</w:t>
            </w:r>
          </w:p>
        </w:tc>
        <w:tc>
          <w:tcPr>
            <w:tcW w:w="1422" w:type="dxa"/>
          </w:tcPr>
          <w:p w14:paraId="7E9DBA1D">
            <w:pPr>
              <w:spacing w:before="80" w:after="160"/>
              <w:rPr>
                <w:rFonts w:ascii="Times New Roman" w:hAnsi="Times New Roman"/>
                <w:color w:val="auto"/>
                <w:sz w:val="18"/>
                <w:szCs w:val="18"/>
              </w:rPr>
            </w:pPr>
            <w:r>
              <w:rPr>
                <w:rFonts w:ascii="Times New Roman" w:hAnsi="Times New Roman"/>
                <w:color w:val="auto"/>
                <w:sz w:val="18"/>
                <w:szCs w:val="18"/>
              </w:rPr>
              <w:t>1.14</w:t>
            </w:r>
          </w:p>
        </w:tc>
      </w:tr>
      <w:tr w14:paraId="31170F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236A8088">
            <w:pPr>
              <w:spacing w:before="80" w:after="160"/>
              <w:rPr>
                <w:rFonts w:ascii="Times New Roman" w:hAnsi="Times New Roman"/>
                <w:color w:val="auto"/>
                <w:sz w:val="18"/>
                <w:szCs w:val="18"/>
              </w:rPr>
            </w:pPr>
            <w:r>
              <w:rPr>
                <w:rFonts w:ascii="Times New Roman" w:hAnsi="Times New Roman"/>
                <w:color w:val="auto"/>
                <w:sz w:val="18"/>
                <w:szCs w:val="18"/>
              </w:rPr>
              <w:t>Diabetes</w:t>
            </w:r>
          </w:p>
        </w:tc>
        <w:tc>
          <w:tcPr>
            <w:tcW w:w="1421" w:type="dxa"/>
          </w:tcPr>
          <w:p w14:paraId="47D1B63A">
            <w:pPr>
              <w:spacing w:before="80" w:after="160"/>
              <w:rPr>
                <w:rFonts w:ascii="Times New Roman" w:hAnsi="Times New Roman"/>
                <w:color w:val="auto"/>
                <w:sz w:val="18"/>
                <w:szCs w:val="18"/>
              </w:rPr>
            </w:pPr>
            <w:r>
              <w:rPr>
                <w:rFonts w:ascii="Times New Roman" w:hAnsi="Times New Roman"/>
                <w:color w:val="auto"/>
                <w:sz w:val="18"/>
                <w:szCs w:val="18"/>
              </w:rPr>
              <w:t>1.17</w:t>
            </w:r>
          </w:p>
        </w:tc>
        <w:tc>
          <w:tcPr>
            <w:tcW w:w="1421" w:type="dxa"/>
          </w:tcPr>
          <w:p w14:paraId="53489A39">
            <w:pPr>
              <w:spacing w:before="80" w:after="160"/>
              <w:rPr>
                <w:rFonts w:ascii="Times New Roman" w:hAnsi="Times New Roman"/>
                <w:color w:val="auto"/>
                <w:sz w:val="18"/>
                <w:szCs w:val="18"/>
              </w:rPr>
            </w:pPr>
            <w:r>
              <w:rPr>
                <w:rFonts w:ascii="Times New Roman" w:hAnsi="Times New Roman"/>
                <w:color w:val="auto"/>
                <w:sz w:val="18"/>
                <w:szCs w:val="18"/>
              </w:rPr>
              <w:t>1.17</w:t>
            </w:r>
          </w:p>
        </w:tc>
        <w:tc>
          <w:tcPr>
            <w:tcW w:w="1421" w:type="dxa"/>
          </w:tcPr>
          <w:p w14:paraId="23515DAB">
            <w:pPr>
              <w:spacing w:before="80" w:after="160"/>
              <w:rPr>
                <w:rFonts w:ascii="Times New Roman" w:hAnsi="Times New Roman"/>
                <w:color w:val="auto"/>
                <w:sz w:val="18"/>
                <w:szCs w:val="18"/>
              </w:rPr>
            </w:pPr>
            <w:r>
              <w:rPr>
                <w:rFonts w:ascii="Times New Roman" w:hAnsi="Times New Roman"/>
                <w:color w:val="auto"/>
                <w:sz w:val="18"/>
                <w:szCs w:val="18"/>
              </w:rPr>
              <w:t>1.22</w:t>
            </w:r>
          </w:p>
        </w:tc>
        <w:tc>
          <w:tcPr>
            <w:tcW w:w="1422" w:type="dxa"/>
          </w:tcPr>
          <w:p w14:paraId="03831E40">
            <w:pPr>
              <w:spacing w:before="80" w:after="160"/>
              <w:rPr>
                <w:rFonts w:ascii="Times New Roman" w:hAnsi="Times New Roman"/>
                <w:color w:val="auto"/>
                <w:sz w:val="18"/>
                <w:szCs w:val="18"/>
              </w:rPr>
            </w:pPr>
            <w:r>
              <w:rPr>
                <w:rFonts w:ascii="Times New Roman" w:hAnsi="Times New Roman"/>
                <w:color w:val="auto"/>
                <w:sz w:val="18"/>
                <w:szCs w:val="18"/>
              </w:rPr>
              <w:t>1.22</w:t>
            </w:r>
          </w:p>
        </w:tc>
        <w:tc>
          <w:tcPr>
            <w:tcW w:w="1422" w:type="dxa"/>
          </w:tcPr>
          <w:p w14:paraId="582C2868">
            <w:pPr>
              <w:spacing w:before="80" w:after="160"/>
              <w:rPr>
                <w:rFonts w:ascii="Times New Roman" w:hAnsi="Times New Roman"/>
                <w:color w:val="auto"/>
                <w:sz w:val="18"/>
                <w:szCs w:val="18"/>
              </w:rPr>
            </w:pPr>
            <w:r>
              <w:rPr>
                <w:rFonts w:ascii="Times New Roman" w:hAnsi="Times New Roman"/>
                <w:color w:val="auto"/>
                <w:sz w:val="18"/>
                <w:szCs w:val="18"/>
              </w:rPr>
              <w:t>1.23</w:t>
            </w:r>
          </w:p>
        </w:tc>
      </w:tr>
      <w:tr w14:paraId="1154B5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5CBE370C">
            <w:pPr>
              <w:spacing w:before="80" w:after="160"/>
              <w:rPr>
                <w:rFonts w:ascii="Times New Roman" w:hAnsi="Times New Roman"/>
                <w:color w:val="auto"/>
                <w:sz w:val="18"/>
                <w:szCs w:val="18"/>
              </w:rPr>
            </w:pPr>
            <w:r>
              <w:rPr>
                <w:rFonts w:ascii="Times New Roman" w:hAnsi="Times New Roman"/>
                <w:color w:val="auto"/>
                <w:sz w:val="18"/>
                <w:szCs w:val="18"/>
              </w:rPr>
              <w:t>Neurologic comorbidity</w:t>
            </w:r>
          </w:p>
        </w:tc>
        <w:tc>
          <w:tcPr>
            <w:tcW w:w="1421" w:type="dxa"/>
          </w:tcPr>
          <w:p w14:paraId="0852B8BB">
            <w:pPr>
              <w:spacing w:before="80" w:after="160"/>
              <w:rPr>
                <w:rFonts w:ascii="Times New Roman" w:hAnsi="Times New Roman"/>
                <w:color w:val="auto"/>
                <w:sz w:val="18"/>
                <w:szCs w:val="18"/>
              </w:rPr>
            </w:pPr>
            <w:r>
              <w:rPr>
                <w:rFonts w:ascii="Times New Roman" w:hAnsi="Times New Roman"/>
                <w:color w:val="auto"/>
                <w:sz w:val="18"/>
                <w:szCs w:val="18"/>
              </w:rPr>
              <w:t>1.07</w:t>
            </w:r>
          </w:p>
        </w:tc>
        <w:tc>
          <w:tcPr>
            <w:tcW w:w="1421" w:type="dxa"/>
          </w:tcPr>
          <w:p w14:paraId="68858A97">
            <w:pPr>
              <w:spacing w:before="80" w:after="160"/>
              <w:rPr>
                <w:rFonts w:ascii="Times New Roman" w:hAnsi="Times New Roman"/>
                <w:color w:val="auto"/>
                <w:sz w:val="18"/>
                <w:szCs w:val="18"/>
              </w:rPr>
            </w:pPr>
            <w:r>
              <w:rPr>
                <w:rFonts w:ascii="Times New Roman" w:hAnsi="Times New Roman"/>
                <w:color w:val="auto"/>
                <w:sz w:val="18"/>
                <w:szCs w:val="18"/>
              </w:rPr>
              <w:t>1.07</w:t>
            </w:r>
          </w:p>
        </w:tc>
        <w:tc>
          <w:tcPr>
            <w:tcW w:w="1421" w:type="dxa"/>
          </w:tcPr>
          <w:p w14:paraId="6622A695">
            <w:pPr>
              <w:spacing w:before="80" w:after="160"/>
              <w:rPr>
                <w:rFonts w:ascii="Times New Roman" w:hAnsi="Times New Roman"/>
                <w:color w:val="auto"/>
                <w:sz w:val="18"/>
                <w:szCs w:val="18"/>
              </w:rPr>
            </w:pPr>
            <w:r>
              <w:rPr>
                <w:rFonts w:ascii="Times New Roman" w:hAnsi="Times New Roman"/>
                <w:color w:val="auto"/>
                <w:sz w:val="18"/>
                <w:szCs w:val="18"/>
              </w:rPr>
              <w:t>1.03</w:t>
            </w:r>
          </w:p>
        </w:tc>
        <w:tc>
          <w:tcPr>
            <w:tcW w:w="1422" w:type="dxa"/>
          </w:tcPr>
          <w:p w14:paraId="5A5D9943">
            <w:pPr>
              <w:spacing w:before="80" w:after="160"/>
              <w:rPr>
                <w:rFonts w:ascii="Times New Roman" w:hAnsi="Times New Roman"/>
                <w:color w:val="auto"/>
                <w:sz w:val="18"/>
                <w:szCs w:val="18"/>
              </w:rPr>
            </w:pPr>
            <w:r>
              <w:rPr>
                <w:rFonts w:ascii="Times New Roman" w:hAnsi="Times New Roman"/>
                <w:color w:val="auto"/>
                <w:sz w:val="18"/>
                <w:szCs w:val="18"/>
              </w:rPr>
              <w:t>1.03</w:t>
            </w:r>
          </w:p>
        </w:tc>
        <w:tc>
          <w:tcPr>
            <w:tcW w:w="1422" w:type="dxa"/>
          </w:tcPr>
          <w:p w14:paraId="53CD9833">
            <w:pPr>
              <w:spacing w:before="80" w:after="160"/>
              <w:rPr>
                <w:rFonts w:ascii="Times New Roman" w:hAnsi="Times New Roman"/>
                <w:color w:val="auto"/>
                <w:sz w:val="18"/>
                <w:szCs w:val="18"/>
              </w:rPr>
            </w:pPr>
            <w:r>
              <w:rPr>
                <w:rFonts w:ascii="Times New Roman" w:hAnsi="Times New Roman"/>
                <w:color w:val="auto"/>
                <w:sz w:val="18"/>
                <w:szCs w:val="18"/>
              </w:rPr>
              <w:t>1.10</w:t>
            </w:r>
          </w:p>
        </w:tc>
      </w:tr>
      <w:tr w14:paraId="038DCD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79D0E6B9">
            <w:pPr>
              <w:spacing w:before="80" w:after="160"/>
              <w:rPr>
                <w:rFonts w:ascii="Times New Roman" w:hAnsi="Times New Roman"/>
                <w:color w:val="auto"/>
                <w:sz w:val="18"/>
                <w:szCs w:val="18"/>
              </w:rPr>
            </w:pPr>
            <w:r>
              <w:rPr>
                <w:rFonts w:ascii="Times New Roman" w:hAnsi="Times New Roman"/>
                <w:color w:val="auto"/>
                <w:sz w:val="18"/>
                <w:szCs w:val="18"/>
              </w:rPr>
              <w:t>Chronic kidney disease</w:t>
            </w:r>
          </w:p>
        </w:tc>
        <w:tc>
          <w:tcPr>
            <w:tcW w:w="1421" w:type="dxa"/>
          </w:tcPr>
          <w:p w14:paraId="5E303D71">
            <w:pPr>
              <w:spacing w:before="80" w:after="160"/>
              <w:rPr>
                <w:rFonts w:ascii="Times New Roman" w:hAnsi="Times New Roman"/>
                <w:color w:val="auto"/>
                <w:sz w:val="18"/>
                <w:szCs w:val="18"/>
              </w:rPr>
            </w:pPr>
            <w:r>
              <w:rPr>
                <w:rFonts w:ascii="Times New Roman" w:hAnsi="Times New Roman"/>
                <w:color w:val="auto"/>
                <w:sz w:val="18"/>
                <w:szCs w:val="18"/>
              </w:rPr>
              <w:t>1.17</w:t>
            </w:r>
          </w:p>
        </w:tc>
        <w:tc>
          <w:tcPr>
            <w:tcW w:w="1421" w:type="dxa"/>
          </w:tcPr>
          <w:p w14:paraId="7BB20A2A">
            <w:pPr>
              <w:spacing w:before="80" w:after="160"/>
              <w:rPr>
                <w:rFonts w:ascii="Times New Roman" w:hAnsi="Times New Roman"/>
                <w:color w:val="auto"/>
                <w:sz w:val="18"/>
                <w:szCs w:val="18"/>
              </w:rPr>
            </w:pPr>
            <w:r>
              <w:rPr>
                <w:rFonts w:ascii="Times New Roman" w:hAnsi="Times New Roman"/>
                <w:color w:val="auto"/>
                <w:sz w:val="18"/>
                <w:szCs w:val="18"/>
              </w:rPr>
              <w:t>1.16</w:t>
            </w:r>
          </w:p>
        </w:tc>
        <w:tc>
          <w:tcPr>
            <w:tcW w:w="1421" w:type="dxa"/>
          </w:tcPr>
          <w:p w14:paraId="783CDF98">
            <w:pPr>
              <w:spacing w:before="80" w:after="160"/>
              <w:rPr>
                <w:rFonts w:ascii="Times New Roman" w:hAnsi="Times New Roman"/>
                <w:color w:val="auto"/>
                <w:sz w:val="18"/>
                <w:szCs w:val="18"/>
              </w:rPr>
            </w:pPr>
            <w:r>
              <w:rPr>
                <w:rFonts w:ascii="Times New Roman" w:hAnsi="Times New Roman"/>
                <w:color w:val="auto"/>
                <w:sz w:val="18"/>
                <w:szCs w:val="18"/>
              </w:rPr>
              <w:t>1.10</w:t>
            </w:r>
          </w:p>
        </w:tc>
        <w:tc>
          <w:tcPr>
            <w:tcW w:w="1422" w:type="dxa"/>
          </w:tcPr>
          <w:p w14:paraId="525AD19D">
            <w:pPr>
              <w:spacing w:before="80" w:after="160"/>
              <w:rPr>
                <w:rFonts w:ascii="Times New Roman" w:hAnsi="Times New Roman"/>
                <w:color w:val="auto"/>
                <w:sz w:val="18"/>
                <w:szCs w:val="18"/>
              </w:rPr>
            </w:pPr>
            <w:r>
              <w:rPr>
                <w:rFonts w:ascii="Times New Roman" w:hAnsi="Times New Roman"/>
                <w:color w:val="auto"/>
                <w:sz w:val="18"/>
                <w:szCs w:val="18"/>
              </w:rPr>
              <w:t>1.10</w:t>
            </w:r>
          </w:p>
        </w:tc>
        <w:tc>
          <w:tcPr>
            <w:tcW w:w="1422" w:type="dxa"/>
          </w:tcPr>
          <w:p w14:paraId="01285692">
            <w:pPr>
              <w:spacing w:before="80" w:after="160"/>
              <w:rPr>
                <w:rFonts w:ascii="Times New Roman" w:hAnsi="Times New Roman"/>
                <w:color w:val="auto"/>
                <w:sz w:val="18"/>
                <w:szCs w:val="18"/>
              </w:rPr>
            </w:pPr>
            <w:r>
              <w:rPr>
                <w:rFonts w:ascii="Times New Roman" w:hAnsi="Times New Roman"/>
                <w:color w:val="auto"/>
                <w:sz w:val="18"/>
                <w:szCs w:val="18"/>
              </w:rPr>
              <w:t>1.47</w:t>
            </w:r>
          </w:p>
        </w:tc>
      </w:tr>
      <w:tr w14:paraId="6DEDDC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72000D10">
            <w:pPr>
              <w:spacing w:before="80" w:after="160"/>
              <w:rPr>
                <w:rFonts w:ascii="Times New Roman" w:hAnsi="Times New Roman"/>
                <w:color w:val="auto"/>
                <w:sz w:val="18"/>
                <w:szCs w:val="18"/>
              </w:rPr>
            </w:pPr>
            <w:r>
              <w:rPr>
                <w:rFonts w:ascii="Times New Roman" w:hAnsi="Times New Roman"/>
                <w:color w:val="auto"/>
                <w:sz w:val="18"/>
                <w:szCs w:val="18"/>
              </w:rPr>
              <w:t>COPD</w:t>
            </w:r>
          </w:p>
        </w:tc>
        <w:tc>
          <w:tcPr>
            <w:tcW w:w="1421" w:type="dxa"/>
          </w:tcPr>
          <w:p w14:paraId="070223FF">
            <w:pPr>
              <w:spacing w:before="80" w:after="160"/>
              <w:rPr>
                <w:rFonts w:ascii="Times New Roman" w:hAnsi="Times New Roman"/>
                <w:color w:val="auto"/>
                <w:sz w:val="18"/>
                <w:szCs w:val="18"/>
              </w:rPr>
            </w:pPr>
            <w:r>
              <w:rPr>
                <w:rFonts w:ascii="Times New Roman" w:hAnsi="Times New Roman"/>
                <w:color w:val="auto"/>
                <w:sz w:val="18"/>
                <w:szCs w:val="18"/>
              </w:rPr>
              <w:t>1.02</w:t>
            </w:r>
          </w:p>
        </w:tc>
        <w:tc>
          <w:tcPr>
            <w:tcW w:w="1421" w:type="dxa"/>
          </w:tcPr>
          <w:p w14:paraId="782BA78E">
            <w:pPr>
              <w:spacing w:before="80" w:after="160"/>
              <w:rPr>
                <w:rFonts w:ascii="Times New Roman" w:hAnsi="Times New Roman"/>
                <w:color w:val="auto"/>
                <w:sz w:val="18"/>
                <w:szCs w:val="18"/>
              </w:rPr>
            </w:pPr>
            <w:r>
              <w:rPr>
                <w:rFonts w:ascii="Times New Roman" w:hAnsi="Times New Roman"/>
                <w:color w:val="auto"/>
                <w:sz w:val="18"/>
                <w:szCs w:val="18"/>
              </w:rPr>
              <w:t>1.02</w:t>
            </w:r>
          </w:p>
        </w:tc>
        <w:tc>
          <w:tcPr>
            <w:tcW w:w="1421" w:type="dxa"/>
          </w:tcPr>
          <w:p w14:paraId="3DC7DC16">
            <w:pPr>
              <w:spacing w:before="80" w:after="160"/>
              <w:rPr>
                <w:rFonts w:ascii="Times New Roman" w:hAnsi="Times New Roman"/>
                <w:color w:val="auto"/>
                <w:sz w:val="18"/>
                <w:szCs w:val="18"/>
              </w:rPr>
            </w:pPr>
            <w:r>
              <w:rPr>
                <w:rFonts w:ascii="Times New Roman" w:hAnsi="Times New Roman"/>
                <w:color w:val="auto"/>
                <w:sz w:val="18"/>
                <w:szCs w:val="18"/>
              </w:rPr>
              <w:t>1.03</w:t>
            </w:r>
          </w:p>
        </w:tc>
        <w:tc>
          <w:tcPr>
            <w:tcW w:w="1422" w:type="dxa"/>
          </w:tcPr>
          <w:p w14:paraId="3753083E">
            <w:pPr>
              <w:spacing w:before="80" w:after="160"/>
              <w:rPr>
                <w:rFonts w:ascii="Times New Roman" w:hAnsi="Times New Roman"/>
                <w:color w:val="auto"/>
                <w:sz w:val="18"/>
                <w:szCs w:val="18"/>
              </w:rPr>
            </w:pPr>
            <w:r>
              <w:rPr>
                <w:rFonts w:ascii="Times New Roman" w:hAnsi="Times New Roman"/>
                <w:color w:val="auto"/>
                <w:sz w:val="18"/>
                <w:szCs w:val="18"/>
              </w:rPr>
              <w:t>1.03</w:t>
            </w:r>
          </w:p>
        </w:tc>
        <w:tc>
          <w:tcPr>
            <w:tcW w:w="1422" w:type="dxa"/>
          </w:tcPr>
          <w:p w14:paraId="076FFA9C">
            <w:pPr>
              <w:spacing w:before="80" w:after="160"/>
              <w:rPr>
                <w:rFonts w:ascii="Times New Roman" w:hAnsi="Times New Roman"/>
                <w:color w:val="auto"/>
                <w:sz w:val="18"/>
                <w:szCs w:val="18"/>
              </w:rPr>
            </w:pPr>
            <w:r>
              <w:rPr>
                <w:rFonts w:ascii="Times New Roman" w:hAnsi="Times New Roman"/>
                <w:color w:val="auto"/>
                <w:sz w:val="18"/>
                <w:szCs w:val="18"/>
              </w:rPr>
              <w:t>1.04</w:t>
            </w:r>
          </w:p>
        </w:tc>
      </w:tr>
      <w:tr w14:paraId="274544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5921E2CE">
            <w:pPr>
              <w:spacing w:before="80" w:after="160"/>
              <w:rPr>
                <w:rFonts w:ascii="Times New Roman" w:hAnsi="Times New Roman"/>
                <w:color w:val="auto"/>
                <w:sz w:val="18"/>
                <w:szCs w:val="18"/>
              </w:rPr>
            </w:pPr>
            <w:r>
              <w:rPr>
                <w:rFonts w:ascii="Times New Roman" w:hAnsi="Times New Roman"/>
                <w:color w:val="auto"/>
                <w:sz w:val="18"/>
                <w:szCs w:val="18"/>
              </w:rPr>
              <w:t>Malignancy</w:t>
            </w:r>
          </w:p>
        </w:tc>
        <w:tc>
          <w:tcPr>
            <w:tcW w:w="1421" w:type="dxa"/>
          </w:tcPr>
          <w:p w14:paraId="0406E15D">
            <w:pPr>
              <w:spacing w:before="80" w:after="160"/>
              <w:rPr>
                <w:rFonts w:ascii="Times New Roman" w:hAnsi="Times New Roman"/>
                <w:color w:val="auto"/>
                <w:sz w:val="18"/>
                <w:szCs w:val="18"/>
              </w:rPr>
            </w:pPr>
            <w:r>
              <w:rPr>
                <w:rFonts w:ascii="Times New Roman" w:hAnsi="Times New Roman"/>
                <w:color w:val="auto"/>
                <w:sz w:val="18"/>
                <w:szCs w:val="18"/>
              </w:rPr>
              <w:t>1.05</w:t>
            </w:r>
          </w:p>
        </w:tc>
        <w:tc>
          <w:tcPr>
            <w:tcW w:w="1421" w:type="dxa"/>
          </w:tcPr>
          <w:p w14:paraId="17006F2D">
            <w:pPr>
              <w:spacing w:before="80" w:after="160"/>
              <w:rPr>
                <w:rFonts w:ascii="Times New Roman" w:hAnsi="Times New Roman"/>
                <w:color w:val="auto"/>
                <w:sz w:val="18"/>
                <w:szCs w:val="18"/>
              </w:rPr>
            </w:pPr>
            <w:r>
              <w:rPr>
                <w:rFonts w:ascii="Times New Roman" w:hAnsi="Times New Roman"/>
                <w:color w:val="auto"/>
                <w:sz w:val="18"/>
                <w:szCs w:val="18"/>
              </w:rPr>
              <w:t>1.04</w:t>
            </w:r>
          </w:p>
        </w:tc>
        <w:tc>
          <w:tcPr>
            <w:tcW w:w="1421" w:type="dxa"/>
          </w:tcPr>
          <w:p w14:paraId="06B5C248">
            <w:pPr>
              <w:spacing w:before="80" w:after="160"/>
              <w:rPr>
                <w:rFonts w:ascii="Times New Roman" w:hAnsi="Times New Roman"/>
                <w:color w:val="auto"/>
                <w:sz w:val="18"/>
                <w:szCs w:val="18"/>
              </w:rPr>
            </w:pPr>
            <w:r>
              <w:rPr>
                <w:rFonts w:ascii="Times New Roman" w:hAnsi="Times New Roman"/>
                <w:color w:val="auto"/>
                <w:sz w:val="18"/>
                <w:szCs w:val="18"/>
              </w:rPr>
              <w:t>1.03</w:t>
            </w:r>
          </w:p>
        </w:tc>
        <w:tc>
          <w:tcPr>
            <w:tcW w:w="1422" w:type="dxa"/>
          </w:tcPr>
          <w:p w14:paraId="05EAE8BA">
            <w:pPr>
              <w:spacing w:before="80" w:after="160"/>
              <w:rPr>
                <w:rFonts w:ascii="Times New Roman" w:hAnsi="Times New Roman"/>
                <w:color w:val="auto"/>
                <w:sz w:val="18"/>
                <w:szCs w:val="18"/>
              </w:rPr>
            </w:pPr>
            <w:r>
              <w:rPr>
                <w:rFonts w:ascii="Times New Roman" w:hAnsi="Times New Roman"/>
                <w:color w:val="auto"/>
                <w:sz w:val="18"/>
                <w:szCs w:val="18"/>
              </w:rPr>
              <w:t>1.03</w:t>
            </w:r>
          </w:p>
        </w:tc>
        <w:tc>
          <w:tcPr>
            <w:tcW w:w="1422" w:type="dxa"/>
          </w:tcPr>
          <w:p w14:paraId="1FEECD43">
            <w:pPr>
              <w:spacing w:before="80" w:after="160"/>
              <w:rPr>
                <w:rFonts w:ascii="Times New Roman" w:hAnsi="Times New Roman"/>
                <w:color w:val="auto"/>
                <w:sz w:val="18"/>
                <w:szCs w:val="18"/>
              </w:rPr>
            </w:pPr>
            <w:r>
              <w:rPr>
                <w:rFonts w:ascii="Times New Roman" w:hAnsi="Times New Roman"/>
                <w:color w:val="auto"/>
                <w:sz w:val="18"/>
                <w:szCs w:val="18"/>
              </w:rPr>
              <w:t>1.06</w:t>
            </w:r>
          </w:p>
        </w:tc>
      </w:tr>
      <w:tr w14:paraId="247B7C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276E496A">
            <w:pPr>
              <w:spacing w:before="80" w:after="160"/>
              <w:rPr>
                <w:rFonts w:ascii="Times New Roman" w:hAnsi="Times New Roman"/>
                <w:color w:val="auto"/>
                <w:sz w:val="18"/>
                <w:szCs w:val="18"/>
              </w:rPr>
            </w:pPr>
            <w:r>
              <w:rPr>
                <w:rFonts w:ascii="Times New Roman" w:hAnsi="Times New Roman"/>
                <w:color w:val="auto"/>
                <w:sz w:val="18"/>
                <w:szCs w:val="18"/>
              </w:rPr>
              <w:t>Chronic liver disease</w:t>
            </w:r>
          </w:p>
        </w:tc>
        <w:tc>
          <w:tcPr>
            <w:tcW w:w="1421" w:type="dxa"/>
          </w:tcPr>
          <w:p w14:paraId="4D033D86">
            <w:pPr>
              <w:spacing w:before="80" w:after="160"/>
              <w:rPr>
                <w:rFonts w:ascii="Times New Roman" w:hAnsi="Times New Roman"/>
                <w:color w:val="auto"/>
                <w:sz w:val="18"/>
                <w:szCs w:val="18"/>
              </w:rPr>
            </w:pPr>
            <w:r>
              <w:rPr>
                <w:rFonts w:ascii="Times New Roman" w:hAnsi="Times New Roman"/>
                <w:color w:val="auto"/>
                <w:sz w:val="18"/>
                <w:szCs w:val="18"/>
              </w:rPr>
              <w:t>1.07</w:t>
            </w:r>
          </w:p>
        </w:tc>
        <w:tc>
          <w:tcPr>
            <w:tcW w:w="1421" w:type="dxa"/>
          </w:tcPr>
          <w:p w14:paraId="105C2B9A">
            <w:pPr>
              <w:spacing w:before="80" w:after="160"/>
              <w:rPr>
                <w:rFonts w:ascii="Times New Roman" w:hAnsi="Times New Roman"/>
                <w:color w:val="auto"/>
                <w:sz w:val="18"/>
                <w:szCs w:val="18"/>
              </w:rPr>
            </w:pPr>
            <w:r>
              <w:rPr>
                <w:rFonts w:ascii="Times New Roman" w:hAnsi="Times New Roman"/>
                <w:color w:val="auto"/>
                <w:sz w:val="18"/>
                <w:szCs w:val="18"/>
              </w:rPr>
              <w:t>1.07</w:t>
            </w:r>
          </w:p>
        </w:tc>
        <w:tc>
          <w:tcPr>
            <w:tcW w:w="1421" w:type="dxa"/>
          </w:tcPr>
          <w:p w14:paraId="3B017854">
            <w:pPr>
              <w:spacing w:before="80" w:after="160"/>
              <w:rPr>
                <w:rFonts w:ascii="Times New Roman" w:hAnsi="Times New Roman"/>
                <w:color w:val="auto"/>
                <w:sz w:val="18"/>
                <w:szCs w:val="18"/>
              </w:rPr>
            </w:pPr>
            <w:r>
              <w:rPr>
                <w:rFonts w:ascii="Times New Roman" w:hAnsi="Times New Roman"/>
                <w:color w:val="auto"/>
                <w:sz w:val="18"/>
                <w:szCs w:val="18"/>
              </w:rPr>
              <w:t>1.03</w:t>
            </w:r>
          </w:p>
        </w:tc>
        <w:tc>
          <w:tcPr>
            <w:tcW w:w="1422" w:type="dxa"/>
          </w:tcPr>
          <w:p w14:paraId="42720FFF">
            <w:pPr>
              <w:spacing w:before="80" w:after="160"/>
              <w:rPr>
                <w:rFonts w:ascii="Times New Roman" w:hAnsi="Times New Roman"/>
                <w:color w:val="auto"/>
                <w:sz w:val="18"/>
                <w:szCs w:val="18"/>
              </w:rPr>
            </w:pPr>
            <w:r>
              <w:rPr>
                <w:rFonts w:ascii="Times New Roman" w:hAnsi="Times New Roman"/>
                <w:color w:val="auto"/>
                <w:sz w:val="18"/>
                <w:szCs w:val="18"/>
              </w:rPr>
              <w:t>1.03</w:t>
            </w:r>
          </w:p>
        </w:tc>
        <w:tc>
          <w:tcPr>
            <w:tcW w:w="1422" w:type="dxa"/>
          </w:tcPr>
          <w:p w14:paraId="2CDC8F8A">
            <w:pPr>
              <w:spacing w:before="80" w:after="160"/>
              <w:rPr>
                <w:rFonts w:ascii="Times New Roman" w:hAnsi="Times New Roman"/>
                <w:color w:val="auto"/>
                <w:sz w:val="18"/>
                <w:szCs w:val="18"/>
              </w:rPr>
            </w:pPr>
            <w:r>
              <w:rPr>
                <w:rFonts w:ascii="Times New Roman" w:hAnsi="Times New Roman"/>
                <w:color w:val="auto"/>
                <w:sz w:val="18"/>
                <w:szCs w:val="18"/>
              </w:rPr>
              <w:t>1.16</w:t>
            </w:r>
          </w:p>
        </w:tc>
      </w:tr>
      <w:tr w14:paraId="017EE9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30577210">
            <w:pPr>
              <w:spacing w:before="80" w:after="160"/>
              <w:rPr>
                <w:rFonts w:ascii="Times New Roman" w:hAnsi="Times New Roman"/>
                <w:color w:val="auto"/>
                <w:sz w:val="18"/>
                <w:szCs w:val="18"/>
              </w:rPr>
            </w:pPr>
            <w:r>
              <w:rPr>
                <w:rFonts w:ascii="Times New Roman" w:hAnsi="Times New Roman"/>
                <w:color w:val="auto"/>
                <w:sz w:val="18"/>
                <w:szCs w:val="18"/>
              </w:rPr>
              <w:t>White blood cell count</w:t>
            </w:r>
          </w:p>
        </w:tc>
        <w:tc>
          <w:tcPr>
            <w:tcW w:w="1421" w:type="dxa"/>
          </w:tcPr>
          <w:p w14:paraId="25BF8DA1">
            <w:pPr>
              <w:spacing w:before="80" w:after="160"/>
              <w:rPr>
                <w:rFonts w:ascii="Times New Roman" w:hAnsi="Times New Roman"/>
                <w:color w:val="auto"/>
                <w:sz w:val="18"/>
                <w:szCs w:val="18"/>
              </w:rPr>
            </w:pPr>
            <w:r>
              <w:rPr>
                <w:rFonts w:ascii="Times New Roman" w:hAnsi="Times New Roman"/>
                <w:color w:val="auto"/>
                <w:sz w:val="18"/>
                <w:szCs w:val="18"/>
              </w:rPr>
              <w:t>1.06</w:t>
            </w:r>
          </w:p>
        </w:tc>
        <w:tc>
          <w:tcPr>
            <w:tcW w:w="1421" w:type="dxa"/>
          </w:tcPr>
          <w:p w14:paraId="40A92DB5">
            <w:pPr>
              <w:spacing w:before="80" w:after="160"/>
              <w:rPr>
                <w:rFonts w:ascii="Times New Roman" w:hAnsi="Times New Roman"/>
                <w:color w:val="auto"/>
                <w:sz w:val="18"/>
                <w:szCs w:val="18"/>
              </w:rPr>
            </w:pPr>
            <w:r>
              <w:rPr>
                <w:rFonts w:ascii="Times New Roman" w:hAnsi="Times New Roman"/>
                <w:color w:val="auto"/>
                <w:sz w:val="18"/>
                <w:szCs w:val="18"/>
              </w:rPr>
              <w:t>1.06</w:t>
            </w:r>
          </w:p>
        </w:tc>
        <w:tc>
          <w:tcPr>
            <w:tcW w:w="1421" w:type="dxa"/>
          </w:tcPr>
          <w:p w14:paraId="354B58E3">
            <w:pPr>
              <w:spacing w:before="80" w:after="160"/>
              <w:rPr>
                <w:rFonts w:ascii="Times New Roman" w:hAnsi="Times New Roman"/>
                <w:color w:val="auto"/>
                <w:sz w:val="18"/>
                <w:szCs w:val="18"/>
              </w:rPr>
            </w:pPr>
            <w:r>
              <w:rPr>
                <w:rFonts w:ascii="Times New Roman" w:hAnsi="Times New Roman"/>
                <w:color w:val="auto"/>
                <w:sz w:val="18"/>
                <w:szCs w:val="18"/>
              </w:rPr>
              <w:t>1.12</w:t>
            </w:r>
          </w:p>
        </w:tc>
        <w:tc>
          <w:tcPr>
            <w:tcW w:w="1422" w:type="dxa"/>
          </w:tcPr>
          <w:p w14:paraId="269DD807">
            <w:pPr>
              <w:spacing w:before="80" w:after="160"/>
              <w:rPr>
                <w:rFonts w:ascii="Times New Roman" w:hAnsi="Times New Roman"/>
                <w:color w:val="auto"/>
                <w:sz w:val="18"/>
                <w:szCs w:val="18"/>
              </w:rPr>
            </w:pPr>
            <w:r>
              <w:rPr>
                <w:rFonts w:ascii="Times New Roman" w:hAnsi="Times New Roman"/>
                <w:color w:val="auto"/>
                <w:sz w:val="18"/>
                <w:szCs w:val="18"/>
              </w:rPr>
              <w:t>1.12</w:t>
            </w:r>
          </w:p>
        </w:tc>
        <w:tc>
          <w:tcPr>
            <w:tcW w:w="1422" w:type="dxa"/>
          </w:tcPr>
          <w:p w14:paraId="10755D09">
            <w:pPr>
              <w:spacing w:before="80" w:after="160"/>
              <w:rPr>
                <w:rFonts w:ascii="Times New Roman" w:hAnsi="Times New Roman"/>
                <w:color w:val="auto"/>
                <w:sz w:val="18"/>
                <w:szCs w:val="18"/>
              </w:rPr>
            </w:pPr>
            <w:r>
              <w:rPr>
                <w:rFonts w:ascii="Times New Roman" w:hAnsi="Times New Roman"/>
                <w:color w:val="auto"/>
                <w:sz w:val="18"/>
                <w:szCs w:val="18"/>
              </w:rPr>
              <w:t>1.13</w:t>
            </w:r>
          </w:p>
        </w:tc>
      </w:tr>
      <w:tr w14:paraId="1A24E9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7CD48FC9">
            <w:pPr>
              <w:spacing w:before="80" w:after="160"/>
              <w:rPr>
                <w:rFonts w:ascii="Times New Roman" w:hAnsi="Times New Roman"/>
                <w:color w:val="auto"/>
                <w:sz w:val="18"/>
                <w:szCs w:val="18"/>
              </w:rPr>
            </w:pPr>
            <w:r>
              <w:rPr>
                <w:rFonts w:ascii="Times New Roman" w:hAnsi="Times New Roman"/>
                <w:color w:val="auto"/>
                <w:sz w:val="18"/>
                <w:szCs w:val="18"/>
              </w:rPr>
              <w:t>Hemoglobin</w:t>
            </w:r>
          </w:p>
        </w:tc>
        <w:tc>
          <w:tcPr>
            <w:tcW w:w="1421" w:type="dxa"/>
          </w:tcPr>
          <w:p w14:paraId="019CFFDF">
            <w:pPr>
              <w:spacing w:before="80" w:after="160"/>
              <w:rPr>
                <w:rFonts w:ascii="Times New Roman" w:hAnsi="Times New Roman"/>
                <w:color w:val="auto"/>
                <w:sz w:val="18"/>
                <w:szCs w:val="18"/>
              </w:rPr>
            </w:pPr>
            <w:r>
              <w:rPr>
                <w:rFonts w:ascii="Times New Roman" w:hAnsi="Times New Roman"/>
                <w:color w:val="auto"/>
                <w:sz w:val="18"/>
                <w:szCs w:val="18"/>
              </w:rPr>
              <w:t>1.20</w:t>
            </w:r>
          </w:p>
        </w:tc>
        <w:tc>
          <w:tcPr>
            <w:tcW w:w="1421" w:type="dxa"/>
          </w:tcPr>
          <w:p w14:paraId="7F10B199">
            <w:pPr>
              <w:spacing w:before="80" w:after="160"/>
              <w:rPr>
                <w:rFonts w:ascii="Times New Roman" w:hAnsi="Times New Roman"/>
                <w:color w:val="auto"/>
                <w:sz w:val="18"/>
                <w:szCs w:val="18"/>
              </w:rPr>
            </w:pPr>
            <w:r>
              <w:rPr>
                <w:rFonts w:ascii="Times New Roman" w:hAnsi="Times New Roman"/>
                <w:color w:val="auto"/>
                <w:sz w:val="18"/>
                <w:szCs w:val="18"/>
              </w:rPr>
              <w:t>1.19</w:t>
            </w:r>
          </w:p>
        </w:tc>
        <w:tc>
          <w:tcPr>
            <w:tcW w:w="1421" w:type="dxa"/>
          </w:tcPr>
          <w:p w14:paraId="3E7A4580">
            <w:pPr>
              <w:spacing w:before="80" w:after="160"/>
              <w:rPr>
                <w:rFonts w:ascii="Times New Roman" w:hAnsi="Times New Roman"/>
                <w:color w:val="auto"/>
                <w:sz w:val="18"/>
                <w:szCs w:val="18"/>
              </w:rPr>
            </w:pPr>
            <w:r>
              <w:rPr>
                <w:rFonts w:ascii="Times New Roman" w:hAnsi="Times New Roman"/>
                <w:color w:val="auto"/>
                <w:sz w:val="18"/>
                <w:szCs w:val="18"/>
              </w:rPr>
              <w:t>1.11</w:t>
            </w:r>
          </w:p>
        </w:tc>
        <w:tc>
          <w:tcPr>
            <w:tcW w:w="1422" w:type="dxa"/>
          </w:tcPr>
          <w:p w14:paraId="73C91BBC">
            <w:pPr>
              <w:spacing w:before="80" w:after="160"/>
              <w:rPr>
                <w:rFonts w:ascii="Times New Roman" w:hAnsi="Times New Roman"/>
                <w:color w:val="auto"/>
                <w:sz w:val="18"/>
                <w:szCs w:val="18"/>
              </w:rPr>
            </w:pPr>
            <w:r>
              <w:rPr>
                <w:rFonts w:ascii="Times New Roman" w:hAnsi="Times New Roman"/>
                <w:color w:val="auto"/>
                <w:sz w:val="18"/>
                <w:szCs w:val="18"/>
              </w:rPr>
              <w:t>1.11</w:t>
            </w:r>
          </w:p>
        </w:tc>
        <w:tc>
          <w:tcPr>
            <w:tcW w:w="1422" w:type="dxa"/>
          </w:tcPr>
          <w:p w14:paraId="0539EC25">
            <w:pPr>
              <w:spacing w:before="80" w:after="160"/>
              <w:rPr>
                <w:rFonts w:ascii="Times New Roman" w:hAnsi="Times New Roman"/>
                <w:color w:val="auto"/>
                <w:sz w:val="18"/>
                <w:szCs w:val="18"/>
              </w:rPr>
            </w:pPr>
            <w:r>
              <w:rPr>
                <w:rFonts w:ascii="Times New Roman" w:hAnsi="Times New Roman"/>
                <w:color w:val="auto"/>
                <w:sz w:val="18"/>
                <w:szCs w:val="18"/>
              </w:rPr>
              <w:t>1.21</w:t>
            </w:r>
          </w:p>
        </w:tc>
      </w:tr>
      <w:tr w14:paraId="26F145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152B7888">
            <w:pPr>
              <w:spacing w:before="80" w:after="160"/>
              <w:rPr>
                <w:rFonts w:ascii="Times New Roman" w:hAnsi="Times New Roman"/>
                <w:color w:val="auto"/>
                <w:sz w:val="18"/>
                <w:szCs w:val="18"/>
              </w:rPr>
            </w:pPr>
            <w:r>
              <w:rPr>
                <w:rFonts w:ascii="Times New Roman" w:hAnsi="Times New Roman"/>
                <w:color w:val="auto"/>
                <w:sz w:val="18"/>
                <w:szCs w:val="18"/>
              </w:rPr>
              <w:t>Glucose</w:t>
            </w:r>
          </w:p>
        </w:tc>
        <w:tc>
          <w:tcPr>
            <w:tcW w:w="1421" w:type="dxa"/>
          </w:tcPr>
          <w:p w14:paraId="3FBBBF51">
            <w:pPr>
              <w:spacing w:before="80" w:after="160"/>
              <w:rPr>
                <w:rFonts w:ascii="Times New Roman" w:hAnsi="Times New Roman"/>
                <w:color w:val="auto"/>
                <w:sz w:val="18"/>
                <w:szCs w:val="18"/>
              </w:rPr>
            </w:pPr>
            <w:r>
              <w:rPr>
                <w:rFonts w:ascii="Times New Roman" w:hAnsi="Times New Roman"/>
                <w:color w:val="auto"/>
                <w:sz w:val="18"/>
                <w:szCs w:val="18"/>
              </w:rPr>
              <w:t>1.14</w:t>
            </w:r>
          </w:p>
        </w:tc>
        <w:tc>
          <w:tcPr>
            <w:tcW w:w="1421" w:type="dxa"/>
          </w:tcPr>
          <w:p w14:paraId="20A74BF6">
            <w:pPr>
              <w:spacing w:before="80" w:after="160"/>
              <w:rPr>
                <w:rFonts w:ascii="Times New Roman" w:hAnsi="Times New Roman"/>
                <w:color w:val="auto"/>
                <w:sz w:val="18"/>
                <w:szCs w:val="18"/>
              </w:rPr>
            </w:pPr>
            <w:r>
              <w:rPr>
                <w:rFonts w:ascii="Times New Roman" w:hAnsi="Times New Roman"/>
                <w:color w:val="auto"/>
                <w:sz w:val="18"/>
                <w:szCs w:val="18"/>
              </w:rPr>
              <w:t>1.14</w:t>
            </w:r>
          </w:p>
        </w:tc>
        <w:tc>
          <w:tcPr>
            <w:tcW w:w="1421" w:type="dxa"/>
          </w:tcPr>
          <w:p w14:paraId="4D19E56C">
            <w:pPr>
              <w:spacing w:before="80" w:after="160"/>
              <w:rPr>
                <w:rFonts w:ascii="Times New Roman" w:hAnsi="Times New Roman"/>
                <w:color w:val="auto"/>
                <w:sz w:val="18"/>
                <w:szCs w:val="18"/>
              </w:rPr>
            </w:pPr>
            <w:r>
              <w:rPr>
                <w:rFonts w:ascii="Times New Roman" w:hAnsi="Times New Roman"/>
                <w:color w:val="auto"/>
                <w:sz w:val="18"/>
                <w:szCs w:val="18"/>
              </w:rPr>
              <w:t>1.22</w:t>
            </w:r>
          </w:p>
        </w:tc>
        <w:tc>
          <w:tcPr>
            <w:tcW w:w="1422" w:type="dxa"/>
          </w:tcPr>
          <w:p w14:paraId="75833DE4">
            <w:pPr>
              <w:spacing w:before="80" w:after="160"/>
              <w:rPr>
                <w:rFonts w:ascii="Times New Roman" w:hAnsi="Times New Roman"/>
                <w:color w:val="auto"/>
                <w:sz w:val="18"/>
                <w:szCs w:val="18"/>
              </w:rPr>
            </w:pPr>
            <w:r>
              <w:rPr>
                <w:rFonts w:ascii="Times New Roman" w:hAnsi="Times New Roman"/>
                <w:color w:val="auto"/>
                <w:sz w:val="18"/>
                <w:szCs w:val="18"/>
              </w:rPr>
              <w:t>1.22</w:t>
            </w:r>
          </w:p>
        </w:tc>
        <w:tc>
          <w:tcPr>
            <w:tcW w:w="1422" w:type="dxa"/>
          </w:tcPr>
          <w:p w14:paraId="46EA55FA">
            <w:pPr>
              <w:spacing w:before="80" w:after="160"/>
              <w:rPr>
                <w:rFonts w:ascii="Times New Roman" w:hAnsi="Times New Roman"/>
                <w:color w:val="auto"/>
                <w:sz w:val="18"/>
                <w:szCs w:val="18"/>
              </w:rPr>
            </w:pPr>
            <w:r>
              <w:rPr>
                <w:rFonts w:ascii="Times New Roman" w:hAnsi="Times New Roman"/>
                <w:color w:val="auto"/>
                <w:sz w:val="18"/>
                <w:szCs w:val="18"/>
              </w:rPr>
              <w:t>1.22</w:t>
            </w:r>
          </w:p>
        </w:tc>
      </w:tr>
      <w:tr w14:paraId="319761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421" w:type="dxa"/>
          </w:tcPr>
          <w:p w14:paraId="10FC1030">
            <w:pPr>
              <w:spacing w:before="80" w:after="160"/>
              <w:rPr>
                <w:rFonts w:ascii="Times New Roman" w:hAnsi="Times New Roman"/>
                <w:color w:val="auto"/>
                <w:sz w:val="18"/>
                <w:szCs w:val="18"/>
              </w:rPr>
            </w:pPr>
            <w:r>
              <w:rPr>
                <w:rFonts w:ascii="Times New Roman" w:hAnsi="Times New Roman"/>
                <w:color w:val="auto"/>
                <w:sz w:val="18"/>
                <w:szCs w:val="18"/>
              </w:rPr>
              <w:t>Heart rate</w:t>
            </w:r>
          </w:p>
        </w:tc>
        <w:tc>
          <w:tcPr>
            <w:tcW w:w="1421" w:type="dxa"/>
          </w:tcPr>
          <w:p w14:paraId="3105AEEC">
            <w:pPr>
              <w:spacing w:before="80" w:after="160"/>
              <w:rPr>
                <w:rFonts w:ascii="Times New Roman" w:hAnsi="Times New Roman"/>
                <w:color w:val="auto"/>
                <w:sz w:val="18"/>
                <w:szCs w:val="18"/>
              </w:rPr>
            </w:pPr>
            <w:r>
              <w:rPr>
                <w:rFonts w:ascii="Times New Roman" w:hAnsi="Times New Roman"/>
                <w:color w:val="auto"/>
                <w:sz w:val="18"/>
                <w:szCs w:val="18"/>
              </w:rPr>
              <w:t>1.02</w:t>
            </w:r>
          </w:p>
        </w:tc>
        <w:tc>
          <w:tcPr>
            <w:tcW w:w="1421" w:type="dxa"/>
          </w:tcPr>
          <w:p w14:paraId="42145107">
            <w:pPr>
              <w:spacing w:before="80" w:after="160"/>
              <w:rPr>
                <w:rFonts w:ascii="Times New Roman" w:hAnsi="Times New Roman"/>
                <w:color w:val="auto"/>
                <w:sz w:val="18"/>
                <w:szCs w:val="18"/>
              </w:rPr>
            </w:pPr>
            <w:r>
              <w:rPr>
                <w:rFonts w:ascii="Times New Roman" w:hAnsi="Times New Roman"/>
                <w:color w:val="auto"/>
                <w:sz w:val="18"/>
                <w:szCs w:val="18"/>
              </w:rPr>
              <w:t>1.02</w:t>
            </w:r>
          </w:p>
        </w:tc>
        <w:tc>
          <w:tcPr>
            <w:tcW w:w="1421" w:type="dxa"/>
          </w:tcPr>
          <w:p w14:paraId="20754359">
            <w:pPr>
              <w:spacing w:before="80" w:after="160"/>
              <w:rPr>
                <w:rFonts w:ascii="Times New Roman" w:hAnsi="Times New Roman"/>
                <w:color w:val="auto"/>
                <w:sz w:val="18"/>
                <w:szCs w:val="18"/>
              </w:rPr>
            </w:pPr>
            <w:r>
              <w:rPr>
                <w:rFonts w:ascii="Times New Roman" w:hAnsi="Times New Roman"/>
                <w:color w:val="auto"/>
                <w:sz w:val="18"/>
                <w:szCs w:val="18"/>
              </w:rPr>
              <w:t>1.08</w:t>
            </w:r>
          </w:p>
        </w:tc>
        <w:tc>
          <w:tcPr>
            <w:tcW w:w="1422" w:type="dxa"/>
          </w:tcPr>
          <w:p w14:paraId="4DA583F3">
            <w:pPr>
              <w:spacing w:before="80" w:after="160"/>
              <w:rPr>
                <w:rFonts w:ascii="Times New Roman" w:hAnsi="Times New Roman"/>
                <w:color w:val="auto"/>
                <w:sz w:val="18"/>
                <w:szCs w:val="18"/>
              </w:rPr>
            </w:pPr>
            <w:r>
              <w:rPr>
                <w:rFonts w:ascii="Times New Roman" w:hAnsi="Times New Roman"/>
                <w:color w:val="auto"/>
                <w:sz w:val="18"/>
                <w:szCs w:val="18"/>
              </w:rPr>
              <w:t>1.08</w:t>
            </w:r>
          </w:p>
        </w:tc>
        <w:tc>
          <w:tcPr>
            <w:tcW w:w="1422" w:type="dxa"/>
          </w:tcPr>
          <w:p w14:paraId="61C3DA37">
            <w:pPr>
              <w:spacing w:before="80" w:after="160"/>
              <w:rPr>
                <w:rFonts w:ascii="Times New Roman" w:hAnsi="Times New Roman"/>
                <w:color w:val="auto"/>
                <w:sz w:val="18"/>
                <w:szCs w:val="18"/>
              </w:rPr>
            </w:pPr>
            <w:r>
              <w:rPr>
                <w:rFonts w:ascii="Times New Roman" w:hAnsi="Times New Roman"/>
                <w:color w:val="auto"/>
                <w:sz w:val="18"/>
                <w:szCs w:val="18"/>
              </w:rPr>
              <w:t>1.08</w:t>
            </w:r>
          </w:p>
        </w:tc>
      </w:tr>
    </w:tbl>
    <w:p w14:paraId="1775C6BE">
      <w:pPr>
        <w:spacing w:before="80" w:after="160"/>
        <w:rPr>
          <w:color w:val="auto"/>
          <w:sz w:val="18"/>
          <w:szCs w:val="18"/>
        </w:rPr>
      </w:pPr>
      <w:r>
        <w:rPr>
          <w:rFonts w:ascii="Times New Roman Bold" w:hAnsi="Times New Roman Bold" w:cs="Times New Roman Bold"/>
          <w:b/>
          <w:bCs/>
          <w:color w:val="auto"/>
          <w:sz w:val="18"/>
          <w:szCs w:val="18"/>
        </w:rPr>
        <w:t xml:space="preserve">Abbreviations: </w:t>
      </w:r>
      <w:r>
        <w:rPr>
          <w:rFonts w:ascii="Times New Roman" w:hAnsi="Times New Roman"/>
          <w:color w:val="auto"/>
          <w:sz w:val="18"/>
          <w:szCs w:val="18"/>
        </w:rPr>
        <w:t>SOFA, Sequential Organ Failure Assessment; VIF, variance inflation factor; ICU, intensive care unit; COPD, chronic obstructive pulmonary disease; CNS, central nervous system.</w:t>
      </w:r>
    </w:p>
    <w:p w14:paraId="1C5630C1">
      <w:pPr>
        <w:spacing w:before="80" w:after="160"/>
        <w:rPr>
          <w:rFonts w:ascii="Times New Roman" w:hAnsi="Times New Roman"/>
          <w:color w:val="auto"/>
          <w:sz w:val="18"/>
          <w:szCs w:val="18"/>
        </w:rPr>
      </w:pPr>
      <w:r>
        <w:rPr>
          <w:rFonts w:ascii="Times New Roman Bold" w:hAnsi="Times New Roman Bold" w:cs="Times New Roman Bold"/>
          <w:b/>
          <w:bCs/>
          <w:color w:val="auto"/>
          <w:sz w:val="18"/>
          <w:szCs w:val="18"/>
        </w:rPr>
        <w:t xml:space="preserve">Notes: </w:t>
      </w:r>
      <w:r>
        <w:rPr>
          <w:rFonts w:hint="eastAsia" w:ascii="Times New Roman" w:hAnsi="Times New Roman"/>
          <w:color w:val="auto"/>
          <w:sz w:val="18"/>
          <w:szCs w:val="18"/>
        </w:rPr>
        <w:t>VIF values are dimensionless and are shown for all variables included in the total SOFA score models in Model C, including the SOFA score variable and adjustment variables. SOFA scores are measured in points. Units for continuous adjustment variables were as follows: age, years; white blood cell count, ×10⁹/L; hemoglobin, g/dL; blood glucose, mg/dL; and heart rate, beats/min. The final column presents the maximum VIF observed for each variable across all Model C models, including total and organ-specific SOFA score models. All VIF values were below 5, suggesting no evidence of serious multicollinearity.</w:t>
      </w:r>
    </w:p>
    <w:p w14:paraId="31992BC3">
      <w:pPr>
        <w:spacing w:before="80" w:after="160"/>
        <w:rPr>
          <w:rFonts w:ascii="Times New Roman" w:hAnsi="Times New Roman"/>
          <w:color w:val="auto"/>
          <w:sz w:val="18"/>
          <w:szCs w:val="18"/>
        </w:rPr>
        <w:sectPr>
          <w:pgSz w:w="11906" w:h="16838"/>
          <w:pgMar w:top="1440" w:right="1797" w:bottom="1440" w:left="1797" w:header="851" w:footer="992" w:gutter="0"/>
          <w:cols w:space="425" w:num="1"/>
          <w:docGrid w:type="lines" w:linePitch="312" w:charSpace="0"/>
        </w:sectPr>
      </w:pPr>
    </w:p>
    <w:p w14:paraId="5C30B4E6">
      <w:pPr>
        <w:rPr>
          <w:rFonts w:ascii="Times New Roman" w:hAnsi="Times New Roman" w:eastAsia="宋体" w:cs="Times New Roman"/>
          <w:b/>
          <w:color w:val="auto"/>
          <w:szCs w:val="21"/>
          <w:lang w:bidi="ar"/>
        </w:rPr>
      </w:pPr>
      <w:r>
        <w:rPr>
          <w:rFonts w:hint="eastAsia" w:ascii="Times New Roman" w:hAnsi="Times New Roman" w:eastAsia="宋体" w:cs="Times New Roman"/>
          <w:b/>
          <w:color w:val="auto"/>
          <w:szCs w:val="21"/>
          <w:lang w:bidi="ar"/>
        </w:rPr>
        <w:t xml:space="preserve">eTable 6. </w:t>
      </w:r>
      <w:r>
        <w:rPr>
          <w:rFonts w:ascii="Times New Roman" w:hAnsi="Times New Roman" w:eastAsia="宋体" w:cs="Times New Roman"/>
          <w:b/>
          <w:color w:val="auto"/>
          <w:szCs w:val="21"/>
          <w:lang w:bidi="ar"/>
        </w:rPr>
        <w:t>Multivariable logistic regression analysis of SOFA-1 and SOFA-2 scores for</w:t>
      </w:r>
      <w:r>
        <w:rPr>
          <w:rFonts w:hint="eastAsia" w:ascii="Times New Roman" w:hAnsi="Times New Roman" w:eastAsia="宋体" w:cs="Times New Roman"/>
          <w:b/>
          <w:color w:val="auto"/>
          <w:szCs w:val="21"/>
          <w:lang w:bidi="ar"/>
        </w:rPr>
        <w:t xml:space="preserve"> in-hospital mortality</w:t>
      </w:r>
    </w:p>
    <w:tbl>
      <w:tblPr>
        <w:tblStyle w:val="17"/>
        <w:tblW w:w="4996"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8"/>
        <w:gridCol w:w="1768"/>
        <w:gridCol w:w="1768"/>
        <w:gridCol w:w="1771"/>
        <w:gridCol w:w="1772"/>
        <w:gridCol w:w="1772"/>
        <w:gridCol w:w="1772"/>
        <w:gridCol w:w="1772"/>
      </w:tblGrid>
      <w:tr w14:paraId="47960F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blHeader/>
        </w:trPr>
        <w:tc>
          <w:tcPr>
            <w:tcW w:w="624" w:type="pct"/>
            <w:tcBorders>
              <w:bottom w:val="single" w:color="auto" w:sz="4" w:space="0"/>
            </w:tcBorders>
            <w:vAlign w:val="center"/>
          </w:tcPr>
          <w:p w14:paraId="5398CC5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Cohort</w:t>
            </w:r>
          </w:p>
        </w:tc>
        <w:tc>
          <w:tcPr>
            <w:tcW w:w="624" w:type="pct"/>
            <w:tcBorders>
              <w:bottom w:val="single" w:color="auto" w:sz="4" w:space="0"/>
            </w:tcBorders>
            <w:vAlign w:val="center"/>
          </w:tcPr>
          <w:p w14:paraId="27E34DC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Model</w:t>
            </w:r>
          </w:p>
        </w:tc>
        <w:tc>
          <w:tcPr>
            <w:tcW w:w="624" w:type="pct"/>
            <w:tcBorders>
              <w:bottom w:val="single" w:color="auto" w:sz="4" w:space="0"/>
            </w:tcBorders>
            <w:vAlign w:val="center"/>
          </w:tcPr>
          <w:p w14:paraId="562C1CB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Domain</w:t>
            </w:r>
          </w:p>
        </w:tc>
        <w:tc>
          <w:tcPr>
            <w:tcW w:w="625" w:type="pct"/>
            <w:tcBorders>
              <w:bottom w:val="single" w:color="auto" w:sz="4" w:space="0"/>
            </w:tcBorders>
            <w:vAlign w:val="center"/>
          </w:tcPr>
          <w:p w14:paraId="75568C9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SOFA-1 OR (95% CI); P-value</w:t>
            </w:r>
          </w:p>
        </w:tc>
        <w:tc>
          <w:tcPr>
            <w:tcW w:w="625" w:type="pct"/>
            <w:tcBorders>
              <w:bottom w:val="single" w:color="auto" w:sz="4" w:space="0"/>
            </w:tcBorders>
            <w:vAlign w:val="center"/>
          </w:tcPr>
          <w:p w14:paraId="145D781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SOFA-1 C-index (95% CI)</w:t>
            </w:r>
          </w:p>
        </w:tc>
        <w:tc>
          <w:tcPr>
            <w:tcW w:w="625" w:type="pct"/>
            <w:tcBorders>
              <w:bottom w:val="single" w:color="auto" w:sz="4" w:space="0"/>
            </w:tcBorders>
            <w:vAlign w:val="center"/>
          </w:tcPr>
          <w:p w14:paraId="60D408F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SOFA-2 OR (95% CI); P-value</w:t>
            </w:r>
          </w:p>
        </w:tc>
        <w:tc>
          <w:tcPr>
            <w:tcW w:w="625" w:type="pct"/>
            <w:tcBorders>
              <w:bottom w:val="single" w:color="auto" w:sz="4" w:space="0"/>
            </w:tcBorders>
            <w:vAlign w:val="center"/>
          </w:tcPr>
          <w:p w14:paraId="41685E3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SOFA-2 C-index (95% CI)</w:t>
            </w:r>
          </w:p>
        </w:tc>
        <w:tc>
          <w:tcPr>
            <w:tcW w:w="625" w:type="pct"/>
            <w:tcBorders>
              <w:bottom w:val="single" w:color="auto" w:sz="4" w:space="0"/>
            </w:tcBorders>
            <w:vAlign w:val="center"/>
          </w:tcPr>
          <w:p w14:paraId="5BF4560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P-value for C-index comparison</w:t>
            </w:r>
          </w:p>
        </w:tc>
      </w:tr>
      <w:tr w14:paraId="7BEE4E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tcBorders>
              <w:top w:val="single" w:color="auto" w:sz="4" w:space="0"/>
            </w:tcBorders>
            <w:vAlign w:val="center"/>
          </w:tcPr>
          <w:p w14:paraId="62D51FD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tcBorders>
              <w:top w:val="single" w:color="auto" w:sz="4" w:space="0"/>
            </w:tcBorders>
            <w:vAlign w:val="center"/>
          </w:tcPr>
          <w:p w14:paraId="2533370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tcBorders>
              <w:top w:val="single" w:color="auto" w:sz="4" w:space="0"/>
            </w:tcBorders>
            <w:vAlign w:val="center"/>
          </w:tcPr>
          <w:p w14:paraId="38D3AD3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tcBorders>
              <w:top w:val="single" w:color="auto" w:sz="4" w:space="0"/>
            </w:tcBorders>
            <w:vAlign w:val="center"/>
          </w:tcPr>
          <w:p w14:paraId="2BA7DE8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1.26 (1.24-1.27); &lt;0.001</w:t>
            </w:r>
          </w:p>
        </w:tc>
        <w:tc>
          <w:tcPr>
            <w:tcW w:w="625" w:type="pct"/>
            <w:tcBorders>
              <w:top w:val="single" w:color="auto" w:sz="4" w:space="0"/>
            </w:tcBorders>
            <w:vAlign w:val="center"/>
          </w:tcPr>
          <w:p w14:paraId="620FF36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0.688 (0.677-0.698)</w:t>
            </w:r>
          </w:p>
        </w:tc>
        <w:tc>
          <w:tcPr>
            <w:tcW w:w="625" w:type="pct"/>
            <w:tcBorders>
              <w:top w:val="single" w:color="auto" w:sz="4" w:space="0"/>
            </w:tcBorders>
            <w:vAlign w:val="center"/>
          </w:tcPr>
          <w:p w14:paraId="18FA5A0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1.28 (1.26-1.29); &lt;0.001</w:t>
            </w:r>
          </w:p>
        </w:tc>
        <w:tc>
          <w:tcPr>
            <w:tcW w:w="625" w:type="pct"/>
            <w:tcBorders>
              <w:top w:val="single" w:color="auto" w:sz="4" w:space="0"/>
            </w:tcBorders>
            <w:vAlign w:val="center"/>
          </w:tcPr>
          <w:p w14:paraId="575D095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0.707 (0.698-0.717)</w:t>
            </w:r>
          </w:p>
        </w:tc>
        <w:tc>
          <w:tcPr>
            <w:tcW w:w="625" w:type="pct"/>
            <w:tcBorders>
              <w:top w:val="single" w:color="auto" w:sz="4" w:space="0"/>
            </w:tcBorders>
            <w:vAlign w:val="center"/>
          </w:tcPr>
          <w:p w14:paraId="273D764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BA82F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0057374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2CF0CD2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2CFB1EA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38D3812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1.27 (1.24-1.31); &lt;0.001</w:t>
            </w:r>
          </w:p>
        </w:tc>
        <w:tc>
          <w:tcPr>
            <w:tcW w:w="625" w:type="pct"/>
            <w:vAlign w:val="center"/>
          </w:tcPr>
          <w:p w14:paraId="250D72A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0.575 (0.565-0.585)</w:t>
            </w:r>
          </w:p>
        </w:tc>
        <w:tc>
          <w:tcPr>
            <w:tcW w:w="625" w:type="pct"/>
            <w:vAlign w:val="center"/>
          </w:tcPr>
          <w:p w14:paraId="0FF45C3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1.48 (1.44-1.52); &lt;0.001</w:t>
            </w:r>
          </w:p>
        </w:tc>
        <w:tc>
          <w:tcPr>
            <w:tcW w:w="625" w:type="pct"/>
            <w:vAlign w:val="center"/>
          </w:tcPr>
          <w:p w14:paraId="2C81906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0.640 (0.630-0.650)</w:t>
            </w:r>
          </w:p>
        </w:tc>
        <w:tc>
          <w:tcPr>
            <w:tcW w:w="625" w:type="pct"/>
            <w:vAlign w:val="center"/>
          </w:tcPr>
          <w:p w14:paraId="018CA52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02F06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4E45FBE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6DDE20C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7D9C4F8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70A2E03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1.29 (1.24-1.34); &lt;0.001</w:t>
            </w:r>
          </w:p>
        </w:tc>
        <w:tc>
          <w:tcPr>
            <w:tcW w:w="625" w:type="pct"/>
            <w:vAlign w:val="center"/>
          </w:tcPr>
          <w:p w14:paraId="33800AB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0.528 (0.518-0.538)</w:t>
            </w:r>
          </w:p>
        </w:tc>
        <w:tc>
          <w:tcPr>
            <w:tcW w:w="625" w:type="pct"/>
            <w:vAlign w:val="center"/>
          </w:tcPr>
          <w:p w14:paraId="5228415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1.25 (1.21-1.29); &lt;0.001</w:t>
            </w:r>
          </w:p>
        </w:tc>
        <w:tc>
          <w:tcPr>
            <w:tcW w:w="625" w:type="pct"/>
            <w:vAlign w:val="center"/>
          </w:tcPr>
          <w:p w14:paraId="6D5F49D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0.531 (0.521-0.541)</w:t>
            </w:r>
          </w:p>
        </w:tc>
        <w:tc>
          <w:tcPr>
            <w:tcW w:w="625" w:type="pct"/>
            <w:vAlign w:val="center"/>
          </w:tcPr>
          <w:p w14:paraId="7B9FE55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0.027</w:t>
            </w:r>
          </w:p>
        </w:tc>
      </w:tr>
      <w:tr w14:paraId="71539B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70C49F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5D7E078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46F3C9D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11932A5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1.70 (1.63-1.78); &lt;0.001</w:t>
            </w:r>
          </w:p>
        </w:tc>
        <w:tc>
          <w:tcPr>
            <w:tcW w:w="625" w:type="pct"/>
            <w:vAlign w:val="center"/>
          </w:tcPr>
          <w:p w14:paraId="55CC921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0.575 (0.567-0.583)</w:t>
            </w:r>
          </w:p>
        </w:tc>
        <w:tc>
          <w:tcPr>
            <w:tcW w:w="625" w:type="pct"/>
            <w:vAlign w:val="center"/>
          </w:tcPr>
          <w:p w14:paraId="240D5C9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1.72 (1.64-1.81); &lt;0.001</w:t>
            </w:r>
          </w:p>
        </w:tc>
        <w:tc>
          <w:tcPr>
            <w:tcW w:w="625" w:type="pct"/>
            <w:vAlign w:val="center"/>
          </w:tcPr>
          <w:p w14:paraId="2FA4E2D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0.572 (0.564-0.579)</w:t>
            </w:r>
          </w:p>
        </w:tc>
        <w:tc>
          <w:tcPr>
            <w:tcW w:w="625" w:type="pct"/>
            <w:vAlign w:val="center"/>
          </w:tcPr>
          <w:p w14:paraId="639F4CD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0.030</w:t>
            </w:r>
          </w:p>
        </w:tc>
      </w:tr>
      <w:tr w14:paraId="0CA712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Height w:val="128" w:hRule="atLeast"/>
        </w:trPr>
        <w:tc>
          <w:tcPr>
            <w:tcW w:w="624" w:type="pct"/>
            <w:vAlign w:val="center"/>
          </w:tcPr>
          <w:p w14:paraId="2F8D4DE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5AF1B05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0506E04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73D617F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1.49 (1.45-1.53); &lt;0.001</w:t>
            </w:r>
          </w:p>
        </w:tc>
        <w:tc>
          <w:tcPr>
            <w:tcW w:w="625" w:type="pct"/>
            <w:vAlign w:val="center"/>
          </w:tcPr>
          <w:p w14:paraId="776276A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0.609 (0.599-0.619)</w:t>
            </w:r>
          </w:p>
        </w:tc>
        <w:tc>
          <w:tcPr>
            <w:tcW w:w="625" w:type="pct"/>
            <w:vAlign w:val="center"/>
          </w:tcPr>
          <w:p w14:paraId="176FFF8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1.52 (1.47-1.57); &lt;0.001</w:t>
            </w:r>
          </w:p>
        </w:tc>
        <w:tc>
          <w:tcPr>
            <w:tcW w:w="625" w:type="pct"/>
            <w:vAlign w:val="center"/>
          </w:tcPr>
          <w:p w14:paraId="3EA9A8F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0.597 (0.587-0.608)</w:t>
            </w:r>
          </w:p>
        </w:tc>
        <w:tc>
          <w:tcPr>
            <w:tcW w:w="625" w:type="pct"/>
            <w:vAlign w:val="center"/>
          </w:tcPr>
          <w:p w14:paraId="0DC2FE6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FF388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008485D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770E45E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799D1B8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1B367A5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1.22 (1.19-1.26); &lt;0.001</w:t>
            </w:r>
          </w:p>
        </w:tc>
        <w:tc>
          <w:tcPr>
            <w:tcW w:w="625" w:type="pct"/>
            <w:vAlign w:val="center"/>
          </w:tcPr>
          <w:p w14:paraId="1400232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0.537 (0.526-0.547)</w:t>
            </w:r>
          </w:p>
        </w:tc>
        <w:tc>
          <w:tcPr>
            <w:tcW w:w="625" w:type="pct"/>
            <w:vAlign w:val="center"/>
          </w:tcPr>
          <w:p w14:paraId="6451C7A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1.22 (1.18-1.26); &lt;0.001</w:t>
            </w:r>
          </w:p>
        </w:tc>
        <w:tc>
          <w:tcPr>
            <w:tcW w:w="625" w:type="pct"/>
            <w:vAlign w:val="center"/>
          </w:tcPr>
          <w:p w14:paraId="3064C01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0.532 (0.522-0.543)</w:t>
            </w:r>
          </w:p>
        </w:tc>
        <w:tc>
          <w:tcPr>
            <w:tcW w:w="625" w:type="pct"/>
            <w:vAlign w:val="center"/>
          </w:tcPr>
          <w:p w14:paraId="2428E55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0.020</w:t>
            </w:r>
          </w:p>
        </w:tc>
      </w:tr>
      <w:tr w14:paraId="0F8179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4CD1625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17B7BAB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7E81EC8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595B8A7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1.59 (1.54-1.63); &lt;0.001</w:t>
            </w:r>
          </w:p>
        </w:tc>
        <w:tc>
          <w:tcPr>
            <w:tcW w:w="625" w:type="pct"/>
            <w:vAlign w:val="center"/>
          </w:tcPr>
          <w:p w14:paraId="27DB396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0.648 (0.638-0.658)</w:t>
            </w:r>
          </w:p>
        </w:tc>
        <w:tc>
          <w:tcPr>
            <w:tcW w:w="625" w:type="pct"/>
            <w:vAlign w:val="center"/>
          </w:tcPr>
          <w:p w14:paraId="203676F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1.63 (1.58-1.69); &lt;0.001</w:t>
            </w:r>
          </w:p>
        </w:tc>
        <w:tc>
          <w:tcPr>
            <w:tcW w:w="625" w:type="pct"/>
            <w:vAlign w:val="center"/>
          </w:tcPr>
          <w:p w14:paraId="647ECB4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0.651 (0.641-0.661)</w:t>
            </w:r>
          </w:p>
        </w:tc>
        <w:tc>
          <w:tcPr>
            <w:tcW w:w="625" w:type="pct"/>
            <w:vAlign w:val="center"/>
          </w:tcPr>
          <w:p w14:paraId="6F4A468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0.335</w:t>
            </w:r>
          </w:p>
        </w:tc>
      </w:tr>
      <w:tr w14:paraId="55CA40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7520C01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0476BA4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59D41F8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vAlign w:val="center"/>
          </w:tcPr>
          <w:p w14:paraId="39CBA9E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1.27 (1.25-1.28); &lt;0.001</w:t>
            </w:r>
          </w:p>
        </w:tc>
        <w:tc>
          <w:tcPr>
            <w:tcW w:w="625" w:type="pct"/>
            <w:vAlign w:val="center"/>
          </w:tcPr>
          <w:p w14:paraId="5541236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0.706 (0.696-0.715)</w:t>
            </w:r>
          </w:p>
        </w:tc>
        <w:tc>
          <w:tcPr>
            <w:tcW w:w="625" w:type="pct"/>
            <w:vAlign w:val="center"/>
          </w:tcPr>
          <w:p w14:paraId="3EF7501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1.29 (1.27-1.30); &lt;0.001</w:t>
            </w:r>
          </w:p>
        </w:tc>
        <w:tc>
          <w:tcPr>
            <w:tcW w:w="625" w:type="pct"/>
            <w:vAlign w:val="center"/>
          </w:tcPr>
          <w:p w14:paraId="30C8C5B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0.724 (0.714-0.733)</w:t>
            </w:r>
          </w:p>
        </w:tc>
        <w:tc>
          <w:tcPr>
            <w:tcW w:w="625" w:type="pct"/>
            <w:vAlign w:val="center"/>
          </w:tcPr>
          <w:p w14:paraId="215505B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2EE7FB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4B0D361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54E0391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38FA039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6A67829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1.31 (1.27-1.35); &lt;0.001</w:t>
            </w:r>
          </w:p>
        </w:tc>
        <w:tc>
          <w:tcPr>
            <w:tcW w:w="625" w:type="pct"/>
            <w:vAlign w:val="center"/>
          </w:tcPr>
          <w:p w14:paraId="200A3F3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0.613 (0.602-0.623)</w:t>
            </w:r>
          </w:p>
        </w:tc>
        <w:tc>
          <w:tcPr>
            <w:tcW w:w="625" w:type="pct"/>
            <w:vAlign w:val="center"/>
          </w:tcPr>
          <w:p w14:paraId="4428D33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1.50 (1.46-1.54); &lt;0.001</w:t>
            </w:r>
          </w:p>
        </w:tc>
        <w:tc>
          <w:tcPr>
            <w:tcW w:w="625" w:type="pct"/>
            <w:vAlign w:val="center"/>
          </w:tcPr>
          <w:p w14:paraId="6D3BA67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0.667 (0.656-0.677)</w:t>
            </w:r>
          </w:p>
        </w:tc>
        <w:tc>
          <w:tcPr>
            <w:tcW w:w="625" w:type="pct"/>
            <w:vAlign w:val="center"/>
          </w:tcPr>
          <w:p w14:paraId="246E19F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1B9105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14A313A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4F36951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7C03350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22162FE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1.31 (1.26-1.37); &lt;0.001</w:t>
            </w:r>
          </w:p>
        </w:tc>
        <w:tc>
          <w:tcPr>
            <w:tcW w:w="625" w:type="pct"/>
            <w:vAlign w:val="center"/>
          </w:tcPr>
          <w:p w14:paraId="48395D9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0.589 (0.579-0.600)</w:t>
            </w:r>
          </w:p>
        </w:tc>
        <w:tc>
          <w:tcPr>
            <w:tcW w:w="625" w:type="pct"/>
            <w:vAlign w:val="center"/>
          </w:tcPr>
          <w:p w14:paraId="5BC8DA3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1.27 (1.23-1.31); &lt;0.001</w:t>
            </w:r>
          </w:p>
        </w:tc>
        <w:tc>
          <w:tcPr>
            <w:tcW w:w="625" w:type="pct"/>
            <w:vAlign w:val="center"/>
          </w:tcPr>
          <w:p w14:paraId="4368B18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0.593 (0.583-0.604)</w:t>
            </w:r>
          </w:p>
        </w:tc>
        <w:tc>
          <w:tcPr>
            <w:tcW w:w="625" w:type="pct"/>
            <w:vAlign w:val="center"/>
          </w:tcPr>
          <w:p w14:paraId="226F1BF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44893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258A555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46F867D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42B43AE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1745B38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1.74 (1.67-1.82); &lt;0.001</w:t>
            </w:r>
          </w:p>
        </w:tc>
        <w:tc>
          <w:tcPr>
            <w:tcW w:w="625" w:type="pct"/>
            <w:vAlign w:val="center"/>
          </w:tcPr>
          <w:p w14:paraId="6804E73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0.636 (0.625-0.646)</w:t>
            </w:r>
          </w:p>
        </w:tc>
        <w:tc>
          <w:tcPr>
            <w:tcW w:w="625" w:type="pct"/>
            <w:vAlign w:val="center"/>
          </w:tcPr>
          <w:p w14:paraId="1F26B9B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1.77 (1.69-1.86); &lt;0.001</w:t>
            </w:r>
          </w:p>
        </w:tc>
        <w:tc>
          <w:tcPr>
            <w:tcW w:w="625" w:type="pct"/>
            <w:vAlign w:val="center"/>
          </w:tcPr>
          <w:p w14:paraId="2BAE822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0.633 (0.623-0.644)</w:t>
            </w:r>
          </w:p>
        </w:tc>
        <w:tc>
          <w:tcPr>
            <w:tcW w:w="625" w:type="pct"/>
            <w:vAlign w:val="center"/>
          </w:tcPr>
          <w:p w14:paraId="60C5187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0.080</w:t>
            </w:r>
          </w:p>
        </w:tc>
      </w:tr>
      <w:tr w14:paraId="22F05F5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F5B020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1168B4B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78EA582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5144B16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1.49 (1.45-1.53); &lt;0.001</w:t>
            </w:r>
          </w:p>
        </w:tc>
        <w:tc>
          <w:tcPr>
            <w:tcW w:w="625" w:type="pct"/>
            <w:vAlign w:val="center"/>
          </w:tcPr>
          <w:p w14:paraId="535773B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0.641 (0.630-0.651)</w:t>
            </w:r>
          </w:p>
        </w:tc>
        <w:tc>
          <w:tcPr>
            <w:tcW w:w="625" w:type="pct"/>
            <w:vAlign w:val="center"/>
          </w:tcPr>
          <w:p w14:paraId="5D00355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1.53 (1.48-1.58); &lt;0.001</w:t>
            </w:r>
          </w:p>
        </w:tc>
        <w:tc>
          <w:tcPr>
            <w:tcW w:w="625" w:type="pct"/>
            <w:vAlign w:val="center"/>
          </w:tcPr>
          <w:p w14:paraId="6C0BF57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0.628 (0.618-0.639)</w:t>
            </w:r>
          </w:p>
        </w:tc>
        <w:tc>
          <w:tcPr>
            <w:tcW w:w="625" w:type="pct"/>
            <w:vAlign w:val="center"/>
          </w:tcPr>
          <w:p w14:paraId="21D5D24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16E739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7A86178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05421D4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5469979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71E9462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1.21 (1.17-1.25); &lt;0.001</w:t>
            </w:r>
          </w:p>
        </w:tc>
        <w:tc>
          <w:tcPr>
            <w:tcW w:w="625" w:type="pct"/>
            <w:vAlign w:val="center"/>
          </w:tcPr>
          <w:p w14:paraId="1D365A1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0.586 (0.575-0.597)</w:t>
            </w:r>
          </w:p>
        </w:tc>
        <w:tc>
          <w:tcPr>
            <w:tcW w:w="625" w:type="pct"/>
            <w:vAlign w:val="center"/>
          </w:tcPr>
          <w:p w14:paraId="492BA05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1.21 (1.17-1.25); &lt;0.001</w:t>
            </w:r>
          </w:p>
        </w:tc>
        <w:tc>
          <w:tcPr>
            <w:tcW w:w="625" w:type="pct"/>
            <w:vAlign w:val="center"/>
          </w:tcPr>
          <w:p w14:paraId="29B2FDF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0.583 (0.572-0.594)</w:t>
            </w:r>
          </w:p>
        </w:tc>
        <w:tc>
          <w:tcPr>
            <w:tcW w:w="625" w:type="pct"/>
            <w:vAlign w:val="center"/>
          </w:tcPr>
          <w:p w14:paraId="52C6278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0.002</w:t>
            </w:r>
          </w:p>
        </w:tc>
      </w:tr>
      <w:tr w14:paraId="757A38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3F907E0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253F92D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12F0C96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3A6A331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1.59 (1.54-1.64); &lt;0.001</w:t>
            </w:r>
          </w:p>
        </w:tc>
        <w:tc>
          <w:tcPr>
            <w:tcW w:w="625" w:type="pct"/>
            <w:vAlign w:val="center"/>
          </w:tcPr>
          <w:p w14:paraId="1737546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0.673 (0.663-0.683)</w:t>
            </w:r>
          </w:p>
        </w:tc>
        <w:tc>
          <w:tcPr>
            <w:tcW w:w="625" w:type="pct"/>
            <w:vAlign w:val="center"/>
          </w:tcPr>
          <w:p w14:paraId="40AC97E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1.65 (1.60-1.70); &lt;0.001</w:t>
            </w:r>
          </w:p>
        </w:tc>
        <w:tc>
          <w:tcPr>
            <w:tcW w:w="625" w:type="pct"/>
            <w:vAlign w:val="center"/>
          </w:tcPr>
          <w:p w14:paraId="384B64A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0.673 (0.663-0.683)</w:t>
            </w:r>
          </w:p>
        </w:tc>
        <w:tc>
          <w:tcPr>
            <w:tcW w:w="625" w:type="pct"/>
            <w:vAlign w:val="center"/>
          </w:tcPr>
          <w:p w14:paraId="3F60892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1.000</w:t>
            </w:r>
          </w:p>
        </w:tc>
      </w:tr>
      <w:tr w14:paraId="616B72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CDCC4F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6C7E528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453235C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vAlign w:val="center"/>
          </w:tcPr>
          <w:p w14:paraId="3245060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1.22 (1.20-1.23); &lt;0.001</w:t>
            </w:r>
          </w:p>
        </w:tc>
        <w:tc>
          <w:tcPr>
            <w:tcW w:w="625" w:type="pct"/>
            <w:vAlign w:val="center"/>
          </w:tcPr>
          <w:p w14:paraId="1D0611D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0.773 (0.764-0.782)</w:t>
            </w:r>
          </w:p>
        </w:tc>
        <w:tc>
          <w:tcPr>
            <w:tcW w:w="625" w:type="pct"/>
            <w:vAlign w:val="center"/>
          </w:tcPr>
          <w:p w14:paraId="0CE82FC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1.24 (1.23-1.26); &lt;0.001</w:t>
            </w:r>
          </w:p>
        </w:tc>
        <w:tc>
          <w:tcPr>
            <w:tcW w:w="625" w:type="pct"/>
            <w:vAlign w:val="center"/>
          </w:tcPr>
          <w:p w14:paraId="427D3BE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0.785 (0.776-0.793)</w:t>
            </w:r>
          </w:p>
        </w:tc>
        <w:tc>
          <w:tcPr>
            <w:tcW w:w="625" w:type="pct"/>
            <w:vAlign w:val="center"/>
          </w:tcPr>
          <w:p w14:paraId="59710F7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70BE6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7201F43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5002F05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1BCB3E4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5F22041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1.36 (1.32-1.40); &lt;0.001</w:t>
            </w:r>
          </w:p>
        </w:tc>
        <w:tc>
          <w:tcPr>
            <w:tcW w:w="625" w:type="pct"/>
            <w:vAlign w:val="center"/>
          </w:tcPr>
          <w:p w14:paraId="370494D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0.752 (0.743-0.761)</w:t>
            </w:r>
          </w:p>
        </w:tc>
        <w:tc>
          <w:tcPr>
            <w:tcW w:w="625" w:type="pct"/>
            <w:vAlign w:val="center"/>
          </w:tcPr>
          <w:p w14:paraId="45CEE0C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1.47 (1.43-1.51); &lt;0.001</w:t>
            </w:r>
          </w:p>
        </w:tc>
        <w:tc>
          <w:tcPr>
            <w:tcW w:w="625" w:type="pct"/>
            <w:vAlign w:val="center"/>
          </w:tcPr>
          <w:p w14:paraId="2C9343D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0.774 (0.765-0.782)</w:t>
            </w:r>
          </w:p>
        </w:tc>
        <w:tc>
          <w:tcPr>
            <w:tcW w:w="625" w:type="pct"/>
            <w:vAlign w:val="center"/>
          </w:tcPr>
          <w:p w14:paraId="289E2C0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2DF002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7E9F53C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415DA37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4055635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26D139F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1.19 (1.14-1.25); &lt;0.001</w:t>
            </w:r>
          </w:p>
        </w:tc>
        <w:tc>
          <w:tcPr>
            <w:tcW w:w="625" w:type="pct"/>
            <w:vAlign w:val="center"/>
          </w:tcPr>
          <w:p w14:paraId="43AA143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0.738 (0.729-0.747)</w:t>
            </w:r>
          </w:p>
        </w:tc>
        <w:tc>
          <w:tcPr>
            <w:tcW w:w="625" w:type="pct"/>
            <w:vAlign w:val="center"/>
          </w:tcPr>
          <w:p w14:paraId="6ED59CF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1.17 (1.13-1.21); &lt;0.001</w:t>
            </w:r>
          </w:p>
        </w:tc>
        <w:tc>
          <w:tcPr>
            <w:tcW w:w="625" w:type="pct"/>
            <w:vAlign w:val="center"/>
          </w:tcPr>
          <w:p w14:paraId="13F4025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0.739 (0.730-0.748)</w:t>
            </w:r>
          </w:p>
        </w:tc>
        <w:tc>
          <w:tcPr>
            <w:tcW w:w="625" w:type="pct"/>
            <w:vAlign w:val="center"/>
          </w:tcPr>
          <w:p w14:paraId="130B275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0.005</w:t>
            </w:r>
          </w:p>
        </w:tc>
      </w:tr>
      <w:tr w14:paraId="7A30CFE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B8E6C3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51D9D3E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2CA3ADB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1E4C536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1.34 (1.28-1.41); &lt;0.001</w:t>
            </w:r>
          </w:p>
        </w:tc>
        <w:tc>
          <w:tcPr>
            <w:tcW w:w="625" w:type="pct"/>
            <w:vAlign w:val="center"/>
          </w:tcPr>
          <w:p w14:paraId="7128249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0.745 (0.736-0.753)</w:t>
            </w:r>
          </w:p>
        </w:tc>
        <w:tc>
          <w:tcPr>
            <w:tcW w:w="625" w:type="pct"/>
            <w:vAlign w:val="center"/>
          </w:tcPr>
          <w:p w14:paraId="2C10284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1.34 (1.26-1.41); &lt;0.001</w:t>
            </w:r>
          </w:p>
        </w:tc>
        <w:tc>
          <w:tcPr>
            <w:tcW w:w="625" w:type="pct"/>
            <w:vAlign w:val="center"/>
          </w:tcPr>
          <w:p w14:paraId="02E5A52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0.743 (0.734-0.752)</w:t>
            </w:r>
          </w:p>
        </w:tc>
        <w:tc>
          <w:tcPr>
            <w:tcW w:w="625" w:type="pct"/>
            <w:vAlign w:val="center"/>
          </w:tcPr>
          <w:p w14:paraId="3EFC901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0.008</w:t>
            </w:r>
          </w:p>
        </w:tc>
      </w:tr>
      <w:tr w14:paraId="7A5B28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3DA4799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69D9FB0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6A8160C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006B064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1.30 (1.26-1.34); &lt;0.001</w:t>
            </w:r>
          </w:p>
        </w:tc>
        <w:tc>
          <w:tcPr>
            <w:tcW w:w="625" w:type="pct"/>
            <w:vAlign w:val="center"/>
          </w:tcPr>
          <w:p w14:paraId="24DC333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0.753 (0.744-0.762)</w:t>
            </w:r>
          </w:p>
        </w:tc>
        <w:tc>
          <w:tcPr>
            <w:tcW w:w="625" w:type="pct"/>
            <w:vAlign w:val="center"/>
          </w:tcPr>
          <w:p w14:paraId="2EA5E75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1.39 (1.34-1.44); &lt;0.001</w:t>
            </w:r>
          </w:p>
        </w:tc>
        <w:tc>
          <w:tcPr>
            <w:tcW w:w="625" w:type="pct"/>
            <w:vAlign w:val="center"/>
          </w:tcPr>
          <w:p w14:paraId="2DA93E4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0.752 (0.743-0.761)</w:t>
            </w:r>
          </w:p>
        </w:tc>
        <w:tc>
          <w:tcPr>
            <w:tcW w:w="625" w:type="pct"/>
            <w:vAlign w:val="center"/>
          </w:tcPr>
          <w:p w14:paraId="50C6EC1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0.155</w:t>
            </w:r>
          </w:p>
        </w:tc>
      </w:tr>
      <w:tr w14:paraId="3E429C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1621EA6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2E2AE63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3ECE693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0FA6C39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1.19 (1.15-1.23); &lt;0.001</w:t>
            </w:r>
          </w:p>
        </w:tc>
        <w:tc>
          <w:tcPr>
            <w:tcW w:w="625" w:type="pct"/>
            <w:vAlign w:val="center"/>
          </w:tcPr>
          <w:p w14:paraId="0BAA273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0.741 (0.732-0.751)</w:t>
            </w:r>
          </w:p>
        </w:tc>
        <w:tc>
          <w:tcPr>
            <w:tcW w:w="625" w:type="pct"/>
            <w:vAlign w:val="center"/>
          </w:tcPr>
          <w:p w14:paraId="19AF14A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1.19 (1.15-1.23); &lt;0.001</w:t>
            </w:r>
          </w:p>
        </w:tc>
        <w:tc>
          <w:tcPr>
            <w:tcW w:w="625" w:type="pct"/>
            <w:vAlign w:val="center"/>
          </w:tcPr>
          <w:p w14:paraId="6CB893A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0.741 (0.732-0.750)</w:t>
            </w:r>
          </w:p>
        </w:tc>
        <w:tc>
          <w:tcPr>
            <w:tcW w:w="625" w:type="pct"/>
            <w:vAlign w:val="center"/>
          </w:tcPr>
          <w:p w14:paraId="0004411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0.238</w:t>
            </w:r>
          </w:p>
        </w:tc>
      </w:tr>
      <w:tr w14:paraId="73E3E3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1C88FEB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4EA082C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7EC6E7E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2FBABB2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1.51 (1.45-1.56); &lt;0.001</w:t>
            </w:r>
          </w:p>
        </w:tc>
        <w:tc>
          <w:tcPr>
            <w:tcW w:w="625" w:type="pct"/>
            <w:vAlign w:val="center"/>
          </w:tcPr>
          <w:p w14:paraId="29AA3F9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0.760 (0.751-0.768)</w:t>
            </w:r>
          </w:p>
        </w:tc>
        <w:tc>
          <w:tcPr>
            <w:tcW w:w="625" w:type="pct"/>
            <w:vAlign w:val="center"/>
          </w:tcPr>
          <w:p w14:paraId="0356C38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1.57 (1.51-1.63); &lt;0.001</w:t>
            </w:r>
          </w:p>
        </w:tc>
        <w:tc>
          <w:tcPr>
            <w:tcW w:w="625" w:type="pct"/>
            <w:vAlign w:val="center"/>
          </w:tcPr>
          <w:p w14:paraId="3297B79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0.761 (0.752-0.769)</w:t>
            </w:r>
          </w:p>
        </w:tc>
        <w:tc>
          <w:tcPr>
            <w:tcW w:w="625" w:type="pct"/>
            <w:vAlign w:val="center"/>
          </w:tcPr>
          <w:p w14:paraId="016AA90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0.393</w:t>
            </w:r>
          </w:p>
        </w:tc>
      </w:tr>
      <w:tr w14:paraId="19A75F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08A0B97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18F8A43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15BF8C9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vAlign w:val="center"/>
          </w:tcPr>
          <w:p w14:paraId="708278A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1.22 (1.20-1.24); &lt;0.001</w:t>
            </w:r>
          </w:p>
        </w:tc>
        <w:tc>
          <w:tcPr>
            <w:tcW w:w="625" w:type="pct"/>
            <w:vAlign w:val="center"/>
          </w:tcPr>
          <w:p w14:paraId="585C07D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0.786 (0.778-0.795)</w:t>
            </w:r>
          </w:p>
        </w:tc>
        <w:tc>
          <w:tcPr>
            <w:tcW w:w="625" w:type="pct"/>
            <w:vAlign w:val="center"/>
          </w:tcPr>
          <w:p w14:paraId="5DA5CD7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1.25 (1.23-1.26); &lt;0.001</w:t>
            </w:r>
          </w:p>
        </w:tc>
        <w:tc>
          <w:tcPr>
            <w:tcW w:w="625" w:type="pct"/>
            <w:vAlign w:val="center"/>
          </w:tcPr>
          <w:p w14:paraId="3CC96DC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0.797 (0.789-0.805)</w:t>
            </w:r>
          </w:p>
        </w:tc>
        <w:tc>
          <w:tcPr>
            <w:tcW w:w="625" w:type="pct"/>
            <w:vAlign w:val="center"/>
          </w:tcPr>
          <w:p w14:paraId="16857A0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FB762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450FF56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1045546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4EC45FF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5EA2716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1.34 (1.30-1.39); &lt;0.001</w:t>
            </w:r>
          </w:p>
        </w:tc>
        <w:tc>
          <w:tcPr>
            <w:tcW w:w="625" w:type="pct"/>
            <w:vAlign w:val="center"/>
          </w:tcPr>
          <w:p w14:paraId="18E6559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0.768 (0.759-0.777)</w:t>
            </w:r>
          </w:p>
        </w:tc>
        <w:tc>
          <w:tcPr>
            <w:tcW w:w="625" w:type="pct"/>
            <w:vAlign w:val="center"/>
          </w:tcPr>
          <w:p w14:paraId="576F3AE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1.44 (1.40-1.48); &lt;0.001</w:t>
            </w:r>
          </w:p>
        </w:tc>
        <w:tc>
          <w:tcPr>
            <w:tcW w:w="625" w:type="pct"/>
            <w:vAlign w:val="center"/>
          </w:tcPr>
          <w:p w14:paraId="6133AC1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0.786 (0.777-0.794)</w:t>
            </w:r>
          </w:p>
        </w:tc>
        <w:tc>
          <w:tcPr>
            <w:tcW w:w="625" w:type="pct"/>
            <w:vAlign w:val="center"/>
          </w:tcPr>
          <w:p w14:paraId="165D2DE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E1B67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093BF94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5CD6231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1E0CA8C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66B2E2E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1.20 (1.15-1.26); &lt;0.001</w:t>
            </w:r>
          </w:p>
        </w:tc>
        <w:tc>
          <w:tcPr>
            <w:tcW w:w="625" w:type="pct"/>
            <w:vAlign w:val="center"/>
          </w:tcPr>
          <w:p w14:paraId="77B8B71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0.762 (0.753-0.770)</w:t>
            </w:r>
          </w:p>
        </w:tc>
        <w:tc>
          <w:tcPr>
            <w:tcW w:w="625" w:type="pct"/>
            <w:vAlign w:val="center"/>
          </w:tcPr>
          <w:p w14:paraId="045536D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1.18 (1.14-1.23); &lt;0.001</w:t>
            </w:r>
          </w:p>
        </w:tc>
        <w:tc>
          <w:tcPr>
            <w:tcW w:w="625" w:type="pct"/>
            <w:vAlign w:val="center"/>
          </w:tcPr>
          <w:p w14:paraId="54259A3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0.762 (0.754-0.771)</w:t>
            </w:r>
          </w:p>
        </w:tc>
        <w:tc>
          <w:tcPr>
            <w:tcW w:w="625" w:type="pct"/>
            <w:vAlign w:val="center"/>
          </w:tcPr>
          <w:p w14:paraId="419A0E1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0.027</w:t>
            </w:r>
          </w:p>
        </w:tc>
      </w:tr>
      <w:tr w14:paraId="2FE350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0C61E08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21EF584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7619C52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55AE2A1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1.35 (1.28-1.42); &lt;0.001</w:t>
            </w:r>
          </w:p>
        </w:tc>
        <w:tc>
          <w:tcPr>
            <w:tcW w:w="625" w:type="pct"/>
            <w:vAlign w:val="center"/>
          </w:tcPr>
          <w:p w14:paraId="159166A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0.766 (0.758-0.774)</w:t>
            </w:r>
          </w:p>
        </w:tc>
        <w:tc>
          <w:tcPr>
            <w:tcW w:w="625" w:type="pct"/>
            <w:vAlign w:val="center"/>
          </w:tcPr>
          <w:p w14:paraId="061B2A2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1.35 (1.27-1.43); &lt;0.001</w:t>
            </w:r>
          </w:p>
        </w:tc>
        <w:tc>
          <w:tcPr>
            <w:tcW w:w="625" w:type="pct"/>
            <w:vAlign w:val="center"/>
          </w:tcPr>
          <w:p w14:paraId="5B2BB5D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0.765 (0.757-0.774)</w:t>
            </w:r>
          </w:p>
        </w:tc>
        <w:tc>
          <w:tcPr>
            <w:tcW w:w="625" w:type="pct"/>
            <w:vAlign w:val="center"/>
          </w:tcPr>
          <w:p w14:paraId="36ECA78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0.076</w:t>
            </w:r>
          </w:p>
        </w:tc>
      </w:tr>
      <w:tr w14:paraId="6651E4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3E9B52B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67C0399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546D9E1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0C576C9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1.28 (1.24-1.32); &lt;0.001</w:t>
            </w:r>
          </w:p>
        </w:tc>
        <w:tc>
          <w:tcPr>
            <w:tcW w:w="625" w:type="pct"/>
            <w:vAlign w:val="center"/>
          </w:tcPr>
          <w:p w14:paraId="10EEB81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0.770 (0.762-0.779)</w:t>
            </w:r>
          </w:p>
        </w:tc>
        <w:tc>
          <w:tcPr>
            <w:tcW w:w="625" w:type="pct"/>
            <w:vAlign w:val="center"/>
          </w:tcPr>
          <w:p w14:paraId="3118801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1.35 (1.30-1.40); &lt;0.001</w:t>
            </w:r>
          </w:p>
        </w:tc>
        <w:tc>
          <w:tcPr>
            <w:tcW w:w="625" w:type="pct"/>
            <w:vAlign w:val="center"/>
          </w:tcPr>
          <w:p w14:paraId="13F73F1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0.768 (0.760-0.777)</w:t>
            </w:r>
          </w:p>
        </w:tc>
        <w:tc>
          <w:tcPr>
            <w:tcW w:w="625" w:type="pct"/>
            <w:vAlign w:val="center"/>
          </w:tcPr>
          <w:p w14:paraId="0F3B059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0.019</w:t>
            </w:r>
          </w:p>
        </w:tc>
      </w:tr>
      <w:tr w14:paraId="481E1F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EB88F6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3962D23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1F265ED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1E1245E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1.18 (1.14-1.22); &lt;0.001</w:t>
            </w:r>
          </w:p>
        </w:tc>
        <w:tc>
          <w:tcPr>
            <w:tcW w:w="625" w:type="pct"/>
            <w:vAlign w:val="center"/>
          </w:tcPr>
          <w:p w14:paraId="3E10DEA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0.763 (0.755-0.772)</w:t>
            </w:r>
          </w:p>
        </w:tc>
        <w:tc>
          <w:tcPr>
            <w:tcW w:w="625" w:type="pct"/>
            <w:vAlign w:val="center"/>
          </w:tcPr>
          <w:p w14:paraId="283977F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1.18 (1.14-1.22); &lt;0.001</w:t>
            </w:r>
          </w:p>
        </w:tc>
        <w:tc>
          <w:tcPr>
            <w:tcW w:w="625" w:type="pct"/>
            <w:vAlign w:val="center"/>
          </w:tcPr>
          <w:p w14:paraId="3FBB2DE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0.763 (0.754-0.771)</w:t>
            </w:r>
          </w:p>
        </w:tc>
        <w:tc>
          <w:tcPr>
            <w:tcW w:w="625" w:type="pct"/>
            <w:vAlign w:val="center"/>
          </w:tcPr>
          <w:p w14:paraId="0ADC7FC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0.266</w:t>
            </w:r>
          </w:p>
        </w:tc>
      </w:tr>
      <w:tr w14:paraId="58E941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46BC8B6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4" w:type="pct"/>
            <w:vAlign w:val="center"/>
          </w:tcPr>
          <w:p w14:paraId="4A3C343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02AB5D3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03232AB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1.48 (1.43-1.54); &lt;0.001</w:t>
            </w:r>
          </w:p>
        </w:tc>
        <w:tc>
          <w:tcPr>
            <w:tcW w:w="625" w:type="pct"/>
            <w:vAlign w:val="center"/>
          </w:tcPr>
          <w:p w14:paraId="772BA43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0.776 (0.768-0.784)</w:t>
            </w:r>
          </w:p>
        </w:tc>
        <w:tc>
          <w:tcPr>
            <w:tcW w:w="625" w:type="pct"/>
            <w:vAlign w:val="center"/>
          </w:tcPr>
          <w:p w14:paraId="6048107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1.54 (1.48-1.60); &lt;0.001</w:t>
            </w:r>
          </w:p>
        </w:tc>
        <w:tc>
          <w:tcPr>
            <w:tcW w:w="625" w:type="pct"/>
            <w:vAlign w:val="center"/>
          </w:tcPr>
          <w:p w14:paraId="47ABAD6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0.777 (0.769-0.785)</w:t>
            </w:r>
          </w:p>
        </w:tc>
        <w:tc>
          <w:tcPr>
            <w:tcW w:w="625" w:type="pct"/>
            <w:vAlign w:val="center"/>
          </w:tcPr>
          <w:p w14:paraId="2028D11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0.470</w:t>
            </w:r>
          </w:p>
        </w:tc>
      </w:tr>
      <w:tr w14:paraId="5E9F2B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07932F9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34965FF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07EB8C7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vAlign w:val="center"/>
          </w:tcPr>
          <w:p w14:paraId="7277E0D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1.23 (1.23-1.24); &lt;0.001</w:t>
            </w:r>
          </w:p>
        </w:tc>
        <w:tc>
          <w:tcPr>
            <w:tcW w:w="625" w:type="pct"/>
            <w:vAlign w:val="center"/>
          </w:tcPr>
          <w:p w14:paraId="7BF9290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0.715 (0.708-0.722)</w:t>
            </w:r>
          </w:p>
        </w:tc>
        <w:tc>
          <w:tcPr>
            <w:tcW w:w="625" w:type="pct"/>
            <w:vAlign w:val="center"/>
          </w:tcPr>
          <w:p w14:paraId="20A8409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1.25 (1.24-1.26); &lt;0.001</w:t>
            </w:r>
          </w:p>
        </w:tc>
        <w:tc>
          <w:tcPr>
            <w:tcW w:w="625" w:type="pct"/>
            <w:vAlign w:val="center"/>
          </w:tcPr>
          <w:p w14:paraId="71C1F61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0.718 (0.711-0.725)</w:t>
            </w:r>
          </w:p>
        </w:tc>
        <w:tc>
          <w:tcPr>
            <w:tcW w:w="625" w:type="pct"/>
            <w:vAlign w:val="center"/>
          </w:tcPr>
          <w:p w14:paraId="390A63B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0.077</w:t>
            </w:r>
          </w:p>
        </w:tc>
      </w:tr>
      <w:tr w14:paraId="5D39FD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1B5B9CC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2499A38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352459B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4E91FD1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1.43 (1.40-1.45); &lt;0.001</w:t>
            </w:r>
          </w:p>
        </w:tc>
        <w:tc>
          <w:tcPr>
            <w:tcW w:w="625" w:type="pct"/>
            <w:vAlign w:val="center"/>
          </w:tcPr>
          <w:p w14:paraId="51A67B9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0.628 (0.621-0.635)</w:t>
            </w:r>
          </w:p>
        </w:tc>
        <w:tc>
          <w:tcPr>
            <w:tcW w:w="625" w:type="pct"/>
            <w:vAlign w:val="center"/>
          </w:tcPr>
          <w:p w14:paraId="7AE0712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1.47 (1.44-1.49); &lt;0.001</w:t>
            </w:r>
          </w:p>
        </w:tc>
        <w:tc>
          <w:tcPr>
            <w:tcW w:w="625" w:type="pct"/>
            <w:vAlign w:val="center"/>
          </w:tcPr>
          <w:p w14:paraId="0F62A7F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0.641 (0.633-0.648)</w:t>
            </w:r>
          </w:p>
        </w:tc>
        <w:tc>
          <w:tcPr>
            <w:tcW w:w="625" w:type="pct"/>
            <w:vAlign w:val="center"/>
          </w:tcPr>
          <w:p w14:paraId="56D24F5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553F2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14BF8D0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13929B8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7A65CDF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2E9BEFA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1.30 (1.26-1.35); &lt;0.001</w:t>
            </w:r>
          </w:p>
        </w:tc>
        <w:tc>
          <w:tcPr>
            <w:tcW w:w="625" w:type="pct"/>
            <w:vAlign w:val="center"/>
          </w:tcPr>
          <w:p w14:paraId="2F4588A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0.535 (0.528-0.542)</w:t>
            </w:r>
          </w:p>
        </w:tc>
        <w:tc>
          <w:tcPr>
            <w:tcW w:w="625" w:type="pct"/>
            <w:vAlign w:val="center"/>
          </w:tcPr>
          <w:p w14:paraId="19981DE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1.26 (1.23-1.29); &lt;0.001</w:t>
            </w:r>
          </w:p>
        </w:tc>
        <w:tc>
          <w:tcPr>
            <w:tcW w:w="625" w:type="pct"/>
            <w:vAlign w:val="center"/>
          </w:tcPr>
          <w:p w14:paraId="7BBEDE7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0.536 (0.529-0.543)</w:t>
            </w:r>
          </w:p>
        </w:tc>
        <w:tc>
          <w:tcPr>
            <w:tcW w:w="625" w:type="pct"/>
            <w:vAlign w:val="center"/>
          </w:tcPr>
          <w:p w14:paraId="646A192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0.078</w:t>
            </w:r>
          </w:p>
        </w:tc>
      </w:tr>
      <w:tr w14:paraId="243026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10951DE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43A7D79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1906A50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2EF6E4D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1.63 (1.57-1.70); &lt;0.001</w:t>
            </w:r>
          </w:p>
        </w:tc>
        <w:tc>
          <w:tcPr>
            <w:tcW w:w="625" w:type="pct"/>
            <w:vAlign w:val="center"/>
          </w:tcPr>
          <w:p w14:paraId="50B54B3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0.550 (0.544-0.555)</w:t>
            </w:r>
          </w:p>
        </w:tc>
        <w:tc>
          <w:tcPr>
            <w:tcW w:w="625" w:type="pct"/>
            <w:vAlign w:val="center"/>
          </w:tcPr>
          <w:p w14:paraId="561371A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1.73 (1.65-1.81); &lt;0.001</w:t>
            </w:r>
          </w:p>
        </w:tc>
        <w:tc>
          <w:tcPr>
            <w:tcW w:w="625" w:type="pct"/>
            <w:vAlign w:val="center"/>
          </w:tcPr>
          <w:p w14:paraId="42FB99A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0.547 (0.542-0.552)</w:t>
            </w:r>
          </w:p>
        </w:tc>
        <w:tc>
          <w:tcPr>
            <w:tcW w:w="625" w:type="pct"/>
            <w:vAlign w:val="center"/>
          </w:tcPr>
          <w:p w14:paraId="4942D69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0.004</w:t>
            </w:r>
          </w:p>
        </w:tc>
      </w:tr>
      <w:tr w14:paraId="25955A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639DC3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54C31DE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5C5FDA0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643CED1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1.57 (1.53-1.60); &lt;0.001</w:t>
            </w:r>
          </w:p>
        </w:tc>
        <w:tc>
          <w:tcPr>
            <w:tcW w:w="625" w:type="pct"/>
            <w:vAlign w:val="center"/>
          </w:tcPr>
          <w:p w14:paraId="1060EA1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0.612 (0.605-0.619)</w:t>
            </w:r>
          </w:p>
        </w:tc>
        <w:tc>
          <w:tcPr>
            <w:tcW w:w="625" w:type="pct"/>
            <w:vAlign w:val="center"/>
          </w:tcPr>
          <w:p w14:paraId="71025B6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1.74 (1.70-1.79); &lt;0.001</w:t>
            </w:r>
          </w:p>
        </w:tc>
        <w:tc>
          <w:tcPr>
            <w:tcW w:w="625" w:type="pct"/>
            <w:vAlign w:val="center"/>
          </w:tcPr>
          <w:p w14:paraId="0279B52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0.617 (0.610-0.624)</w:t>
            </w:r>
          </w:p>
        </w:tc>
        <w:tc>
          <w:tcPr>
            <w:tcW w:w="625" w:type="pct"/>
            <w:vAlign w:val="center"/>
          </w:tcPr>
          <w:p w14:paraId="12280D5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AE003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DD0813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72F9E4A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77C509F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5D1C575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1.46 (1.43-1.49); &lt;0.001</w:t>
            </w:r>
          </w:p>
        </w:tc>
        <w:tc>
          <w:tcPr>
            <w:tcW w:w="625" w:type="pct"/>
            <w:vAlign w:val="center"/>
          </w:tcPr>
          <w:p w14:paraId="234EB1B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0.630 (0.622-0.637)</w:t>
            </w:r>
          </w:p>
        </w:tc>
        <w:tc>
          <w:tcPr>
            <w:tcW w:w="625" w:type="pct"/>
            <w:vAlign w:val="center"/>
          </w:tcPr>
          <w:p w14:paraId="1D058E6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1.47 (1.45-1.50); &lt;0.001</w:t>
            </w:r>
          </w:p>
        </w:tc>
        <w:tc>
          <w:tcPr>
            <w:tcW w:w="625" w:type="pct"/>
            <w:vAlign w:val="center"/>
          </w:tcPr>
          <w:p w14:paraId="7934F11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0.630 (0.622-0.637)</w:t>
            </w:r>
          </w:p>
        </w:tc>
        <w:tc>
          <w:tcPr>
            <w:tcW w:w="625" w:type="pct"/>
            <w:vAlign w:val="center"/>
          </w:tcPr>
          <w:p w14:paraId="7F11D9D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0.695</w:t>
            </w:r>
          </w:p>
        </w:tc>
      </w:tr>
      <w:tr w14:paraId="640A8A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2EF9B83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3D1D3B5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4" w:type="pct"/>
            <w:vAlign w:val="center"/>
          </w:tcPr>
          <w:p w14:paraId="257A9A9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6B89D48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1.32 (1.29-1.34); &lt;0.001</w:t>
            </w:r>
          </w:p>
        </w:tc>
        <w:tc>
          <w:tcPr>
            <w:tcW w:w="625" w:type="pct"/>
            <w:vAlign w:val="center"/>
          </w:tcPr>
          <w:p w14:paraId="21ABC71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0.617 (0.610-0.625)</w:t>
            </w:r>
          </w:p>
        </w:tc>
        <w:tc>
          <w:tcPr>
            <w:tcW w:w="625" w:type="pct"/>
            <w:vAlign w:val="center"/>
          </w:tcPr>
          <w:p w14:paraId="56019B1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1.36 (1.33-1.39); &lt;0.001</w:t>
            </w:r>
          </w:p>
        </w:tc>
        <w:tc>
          <w:tcPr>
            <w:tcW w:w="625" w:type="pct"/>
            <w:vAlign w:val="center"/>
          </w:tcPr>
          <w:p w14:paraId="16A7A41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0.622 (0.615-0.630)</w:t>
            </w:r>
          </w:p>
        </w:tc>
        <w:tc>
          <w:tcPr>
            <w:tcW w:w="625" w:type="pct"/>
            <w:vAlign w:val="center"/>
          </w:tcPr>
          <w:p w14:paraId="384FAF7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0.057</w:t>
            </w:r>
          </w:p>
        </w:tc>
      </w:tr>
      <w:tr w14:paraId="18D817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03619BB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529F3D6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4204742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vAlign w:val="center"/>
          </w:tcPr>
          <w:p w14:paraId="3FE9228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1.24 (1.23-1.25); &lt;0.001</w:t>
            </w:r>
          </w:p>
        </w:tc>
        <w:tc>
          <w:tcPr>
            <w:tcW w:w="625" w:type="pct"/>
            <w:vAlign w:val="center"/>
          </w:tcPr>
          <w:p w14:paraId="6DDDB85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0.723 (0.716-0.730)</w:t>
            </w:r>
          </w:p>
        </w:tc>
        <w:tc>
          <w:tcPr>
            <w:tcW w:w="625" w:type="pct"/>
            <w:vAlign w:val="center"/>
          </w:tcPr>
          <w:p w14:paraId="6DF660C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1.26 (1.25-1.26); &lt;0.001</w:t>
            </w:r>
          </w:p>
        </w:tc>
        <w:tc>
          <w:tcPr>
            <w:tcW w:w="625" w:type="pct"/>
            <w:vAlign w:val="center"/>
          </w:tcPr>
          <w:p w14:paraId="1FECD8D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0.727 (0.720-0.734)</w:t>
            </w:r>
          </w:p>
        </w:tc>
        <w:tc>
          <w:tcPr>
            <w:tcW w:w="625" w:type="pct"/>
            <w:vAlign w:val="center"/>
          </w:tcPr>
          <w:p w14:paraId="5C4687E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0.019</w:t>
            </w:r>
          </w:p>
        </w:tc>
      </w:tr>
      <w:tr w14:paraId="0EA38E5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351CF67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3327030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7AAAE87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09A4484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1.45 (1.42-1.47); &lt;0.001</w:t>
            </w:r>
          </w:p>
        </w:tc>
        <w:tc>
          <w:tcPr>
            <w:tcW w:w="625" w:type="pct"/>
            <w:vAlign w:val="center"/>
          </w:tcPr>
          <w:p w14:paraId="7E750D1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0.654 (0.647-0.662)</w:t>
            </w:r>
          </w:p>
        </w:tc>
        <w:tc>
          <w:tcPr>
            <w:tcW w:w="625" w:type="pct"/>
            <w:vAlign w:val="center"/>
          </w:tcPr>
          <w:p w14:paraId="6B8390D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1.48 (1.46-1.51); &lt;0.001</w:t>
            </w:r>
          </w:p>
        </w:tc>
        <w:tc>
          <w:tcPr>
            <w:tcW w:w="625" w:type="pct"/>
            <w:vAlign w:val="center"/>
          </w:tcPr>
          <w:p w14:paraId="315809D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0.663 (0.656-0.671)</w:t>
            </w:r>
          </w:p>
        </w:tc>
        <w:tc>
          <w:tcPr>
            <w:tcW w:w="625" w:type="pct"/>
            <w:vAlign w:val="center"/>
          </w:tcPr>
          <w:p w14:paraId="197DEAC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670E0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339830C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7093998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6975D77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68D6C63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1.31 (1.27-1.35); &lt;0.001</w:t>
            </w:r>
          </w:p>
        </w:tc>
        <w:tc>
          <w:tcPr>
            <w:tcW w:w="625" w:type="pct"/>
            <w:vAlign w:val="center"/>
          </w:tcPr>
          <w:p w14:paraId="127F26B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0.571 (0.563-0.579)</w:t>
            </w:r>
          </w:p>
        </w:tc>
        <w:tc>
          <w:tcPr>
            <w:tcW w:w="625" w:type="pct"/>
            <w:vAlign w:val="center"/>
          </w:tcPr>
          <w:p w14:paraId="32FD023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1.26 (1.23-1.30); &lt;0.001</w:t>
            </w:r>
          </w:p>
        </w:tc>
        <w:tc>
          <w:tcPr>
            <w:tcW w:w="625" w:type="pct"/>
            <w:vAlign w:val="center"/>
          </w:tcPr>
          <w:p w14:paraId="2F49BEC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0.573 (0.565-0.581)</w:t>
            </w:r>
          </w:p>
        </w:tc>
        <w:tc>
          <w:tcPr>
            <w:tcW w:w="625" w:type="pct"/>
            <w:vAlign w:val="center"/>
          </w:tcPr>
          <w:p w14:paraId="3B27F1B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A1883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33534C5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1DA4BD9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5408FEE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7826AEB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1.65 (1.59-1.72); &lt;0.001</w:t>
            </w:r>
          </w:p>
        </w:tc>
        <w:tc>
          <w:tcPr>
            <w:tcW w:w="625" w:type="pct"/>
            <w:vAlign w:val="center"/>
          </w:tcPr>
          <w:p w14:paraId="7F0A80E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0.592 (0.584-0.600)</w:t>
            </w:r>
          </w:p>
        </w:tc>
        <w:tc>
          <w:tcPr>
            <w:tcW w:w="625" w:type="pct"/>
            <w:vAlign w:val="center"/>
          </w:tcPr>
          <w:p w14:paraId="5100A5B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1.76 (1.67-1.84); &lt;0.001</w:t>
            </w:r>
          </w:p>
        </w:tc>
        <w:tc>
          <w:tcPr>
            <w:tcW w:w="625" w:type="pct"/>
            <w:vAlign w:val="center"/>
          </w:tcPr>
          <w:p w14:paraId="20E332E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0.592 (0.584-0.599)</w:t>
            </w:r>
          </w:p>
        </w:tc>
        <w:tc>
          <w:tcPr>
            <w:tcW w:w="625" w:type="pct"/>
            <w:vAlign w:val="center"/>
          </w:tcPr>
          <w:p w14:paraId="4725A42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0.323</w:t>
            </w:r>
          </w:p>
        </w:tc>
      </w:tr>
      <w:tr w14:paraId="2C2EEF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96A691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324E7FB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088703C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3EA795E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1.57 (1.54-1.61); &lt;0.001</w:t>
            </w:r>
          </w:p>
        </w:tc>
        <w:tc>
          <w:tcPr>
            <w:tcW w:w="625" w:type="pct"/>
            <w:vAlign w:val="center"/>
          </w:tcPr>
          <w:p w14:paraId="3E2F48E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0.636 (0.628-0.644)</w:t>
            </w:r>
          </w:p>
        </w:tc>
        <w:tc>
          <w:tcPr>
            <w:tcW w:w="625" w:type="pct"/>
            <w:vAlign w:val="center"/>
          </w:tcPr>
          <w:p w14:paraId="370D0C1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1.75 (1.71-1.80); &lt;0.001</w:t>
            </w:r>
          </w:p>
        </w:tc>
        <w:tc>
          <w:tcPr>
            <w:tcW w:w="625" w:type="pct"/>
            <w:vAlign w:val="center"/>
          </w:tcPr>
          <w:p w14:paraId="0A962C2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0.640 (0.632-0.648)</w:t>
            </w:r>
          </w:p>
        </w:tc>
        <w:tc>
          <w:tcPr>
            <w:tcW w:w="625" w:type="pct"/>
            <w:vAlign w:val="center"/>
          </w:tcPr>
          <w:p w14:paraId="3E28541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0.002</w:t>
            </w:r>
          </w:p>
        </w:tc>
      </w:tr>
      <w:tr w14:paraId="7700382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1FAA49A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62D83E5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1CDBA18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30D0E52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1.47 (1.44-1.50); &lt;0.001</w:t>
            </w:r>
          </w:p>
        </w:tc>
        <w:tc>
          <w:tcPr>
            <w:tcW w:w="625" w:type="pct"/>
            <w:vAlign w:val="center"/>
          </w:tcPr>
          <w:p w14:paraId="58F2ED1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0.651 (0.643-0.659)</w:t>
            </w:r>
          </w:p>
        </w:tc>
        <w:tc>
          <w:tcPr>
            <w:tcW w:w="625" w:type="pct"/>
            <w:vAlign w:val="center"/>
          </w:tcPr>
          <w:p w14:paraId="7A7E7DD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1.48 (1.45-1.51); &lt;0.001</w:t>
            </w:r>
          </w:p>
        </w:tc>
        <w:tc>
          <w:tcPr>
            <w:tcW w:w="625" w:type="pct"/>
            <w:vAlign w:val="center"/>
          </w:tcPr>
          <w:p w14:paraId="61AEB64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0.650 (0.642-0.658)</w:t>
            </w:r>
          </w:p>
        </w:tc>
        <w:tc>
          <w:tcPr>
            <w:tcW w:w="625" w:type="pct"/>
            <w:vAlign w:val="center"/>
          </w:tcPr>
          <w:p w14:paraId="0694013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0.124</w:t>
            </w:r>
          </w:p>
        </w:tc>
      </w:tr>
      <w:tr w14:paraId="57C4DEE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5E773CC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1F64A8C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4" w:type="pct"/>
            <w:vAlign w:val="center"/>
          </w:tcPr>
          <w:p w14:paraId="73AC342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305AD10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1.31 (1.29-1.34); &lt;0.001</w:t>
            </w:r>
          </w:p>
        </w:tc>
        <w:tc>
          <w:tcPr>
            <w:tcW w:w="625" w:type="pct"/>
            <w:vAlign w:val="center"/>
          </w:tcPr>
          <w:p w14:paraId="2710FCC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0.630 (0.622-0.637)</w:t>
            </w:r>
          </w:p>
        </w:tc>
        <w:tc>
          <w:tcPr>
            <w:tcW w:w="625" w:type="pct"/>
            <w:vAlign w:val="center"/>
          </w:tcPr>
          <w:p w14:paraId="51BE9AA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1.37 (1.34-1.39); &lt;0.001</w:t>
            </w:r>
          </w:p>
        </w:tc>
        <w:tc>
          <w:tcPr>
            <w:tcW w:w="625" w:type="pct"/>
            <w:vAlign w:val="center"/>
          </w:tcPr>
          <w:p w14:paraId="184037F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0.635 (0.628-0.643)</w:t>
            </w:r>
          </w:p>
        </w:tc>
        <w:tc>
          <w:tcPr>
            <w:tcW w:w="625" w:type="pct"/>
            <w:vAlign w:val="center"/>
          </w:tcPr>
          <w:p w14:paraId="72AFA7C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0.022</w:t>
            </w:r>
          </w:p>
        </w:tc>
      </w:tr>
      <w:tr w14:paraId="2ECF43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36A81AC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6A17725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2089989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vAlign w:val="center"/>
          </w:tcPr>
          <w:p w14:paraId="59AED84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1.23 (1.22-1.24); &lt;0.001</w:t>
            </w:r>
          </w:p>
        </w:tc>
        <w:tc>
          <w:tcPr>
            <w:tcW w:w="625" w:type="pct"/>
            <w:vAlign w:val="center"/>
          </w:tcPr>
          <w:p w14:paraId="23AC015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0.742 (0.736-0.749)</w:t>
            </w:r>
          </w:p>
        </w:tc>
        <w:tc>
          <w:tcPr>
            <w:tcW w:w="625" w:type="pct"/>
            <w:vAlign w:val="center"/>
          </w:tcPr>
          <w:p w14:paraId="18BB855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1.24 (1.23-1.25); &lt;0.001</w:t>
            </w:r>
          </w:p>
        </w:tc>
        <w:tc>
          <w:tcPr>
            <w:tcW w:w="625" w:type="pct"/>
            <w:vAlign w:val="center"/>
          </w:tcPr>
          <w:p w14:paraId="6CF78A0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0.745 (0.738-0.752)</w:t>
            </w:r>
          </w:p>
        </w:tc>
        <w:tc>
          <w:tcPr>
            <w:tcW w:w="625" w:type="pct"/>
            <w:vAlign w:val="center"/>
          </w:tcPr>
          <w:p w14:paraId="6F76776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0.040</w:t>
            </w:r>
          </w:p>
        </w:tc>
      </w:tr>
      <w:tr w14:paraId="4166B7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05E197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15039D0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46AC1B9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53AB47F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1.43 (1.41-1.46); &lt;0.001</w:t>
            </w:r>
          </w:p>
        </w:tc>
        <w:tc>
          <w:tcPr>
            <w:tcW w:w="625" w:type="pct"/>
            <w:vAlign w:val="center"/>
          </w:tcPr>
          <w:p w14:paraId="6CF4E64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0.701 (0.694-0.708)</w:t>
            </w:r>
          </w:p>
        </w:tc>
        <w:tc>
          <w:tcPr>
            <w:tcW w:w="625" w:type="pct"/>
            <w:vAlign w:val="center"/>
          </w:tcPr>
          <w:p w14:paraId="0A34502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1.46 (1.44-1.49); &lt;0.001</w:t>
            </w:r>
          </w:p>
        </w:tc>
        <w:tc>
          <w:tcPr>
            <w:tcW w:w="625" w:type="pct"/>
            <w:vAlign w:val="center"/>
          </w:tcPr>
          <w:p w14:paraId="13F3879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0.706 (0.699-0.713)</w:t>
            </w:r>
          </w:p>
        </w:tc>
        <w:tc>
          <w:tcPr>
            <w:tcW w:w="625" w:type="pct"/>
            <w:vAlign w:val="center"/>
          </w:tcPr>
          <w:p w14:paraId="00A47D4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0.010</w:t>
            </w:r>
          </w:p>
        </w:tc>
      </w:tr>
      <w:tr w14:paraId="5AF3C9A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1CA3377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3C9457F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21FFFA0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74286B3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1.25 (1.21-1.29); &lt;0.001</w:t>
            </w:r>
          </w:p>
        </w:tc>
        <w:tc>
          <w:tcPr>
            <w:tcW w:w="625" w:type="pct"/>
            <w:vAlign w:val="center"/>
          </w:tcPr>
          <w:p w14:paraId="4DA6C49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0.651 (0.644-0.659)</w:t>
            </w:r>
          </w:p>
        </w:tc>
        <w:tc>
          <w:tcPr>
            <w:tcW w:w="625" w:type="pct"/>
            <w:vAlign w:val="center"/>
          </w:tcPr>
          <w:p w14:paraId="11D004E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1.21 (1.18-1.25); &lt;0.001</w:t>
            </w:r>
          </w:p>
        </w:tc>
        <w:tc>
          <w:tcPr>
            <w:tcW w:w="625" w:type="pct"/>
            <w:vAlign w:val="center"/>
          </w:tcPr>
          <w:p w14:paraId="7459196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0.653 (0.645-0.661)</w:t>
            </w:r>
          </w:p>
        </w:tc>
        <w:tc>
          <w:tcPr>
            <w:tcW w:w="625" w:type="pct"/>
            <w:vAlign w:val="center"/>
          </w:tcPr>
          <w:p w14:paraId="192FD46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22EEAB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558D11B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1FEE97B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1F3E29D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2ED7A3A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1.51 (1.44-1.58); &lt;0.001</w:t>
            </w:r>
          </w:p>
        </w:tc>
        <w:tc>
          <w:tcPr>
            <w:tcW w:w="625" w:type="pct"/>
            <w:vAlign w:val="center"/>
          </w:tcPr>
          <w:p w14:paraId="21AD036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0.660 (0.652-0.667)</w:t>
            </w:r>
          </w:p>
        </w:tc>
        <w:tc>
          <w:tcPr>
            <w:tcW w:w="625" w:type="pct"/>
            <w:vAlign w:val="center"/>
          </w:tcPr>
          <w:p w14:paraId="05682478">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1.58 (1.50-1.66); &lt;0.001</w:t>
            </w:r>
          </w:p>
        </w:tc>
        <w:tc>
          <w:tcPr>
            <w:tcW w:w="625" w:type="pct"/>
            <w:vAlign w:val="center"/>
          </w:tcPr>
          <w:p w14:paraId="074BBCD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0.659 (0.652-0.667)</w:t>
            </w:r>
          </w:p>
        </w:tc>
        <w:tc>
          <w:tcPr>
            <w:tcW w:w="625" w:type="pct"/>
            <w:vAlign w:val="center"/>
          </w:tcPr>
          <w:p w14:paraId="7F98C5F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0.400</w:t>
            </w:r>
          </w:p>
        </w:tc>
      </w:tr>
      <w:tr w14:paraId="30ABBC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39261A4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05CABA8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4D61E73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3FF0089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1.48 (1.44-1.51); &lt;0.001</w:t>
            </w:r>
          </w:p>
        </w:tc>
        <w:tc>
          <w:tcPr>
            <w:tcW w:w="625" w:type="pct"/>
            <w:vAlign w:val="center"/>
          </w:tcPr>
          <w:p w14:paraId="76865A0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0.685 (0.677-0.692)</w:t>
            </w:r>
          </w:p>
        </w:tc>
        <w:tc>
          <w:tcPr>
            <w:tcW w:w="625" w:type="pct"/>
            <w:vAlign w:val="center"/>
          </w:tcPr>
          <w:p w14:paraId="1B37A75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1.66 (1.62-1.71); &lt;0.001</w:t>
            </w:r>
          </w:p>
        </w:tc>
        <w:tc>
          <w:tcPr>
            <w:tcW w:w="625" w:type="pct"/>
            <w:vAlign w:val="center"/>
          </w:tcPr>
          <w:p w14:paraId="411B797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0.686 (0.678-0.693)</w:t>
            </w:r>
          </w:p>
        </w:tc>
        <w:tc>
          <w:tcPr>
            <w:tcW w:w="625" w:type="pct"/>
            <w:vAlign w:val="center"/>
          </w:tcPr>
          <w:p w14:paraId="560FA14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0.286</w:t>
            </w:r>
          </w:p>
        </w:tc>
      </w:tr>
      <w:tr w14:paraId="26AFA6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477E5B0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5577E87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741D5EB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25C8662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1.48 (1.45-1.51); &lt;0.001</w:t>
            </w:r>
          </w:p>
        </w:tc>
        <w:tc>
          <w:tcPr>
            <w:tcW w:w="625" w:type="pct"/>
            <w:vAlign w:val="center"/>
          </w:tcPr>
          <w:p w14:paraId="1402E85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0.706 (0.699-0.713)</w:t>
            </w:r>
          </w:p>
        </w:tc>
        <w:tc>
          <w:tcPr>
            <w:tcW w:w="625" w:type="pct"/>
            <w:vAlign w:val="center"/>
          </w:tcPr>
          <w:p w14:paraId="4E99129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1.49 (1.46-1.52); &lt;0.001</w:t>
            </w:r>
          </w:p>
        </w:tc>
        <w:tc>
          <w:tcPr>
            <w:tcW w:w="625" w:type="pct"/>
            <w:vAlign w:val="center"/>
          </w:tcPr>
          <w:p w14:paraId="616B571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0.706 (0.699-0.714)</w:t>
            </w:r>
          </w:p>
        </w:tc>
        <w:tc>
          <w:tcPr>
            <w:tcW w:w="625" w:type="pct"/>
            <w:vAlign w:val="center"/>
          </w:tcPr>
          <w:p w14:paraId="6DF9E41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0.795</w:t>
            </w:r>
          </w:p>
        </w:tc>
      </w:tr>
      <w:tr w14:paraId="252DE5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3B8E023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51F70BC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4" w:type="pct"/>
            <w:vAlign w:val="center"/>
          </w:tcPr>
          <w:p w14:paraId="0D8BECC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4C0717B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1.27 (1.25-1.30); &lt;0.001</w:t>
            </w:r>
          </w:p>
        </w:tc>
        <w:tc>
          <w:tcPr>
            <w:tcW w:w="625" w:type="pct"/>
            <w:vAlign w:val="center"/>
          </w:tcPr>
          <w:p w14:paraId="47265CC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0.672 (0.665-0.679)</w:t>
            </w:r>
          </w:p>
        </w:tc>
        <w:tc>
          <w:tcPr>
            <w:tcW w:w="625" w:type="pct"/>
            <w:vAlign w:val="center"/>
          </w:tcPr>
          <w:p w14:paraId="25C294E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1.33 (1.30-1.36); &lt;0.001</w:t>
            </w:r>
          </w:p>
        </w:tc>
        <w:tc>
          <w:tcPr>
            <w:tcW w:w="625" w:type="pct"/>
            <w:vAlign w:val="center"/>
          </w:tcPr>
          <w:p w14:paraId="34D6AAB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0.676 (0.668-0.683)</w:t>
            </w:r>
          </w:p>
        </w:tc>
        <w:tc>
          <w:tcPr>
            <w:tcW w:w="625" w:type="pct"/>
            <w:vAlign w:val="center"/>
          </w:tcPr>
          <w:p w14:paraId="2A5F4D8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0.024</w:t>
            </w:r>
          </w:p>
        </w:tc>
      </w:tr>
      <w:tr w14:paraId="30A786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CD86DD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45FA6BB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3302C4D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vAlign w:val="center"/>
          </w:tcPr>
          <w:p w14:paraId="0C45330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1.21 (1.20-1.22); &lt;0.001</w:t>
            </w:r>
          </w:p>
        </w:tc>
        <w:tc>
          <w:tcPr>
            <w:tcW w:w="625" w:type="pct"/>
            <w:vAlign w:val="center"/>
          </w:tcPr>
          <w:p w14:paraId="55C3A11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0.761 (0.754-0.767)</w:t>
            </w:r>
          </w:p>
        </w:tc>
        <w:tc>
          <w:tcPr>
            <w:tcW w:w="625" w:type="pct"/>
            <w:vAlign w:val="center"/>
          </w:tcPr>
          <w:p w14:paraId="4D07810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1.22 (1.21-1.23); &lt;0.001</w:t>
            </w:r>
          </w:p>
        </w:tc>
        <w:tc>
          <w:tcPr>
            <w:tcW w:w="625" w:type="pct"/>
            <w:vAlign w:val="center"/>
          </w:tcPr>
          <w:p w14:paraId="33EE316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0.763 (0.757-0.769)</w:t>
            </w:r>
          </w:p>
        </w:tc>
        <w:tc>
          <w:tcPr>
            <w:tcW w:w="625" w:type="pct"/>
            <w:vAlign w:val="center"/>
          </w:tcPr>
          <w:p w14:paraId="53E91A6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0.022</w:t>
            </w:r>
          </w:p>
        </w:tc>
      </w:tr>
      <w:tr w14:paraId="47A00A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25D8862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7EA0416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64F9796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51B29FB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1.37 (1.34-1.39); &lt;0.001</w:t>
            </w:r>
          </w:p>
        </w:tc>
        <w:tc>
          <w:tcPr>
            <w:tcW w:w="625" w:type="pct"/>
            <w:vAlign w:val="center"/>
          </w:tcPr>
          <w:p w14:paraId="4CA5CD4D">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0.732 (0.725-0.739)</w:t>
            </w:r>
          </w:p>
        </w:tc>
        <w:tc>
          <w:tcPr>
            <w:tcW w:w="625" w:type="pct"/>
            <w:vAlign w:val="center"/>
          </w:tcPr>
          <w:p w14:paraId="0FC1E80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1.40 (1.37-1.43); &lt;0.001</w:t>
            </w:r>
          </w:p>
        </w:tc>
        <w:tc>
          <w:tcPr>
            <w:tcW w:w="625" w:type="pct"/>
            <w:vAlign w:val="center"/>
          </w:tcPr>
          <w:p w14:paraId="1CF015D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0.735 (0.729-0.742)</w:t>
            </w:r>
          </w:p>
        </w:tc>
        <w:tc>
          <w:tcPr>
            <w:tcW w:w="625" w:type="pct"/>
            <w:vAlign w:val="center"/>
          </w:tcPr>
          <w:p w14:paraId="418287C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0.010</w:t>
            </w:r>
          </w:p>
        </w:tc>
      </w:tr>
      <w:tr w14:paraId="554222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1AF75D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2349558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4F632FB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2B2ACCE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1.26 (1.22-1.30); &lt;0.001</w:t>
            </w:r>
          </w:p>
        </w:tc>
        <w:tc>
          <w:tcPr>
            <w:tcW w:w="625" w:type="pct"/>
            <w:vAlign w:val="center"/>
          </w:tcPr>
          <w:p w14:paraId="2404C8E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0.710 (0.703-0.717)</w:t>
            </w:r>
          </w:p>
        </w:tc>
        <w:tc>
          <w:tcPr>
            <w:tcW w:w="625" w:type="pct"/>
            <w:vAlign w:val="center"/>
          </w:tcPr>
          <w:p w14:paraId="669C758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1.22 (1.19-1.25); &lt;0.001</w:t>
            </w:r>
          </w:p>
        </w:tc>
        <w:tc>
          <w:tcPr>
            <w:tcW w:w="625" w:type="pct"/>
            <w:vAlign w:val="center"/>
          </w:tcPr>
          <w:p w14:paraId="1B56731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0.711 (0.704-0.718)</w:t>
            </w:r>
          </w:p>
        </w:tc>
        <w:tc>
          <w:tcPr>
            <w:tcW w:w="625" w:type="pct"/>
            <w:vAlign w:val="center"/>
          </w:tcPr>
          <w:p w14:paraId="5E89530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11B2D3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65348F9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2C75137B">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2279330C">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1EA8134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1.44 (1.38-1.51); &lt;0.001</w:t>
            </w:r>
          </w:p>
        </w:tc>
        <w:tc>
          <w:tcPr>
            <w:tcW w:w="625" w:type="pct"/>
            <w:vAlign w:val="center"/>
          </w:tcPr>
          <w:p w14:paraId="30F83BF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0.714 (0.707-0.720)</w:t>
            </w:r>
          </w:p>
        </w:tc>
        <w:tc>
          <w:tcPr>
            <w:tcW w:w="625" w:type="pct"/>
            <w:vAlign w:val="center"/>
          </w:tcPr>
          <w:p w14:paraId="3E2092B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1.51 (1.44-1.59); &lt;0.001</w:t>
            </w:r>
          </w:p>
        </w:tc>
        <w:tc>
          <w:tcPr>
            <w:tcW w:w="625" w:type="pct"/>
            <w:vAlign w:val="center"/>
          </w:tcPr>
          <w:p w14:paraId="02AA8F71">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0.714 (0.707-0.721)</w:t>
            </w:r>
          </w:p>
        </w:tc>
        <w:tc>
          <w:tcPr>
            <w:tcW w:w="625" w:type="pct"/>
            <w:vAlign w:val="center"/>
          </w:tcPr>
          <w:p w14:paraId="644DA4A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0.588</w:t>
            </w:r>
          </w:p>
        </w:tc>
      </w:tr>
      <w:tr w14:paraId="147893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146C43CA">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1871607F">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508F9FE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30F5805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1.39 (1.36-1.42); &lt;0.001</w:t>
            </w:r>
          </w:p>
        </w:tc>
        <w:tc>
          <w:tcPr>
            <w:tcW w:w="625" w:type="pct"/>
            <w:vAlign w:val="center"/>
          </w:tcPr>
          <w:p w14:paraId="554937E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0.722 (0.716-0.729)</w:t>
            </w:r>
          </w:p>
        </w:tc>
        <w:tc>
          <w:tcPr>
            <w:tcW w:w="625" w:type="pct"/>
            <w:vAlign w:val="center"/>
          </w:tcPr>
          <w:p w14:paraId="74F2C93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1.53 (1.48-1.57); &lt;0.001</w:t>
            </w:r>
          </w:p>
        </w:tc>
        <w:tc>
          <w:tcPr>
            <w:tcW w:w="625" w:type="pct"/>
            <w:vAlign w:val="center"/>
          </w:tcPr>
          <w:p w14:paraId="211E78E9">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0.723 (0.716-0.729)</w:t>
            </w:r>
          </w:p>
        </w:tc>
        <w:tc>
          <w:tcPr>
            <w:tcW w:w="625" w:type="pct"/>
            <w:vAlign w:val="center"/>
          </w:tcPr>
          <w:p w14:paraId="2911370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0.984</w:t>
            </w:r>
          </w:p>
        </w:tc>
      </w:tr>
      <w:tr w14:paraId="2CE216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70BAE4E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4CEC44A3">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1F120F7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12E6F696">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1.41 (1.39-1.44); &lt;0.001</w:t>
            </w:r>
          </w:p>
        </w:tc>
        <w:tc>
          <w:tcPr>
            <w:tcW w:w="625" w:type="pct"/>
            <w:vAlign w:val="center"/>
          </w:tcPr>
          <w:p w14:paraId="418E8320">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0.737 (0.731-0.744)</w:t>
            </w:r>
          </w:p>
        </w:tc>
        <w:tc>
          <w:tcPr>
            <w:tcW w:w="625" w:type="pct"/>
            <w:vAlign w:val="center"/>
          </w:tcPr>
          <w:p w14:paraId="13494A0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1.43 (1.40-1.46); &lt;0.001</w:t>
            </w:r>
          </w:p>
        </w:tc>
        <w:tc>
          <w:tcPr>
            <w:tcW w:w="625" w:type="pct"/>
            <w:vAlign w:val="center"/>
          </w:tcPr>
          <w:p w14:paraId="7DA9BB7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0.738 (0.731-0.744)</w:t>
            </w:r>
          </w:p>
        </w:tc>
        <w:tc>
          <w:tcPr>
            <w:tcW w:w="625" w:type="pct"/>
            <w:vAlign w:val="center"/>
          </w:tcPr>
          <w:p w14:paraId="738ABF8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0.470</w:t>
            </w:r>
          </w:p>
        </w:tc>
      </w:tr>
      <w:tr w14:paraId="697506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4" w:type="pct"/>
            <w:vAlign w:val="center"/>
          </w:tcPr>
          <w:p w14:paraId="7890927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eICU-CRD</w:t>
            </w:r>
          </w:p>
        </w:tc>
        <w:tc>
          <w:tcPr>
            <w:tcW w:w="624" w:type="pct"/>
            <w:vAlign w:val="center"/>
          </w:tcPr>
          <w:p w14:paraId="5D4F54E4">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4" w:type="pct"/>
            <w:vAlign w:val="center"/>
          </w:tcPr>
          <w:p w14:paraId="47788645">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75C3DDEE">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1.24 (1.22-1.27); &lt;0.001</w:t>
            </w:r>
          </w:p>
        </w:tc>
        <w:tc>
          <w:tcPr>
            <w:tcW w:w="625" w:type="pct"/>
            <w:vAlign w:val="center"/>
          </w:tcPr>
          <w:p w14:paraId="7625DDA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0.718 (0.711-0.724)</w:t>
            </w:r>
          </w:p>
        </w:tc>
        <w:tc>
          <w:tcPr>
            <w:tcW w:w="625" w:type="pct"/>
            <w:vAlign w:val="center"/>
          </w:tcPr>
          <w:p w14:paraId="25B47887">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1.29 (1.26-1.32); &lt;0.001</w:t>
            </w:r>
          </w:p>
        </w:tc>
        <w:tc>
          <w:tcPr>
            <w:tcW w:w="625" w:type="pct"/>
            <w:vAlign w:val="center"/>
          </w:tcPr>
          <w:p w14:paraId="1780A37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0.719 (0.713-0.726)</w:t>
            </w:r>
          </w:p>
        </w:tc>
        <w:tc>
          <w:tcPr>
            <w:tcW w:w="625" w:type="pct"/>
            <w:vAlign w:val="center"/>
          </w:tcPr>
          <w:p w14:paraId="3D0AFC12">
            <w:pPr>
              <w:spacing w:line="221" w:lineRule="auto"/>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0.064</w:t>
            </w:r>
          </w:p>
        </w:tc>
      </w:tr>
    </w:tbl>
    <w:p w14:paraId="4977B277">
      <w:pPr>
        <w:rPr>
          <w:rFonts w:ascii="Times New Roman" w:hAnsi="Times New Roman" w:eastAsia="宋体" w:cs="Times New Roman"/>
          <w:bCs/>
          <w:color w:val="auto"/>
          <w:sz w:val="18"/>
          <w:szCs w:val="18"/>
          <w:lang w:bidi="ar"/>
        </w:rPr>
      </w:pPr>
      <w:r>
        <w:rPr>
          <w:rFonts w:ascii="Times New Roman Bold" w:hAnsi="Times New Roman Bold" w:eastAsia="宋体" w:cs="Times New Roman Bold"/>
          <w:b/>
          <w:color w:val="auto"/>
          <w:sz w:val="18"/>
          <w:szCs w:val="18"/>
          <w:lang w:bidi="ar"/>
        </w:rPr>
        <w:t>Abbreviations:</w:t>
      </w:r>
      <w:r>
        <w:rPr>
          <w:rFonts w:hint="eastAsia" w:ascii="Times New Roman" w:hAnsi="Times New Roman" w:eastAsia="宋体" w:cs="Times New Roman"/>
          <w:bCs/>
          <w:color w:val="auto"/>
          <w:sz w:val="18"/>
          <w:szCs w:val="18"/>
          <w:lang w:bidi="ar"/>
        </w:rPr>
        <w:t xml:space="preserve"> SOFA, Sequential Organ Failure Assessment; OR, odds ratio; CI, confidence interval.</w:t>
      </w:r>
    </w:p>
    <w:p w14:paraId="100660B7">
      <w:pPr>
        <w:rPr>
          <w:rFonts w:ascii="Times New Roman" w:hAnsi="Times New Roman" w:eastAsia="宋体" w:cs="Times New Roman"/>
          <w:bCs/>
          <w:color w:val="auto"/>
          <w:sz w:val="18"/>
          <w:szCs w:val="18"/>
          <w:lang w:bidi="ar"/>
        </w:rPr>
      </w:pPr>
      <w:r>
        <w:rPr>
          <w:rFonts w:ascii="Times New Roman Bold" w:hAnsi="Times New Roman Bold" w:eastAsia="宋体" w:cs="Times New Roman Bold"/>
          <w:b/>
          <w:color w:val="auto"/>
          <w:sz w:val="18"/>
          <w:szCs w:val="18"/>
          <w:lang w:bidi="ar"/>
        </w:rPr>
        <w:t>Notes:</w:t>
      </w:r>
      <w:r>
        <w:rPr>
          <w:rFonts w:hint="eastAsia" w:ascii="Times New Roman" w:hAnsi="Times New Roman" w:eastAsia="宋体" w:cs="Times New Roman"/>
          <w:bCs/>
          <w:color w:val="auto"/>
          <w:sz w:val="18"/>
          <w:szCs w:val="18"/>
          <w:lang w:bidi="ar"/>
        </w:rPr>
        <w:t xml:space="preserve"> ORs represent the change in odds of in-hospital mortality per 1-point increase in the corresponding SOFA score. Model A was adjusted for age and sex. Model B was further adjusted for documented sepsis and baseline comorbidities, including cardiovascular disease, diabetes, neurological disease, chronic kidney disease, chronic obstructive pulmonary disease, malignancy, and liver disease. Model C was further adjusted for white blood cell count, hemoglobin, blood glucose, and heart rate; the corresponding units were ×10⁹/L, g/dL, mg/dL, and beats/min, respectively. P-values for C-index comparison indicate paired comparisons between SOFA-1 and SOFA-2 within the same cohort, model, and score domain.</w:t>
      </w:r>
    </w:p>
    <w:p w14:paraId="5FB90C05">
      <w:pPr>
        <w:rPr>
          <w:rFonts w:ascii="Times New Roman" w:hAnsi="Times New Roman" w:eastAsia="宋体" w:cs="Times New Roman"/>
          <w:bCs/>
          <w:color w:val="auto"/>
          <w:szCs w:val="21"/>
          <w:lang w:bidi="ar"/>
        </w:rPr>
        <w:sectPr>
          <w:pgSz w:w="16838" w:h="11906" w:orient="landscape"/>
          <w:pgMar w:top="1797" w:right="1440" w:bottom="1797" w:left="1440" w:header="851" w:footer="992" w:gutter="0"/>
          <w:cols w:space="425" w:num="1"/>
          <w:docGrid w:type="lines" w:linePitch="312" w:charSpace="0"/>
        </w:sectPr>
      </w:pPr>
    </w:p>
    <w:p w14:paraId="590EF6DA">
      <w:pPr>
        <w:rPr>
          <w:rFonts w:ascii="Times New Roman Bold" w:hAnsi="Times New Roman Bold" w:eastAsia="宋体" w:cs="Times New Roman Bold"/>
          <w:b/>
          <w:color w:val="auto"/>
          <w:sz w:val="18"/>
          <w:szCs w:val="18"/>
          <w:lang w:bidi="ar"/>
        </w:rPr>
      </w:pPr>
      <w:r>
        <w:rPr>
          <w:rFonts w:ascii="Times New Roman Bold" w:hAnsi="Times New Roman Bold" w:eastAsia="宋体" w:cs="Times New Roman Bold"/>
          <w:b/>
          <w:color w:val="auto"/>
          <w:szCs w:val="21"/>
          <w:lang w:bidi="ar"/>
        </w:rPr>
        <w:t>eTable 7.</w:t>
      </w:r>
      <w:r>
        <w:rPr>
          <w:color w:val="auto"/>
        </w:rPr>
        <w:t xml:space="preserve"> </w:t>
      </w:r>
      <w:r>
        <w:rPr>
          <w:rFonts w:hint="eastAsia" w:ascii="Times New Roman Bold" w:hAnsi="Times New Roman Bold" w:eastAsia="宋体" w:cs="Times New Roman Bold"/>
          <w:b/>
          <w:color w:val="auto"/>
          <w:szCs w:val="21"/>
          <w:lang w:bidi="ar"/>
        </w:rPr>
        <w:t>Full m</w:t>
      </w:r>
      <w:r>
        <w:rPr>
          <w:rFonts w:ascii="Times New Roman Bold" w:hAnsi="Times New Roman Bold" w:eastAsia="宋体" w:cs="Times New Roman Bold"/>
          <w:b/>
          <w:color w:val="auto"/>
          <w:szCs w:val="21"/>
          <w:lang w:bidi="ar"/>
        </w:rPr>
        <w:t>odel C covariate estimates for in-hospital mortality, presented as odds ratios with 95% confidence intervals</w:t>
      </w:r>
      <w:r>
        <w:rPr>
          <w:rFonts w:hint="eastAsia" w:ascii="Times New Roman Bold" w:hAnsi="Times New Roman Bold" w:eastAsia="宋体" w:cs="Times New Roman Bold"/>
          <w:b/>
          <w:color w:val="auto"/>
          <w:szCs w:val="21"/>
          <w:lang w:bidi="ar"/>
        </w:rPr>
        <w:t>.</w:t>
      </w:r>
    </w:p>
    <w:tbl>
      <w:tblPr>
        <w:tblStyle w:val="1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5"/>
        <w:gridCol w:w="1705"/>
        <w:gridCol w:w="1706"/>
        <w:gridCol w:w="1706"/>
        <w:gridCol w:w="1706"/>
      </w:tblGrid>
      <w:tr w14:paraId="377588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Borders>
              <w:bottom w:val="single" w:color="auto" w:sz="4" w:space="0"/>
            </w:tcBorders>
          </w:tcPr>
          <w:p w14:paraId="2E20FDA3">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Variable</w:t>
            </w:r>
          </w:p>
        </w:tc>
        <w:tc>
          <w:tcPr>
            <w:tcW w:w="1705" w:type="dxa"/>
            <w:tcBorders>
              <w:bottom w:val="single" w:color="auto" w:sz="4" w:space="0"/>
            </w:tcBorders>
          </w:tcPr>
          <w:p w14:paraId="42AF1408">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MIMIC-IV SOFA-1 model</w:t>
            </w:r>
          </w:p>
        </w:tc>
        <w:tc>
          <w:tcPr>
            <w:tcW w:w="1706" w:type="dxa"/>
            <w:tcBorders>
              <w:bottom w:val="single" w:color="auto" w:sz="4" w:space="0"/>
            </w:tcBorders>
          </w:tcPr>
          <w:p w14:paraId="51A04B20">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MIMIC-IV SOFA-2 model</w:t>
            </w:r>
          </w:p>
        </w:tc>
        <w:tc>
          <w:tcPr>
            <w:tcW w:w="1706" w:type="dxa"/>
            <w:tcBorders>
              <w:bottom w:val="single" w:color="auto" w:sz="4" w:space="0"/>
            </w:tcBorders>
          </w:tcPr>
          <w:p w14:paraId="0D6EEAC3">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eICU-CRD SOFA-1 model</w:t>
            </w:r>
          </w:p>
        </w:tc>
        <w:tc>
          <w:tcPr>
            <w:tcW w:w="1706" w:type="dxa"/>
            <w:tcBorders>
              <w:bottom w:val="single" w:color="auto" w:sz="4" w:space="0"/>
            </w:tcBorders>
          </w:tcPr>
          <w:p w14:paraId="7330F009">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eICU-CRD SOFA-2 model</w:t>
            </w:r>
          </w:p>
        </w:tc>
      </w:tr>
      <w:tr w14:paraId="0ED344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Borders>
              <w:top w:val="single" w:color="auto" w:sz="4" w:space="0"/>
            </w:tcBorders>
          </w:tcPr>
          <w:p w14:paraId="32F3FB08">
            <w:pPr>
              <w:rPr>
                <w:color w:val="auto"/>
                <w:szCs w:val="21"/>
              </w:rPr>
            </w:pPr>
            <w:r>
              <w:rPr>
                <w:rFonts w:ascii="Times New Roman Regular" w:hAnsi="Times New Roman Regular" w:eastAsia="宋体" w:cs="Times New Roman Regular"/>
                <w:bCs/>
                <w:color w:val="auto"/>
                <w:szCs w:val="21"/>
                <w:lang w:bidi="ar"/>
              </w:rPr>
              <w:t>SOFA score variable</w:t>
            </w:r>
          </w:p>
        </w:tc>
        <w:tc>
          <w:tcPr>
            <w:tcW w:w="1705" w:type="dxa"/>
            <w:tcBorders>
              <w:top w:val="single" w:color="auto" w:sz="4" w:space="0"/>
            </w:tcBorders>
          </w:tcPr>
          <w:p w14:paraId="54F23FB7">
            <w:pPr>
              <w:rPr>
                <w:color w:val="auto"/>
                <w:szCs w:val="21"/>
              </w:rPr>
            </w:pPr>
            <w:r>
              <w:rPr>
                <w:rFonts w:ascii="Times New Roman Regular" w:hAnsi="Times New Roman Regular" w:eastAsia="宋体" w:cs="Times New Roman Regular"/>
                <w:bCs/>
                <w:color w:val="auto"/>
                <w:szCs w:val="21"/>
                <w:lang w:bidi="ar"/>
              </w:rPr>
              <w:t>1.22 (1.20-1.24); &lt;0.001</w:t>
            </w:r>
          </w:p>
        </w:tc>
        <w:tc>
          <w:tcPr>
            <w:tcW w:w="1706" w:type="dxa"/>
            <w:tcBorders>
              <w:top w:val="single" w:color="auto" w:sz="4" w:space="0"/>
            </w:tcBorders>
          </w:tcPr>
          <w:p w14:paraId="6C833934">
            <w:pPr>
              <w:rPr>
                <w:color w:val="auto"/>
                <w:szCs w:val="21"/>
              </w:rPr>
            </w:pPr>
            <w:r>
              <w:rPr>
                <w:rFonts w:ascii="Times New Roman Regular" w:hAnsi="Times New Roman Regular" w:eastAsia="宋体" w:cs="Times New Roman Regular"/>
                <w:bCs/>
                <w:color w:val="auto"/>
                <w:szCs w:val="21"/>
                <w:lang w:bidi="ar"/>
              </w:rPr>
              <w:t>1.25 (1.23-1.26); &lt;0.001</w:t>
            </w:r>
          </w:p>
        </w:tc>
        <w:tc>
          <w:tcPr>
            <w:tcW w:w="1706" w:type="dxa"/>
            <w:tcBorders>
              <w:top w:val="single" w:color="auto" w:sz="4" w:space="0"/>
            </w:tcBorders>
          </w:tcPr>
          <w:p w14:paraId="0136650C">
            <w:pPr>
              <w:rPr>
                <w:color w:val="auto"/>
                <w:szCs w:val="21"/>
              </w:rPr>
            </w:pPr>
            <w:r>
              <w:rPr>
                <w:rFonts w:ascii="Times New Roman Regular" w:hAnsi="Times New Roman Regular" w:eastAsia="宋体" w:cs="Times New Roman Regular"/>
                <w:bCs/>
                <w:color w:val="auto"/>
                <w:szCs w:val="21"/>
                <w:lang w:bidi="ar"/>
              </w:rPr>
              <w:t>1.21 (1.20-1.22); &lt;0.001</w:t>
            </w:r>
          </w:p>
        </w:tc>
        <w:tc>
          <w:tcPr>
            <w:tcW w:w="1706" w:type="dxa"/>
            <w:tcBorders>
              <w:top w:val="single" w:color="auto" w:sz="4" w:space="0"/>
            </w:tcBorders>
          </w:tcPr>
          <w:p w14:paraId="1ECF393B">
            <w:pPr>
              <w:rPr>
                <w:color w:val="auto"/>
                <w:szCs w:val="21"/>
              </w:rPr>
            </w:pPr>
            <w:r>
              <w:rPr>
                <w:rFonts w:ascii="Times New Roman Regular" w:hAnsi="Times New Roman Regular" w:eastAsia="宋体" w:cs="Times New Roman Regular"/>
                <w:bCs/>
                <w:color w:val="auto"/>
                <w:szCs w:val="21"/>
                <w:lang w:bidi="ar"/>
              </w:rPr>
              <w:t>1.22 (1.21-1.23); &lt;0.001</w:t>
            </w:r>
          </w:p>
        </w:tc>
      </w:tr>
      <w:tr w14:paraId="0087D6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5A084227">
            <w:pPr>
              <w:rPr>
                <w:color w:val="auto"/>
                <w:szCs w:val="21"/>
              </w:rPr>
            </w:pPr>
            <w:r>
              <w:rPr>
                <w:rFonts w:ascii="Times New Roman Regular" w:hAnsi="Times New Roman Regular" w:eastAsia="宋体" w:cs="Times New Roman Regular"/>
                <w:bCs/>
                <w:color w:val="auto"/>
                <w:szCs w:val="21"/>
                <w:lang w:bidi="ar"/>
              </w:rPr>
              <w:t>Age</w:t>
            </w:r>
          </w:p>
        </w:tc>
        <w:tc>
          <w:tcPr>
            <w:tcW w:w="1705" w:type="dxa"/>
          </w:tcPr>
          <w:p w14:paraId="09DEB2A4">
            <w:pPr>
              <w:rPr>
                <w:color w:val="auto"/>
                <w:szCs w:val="21"/>
              </w:rPr>
            </w:pPr>
            <w:r>
              <w:rPr>
                <w:rFonts w:ascii="Times New Roman Regular" w:hAnsi="Times New Roman Regular" w:eastAsia="宋体" w:cs="Times New Roman Regular"/>
                <w:bCs/>
                <w:color w:val="auto"/>
                <w:szCs w:val="21"/>
                <w:lang w:bidi="ar"/>
              </w:rPr>
              <w:t>1.04 (1.03-1.05); &lt;0.001</w:t>
            </w:r>
          </w:p>
        </w:tc>
        <w:tc>
          <w:tcPr>
            <w:tcW w:w="1706" w:type="dxa"/>
          </w:tcPr>
          <w:p w14:paraId="3F77FEEA">
            <w:pPr>
              <w:rPr>
                <w:color w:val="auto"/>
                <w:szCs w:val="21"/>
              </w:rPr>
            </w:pPr>
            <w:r>
              <w:rPr>
                <w:rFonts w:ascii="Times New Roman Regular" w:hAnsi="Times New Roman Regular" w:eastAsia="宋体" w:cs="Times New Roman Regular"/>
                <w:bCs/>
                <w:color w:val="auto"/>
                <w:szCs w:val="21"/>
                <w:lang w:bidi="ar"/>
              </w:rPr>
              <w:t>1.04 (1.03-1.05); &lt;0.001</w:t>
            </w:r>
          </w:p>
        </w:tc>
        <w:tc>
          <w:tcPr>
            <w:tcW w:w="1706" w:type="dxa"/>
          </w:tcPr>
          <w:p w14:paraId="797B3FD4">
            <w:pPr>
              <w:rPr>
                <w:color w:val="auto"/>
                <w:szCs w:val="21"/>
              </w:rPr>
            </w:pPr>
            <w:r>
              <w:rPr>
                <w:rFonts w:ascii="Times New Roman Regular" w:hAnsi="Times New Roman Regular" w:eastAsia="宋体" w:cs="Times New Roman Regular"/>
                <w:bCs/>
                <w:color w:val="auto"/>
                <w:szCs w:val="21"/>
                <w:lang w:bidi="ar"/>
              </w:rPr>
              <w:t>1.03 (1.03-1.04); &lt;0.001</w:t>
            </w:r>
          </w:p>
        </w:tc>
        <w:tc>
          <w:tcPr>
            <w:tcW w:w="1706" w:type="dxa"/>
          </w:tcPr>
          <w:p w14:paraId="084CACA4">
            <w:pPr>
              <w:rPr>
                <w:color w:val="auto"/>
                <w:szCs w:val="21"/>
              </w:rPr>
            </w:pPr>
            <w:r>
              <w:rPr>
                <w:rFonts w:ascii="Times New Roman Regular" w:hAnsi="Times New Roman Regular" w:eastAsia="宋体" w:cs="Times New Roman Regular"/>
                <w:bCs/>
                <w:color w:val="auto"/>
                <w:szCs w:val="21"/>
                <w:lang w:bidi="ar"/>
              </w:rPr>
              <w:t>1.03 (1.03-1.04); &lt;0.001</w:t>
            </w:r>
          </w:p>
        </w:tc>
      </w:tr>
      <w:tr w14:paraId="061E2C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763E2021">
            <w:pPr>
              <w:rPr>
                <w:color w:val="auto"/>
                <w:szCs w:val="21"/>
              </w:rPr>
            </w:pPr>
            <w:r>
              <w:rPr>
                <w:rFonts w:ascii="Times New Roman Regular" w:hAnsi="Times New Roman Regular" w:eastAsia="宋体" w:cs="Times New Roman Regular"/>
                <w:bCs/>
                <w:color w:val="auto"/>
                <w:szCs w:val="21"/>
                <w:lang w:bidi="ar"/>
              </w:rPr>
              <w:t>Male sex</w:t>
            </w:r>
          </w:p>
        </w:tc>
        <w:tc>
          <w:tcPr>
            <w:tcW w:w="1705" w:type="dxa"/>
          </w:tcPr>
          <w:p w14:paraId="48639470">
            <w:pPr>
              <w:rPr>
                <w:color w:val="auto"/>
                <w:szCs w:val="21"/>
              </w:rPr>
            </w:pPr>
            <w:r>
              <w:rPr>
                <w:rFonts w:ascii="Times New Roman Regular" w:hAnsi="Times New Roman Regular" w:eastAsia="宋体" w:cs="Times New Roman Regular"/>
                <w:bCs/>
                <w:color w:val="auto"/>
                <w:szCs w:val="21"/>
                <w:lang w:bidi="ar"/>
              </w:rPr>
              <w:t>0.79 (0.73-0.86); &lt;0.001</w:t>
            </w:r>
          </w:p>
        </w:tc>
        <w:tc>
          <w:tcPr>
            <w:tcW w:w="1706" w:type="dxa"/>
          </w:tcPr>
          <w:p w14:paraId="2F427B35">
            <w:pPr>
              <w:rPr>
                <w:color w:val="auto"/>
                <w:szCs w:val="21"/>
              </w:rPr>
            </w:pPr>
            <w:r>
              <w:rPr>
                <w:rFonts w:ascii="Times New Roman Regular" w:hAnsi="Times New Roman Regular" w:eastAsia="宋体" w:cs="Times New Roman Regular"/>
                <w:bCs/>
                <w:color w:val="auto"/>
                <w:szCs w:val="21"/>
                <w:lang w:bidi="ar"/>
              </w:rPr>
              <w:t>0.79 (0.73-0.86); &lt;0.001</w:t>
            </w:r>
          </w:p>
        </w:tc>
        <w:tc>
          <w:tcPr>
            <w:tcW w:w="1706" w:type="dxa"/>
          </w:tcPr>
          <w:p w14:paraId="247D7706">
            <w:pPr>
              <w:rPr>
                <w:color w:val="auto"/>
                <w:szCs w:val="21"/>
              </w:rPr>
            </w:pPr>
            <w:r>
              <w:rPr>
                <w:rFonts w:ascii="Times New Roman Regular" w:hAnsi="Times New Roman Regular" w:eastAsia="宋体" w:cs="Times New Roman Regular"/>
                <w:bCs/>
                <w:color w:val="auto"/>
                <w:szCs w:val="21"/>
                <w:lang w:bidi="ar"/>
              </w:rPr>
              <w:t>0.96 (0.90-1.02); 0.150</w:t>
            </w:r>
          </w:p>
        </w:tc>
        <w:tc>
          <w:tcPr>
            <w:tcW w:w="1706" w:type="dxa"/>
          </w:tcPr>
          <w:p w14:paraId="7C4BE1B1">
            <w:pPr>
              <w:rPr>
                <w:color w:val="auto"/>
                <w:szCs w:val="21"/>
              </w:rPr>
            </w:pPr>
            <w:r>
              <w:rPr>
                <w:rFonts w:ascii="Times New Roman Regular" w:hAnsi="Times New Roman Regular" w:eastAsia="宋体" w:cs="Times New Roman Regular"/>
                <w:bCs/>
                <w:color w:val="auto"/>
                <w:szCs w:val="21"/>
                <w:lang w:bidi="ar"/>
              </w:rPr>
              <w:t>0.95 (0.89-1.00); 0.062</w:t>
            </w:r>
          </w:p>
        </w:tc>
      </w:tr>
      <w:tr w14:paraId="336FFF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4E9285C1">
            <w:pPr>
              <w:rPr>
                <w:color w:val="auto"/>
                <w:szCs w:val="21"/>
              </w:rPr>
            </w:pPr>
            <w:r>
              <w:rPr>
                <w:rFonts w:ascii="Times New Roman Regular" w:hAnsi="Times New Roman Regular" w:eastAsia="宋体" w:cs="Times New Roman Regular"/>
                <w:bCs/>
                <w:color w:val="auto"/>
                <w:szCs w:val="21"/>
                <w:lang w:bidi="ar"/>
              </w:rPr>
              <w:t>Documented sepsis</w:t>
            </w:r>
          </w:p>
        </w:tc>
        <w:tc>
          <w:tcPr>
            <w:tcW w:w="1705" w:type="dxa"/>
          </w:tcPr>
          <w:p w14:paraId="66222629">
            <w:pPr>
              <w:rPr>
                <w:color w:val="auto"/>
                <w:szCs w:val="21"/>
              </w:rPr>
            </w:pPr>
            <w:r>
              <w:rPr>
                <w:rFonts w:ascii="Times New Roman Regular" w:hAnsi="Times New Roman Regular" w:eastAsia="宋体" w:cs="Times New Roman Regular"/>
                <w:bCs/>
                <w:color w:val="auto"/>
                <w:szCs w:val="21"/>
                <w:lang w:bidi="ar"/>
              </w:rPr>
              <w:t>2.46 (2.25-2.69); &lt;0.001</w:t>
            </w:r>
          </w:p>
        </w:tc>
        <w:tc>
          <w:tcPr>
            <w:tcW w:w="1706" w:type="dxa"/>
          </w:tcPr>
          <w:p w14:paraId="471EE60F">
            <w:pPr>
              <w:rPr>
                <w:color w:val="auto"/>
                <w:szCs w:val="21"/>
              </w:rPr>
            </w:pPr>
            <w:r>
              <w:rPr>
                <w:rFonts w:ascii="Times New Roman Regular" w:hAnsi="Times New Roman Regular" w:eastAsia="宋体" w:cs="Times New Roman Regular"/>
                <w:bCs/>
                <w:color w:val="auto"/>
                <w:szCs w:val="21"/>
                <w:lang w:bidi="ar"/>
              </w:rPr>
              <w:t>2.50 (2.28-2.73); &lt;0.001</w:t>
            </w:r>
          </w:p>
        </w:tc>
        <w:tc>
          <w:tcPr>
            <w:tcW w:w="1706" w:type="dxa"/>
          </w:tcPr>
          <w:p w14:paraId="076CAE43">
            <w:pPr>
              <w:rPr>
                <w:color w:val="auto"/>
                <w:szCs w:val="21"/>
              </w:rPr>
            </w:pPr>
            <w:r>
              <w:rPr>
                <w:rFonts w:ascii="Times New Roman Regular" w:hAnsi="Times New Roman Regular" w:eastAsia="宋体" w:cs="Times New Roman Regular"/>
                <w:bCs/>
                <w:color w:val="auto"/>
                <w:szCs w:val="21"/>
                <w:lang w:bidi="ar"/>
              </w:rPr>
              <w:t>1.46 (1.36-1.56); &lt;0.001</w:t>
            </w:r>
          </w:p>
        </w:tc>
        <w:tc>
          <w:tcPr>
            <w:tcW w:w="1706" w:type="dxa"/>
          </w:tcPr>
          <w:p w14:paraId="6F65E786">
            <w:pPr>
              <w:rPr>
                <w:color w:val="auto"/>
                <w:szCs w:val="21"/>
              </w:rPr>
            </w:pPr>
            <w:r>
              <w:rPr>
                <w:rFonts w:ascii="Times New Roman Regular" w:hAnsi="Times New Roman Regular" w:eastAsia="宋体" w:cs="Times New Roman Regular"/>
                <w:bCs/>
                <w:color w:val="auto"/>
                <w:szCs w:val="21"/>
                <w:lang w:bidi="ar"/>
              </w:rPr>
              <w:t>1.49 (1.39-1.59); &lt;0.001</w:t>
            </w:r>
          </w:p>
        </w:tc>
      </w:tr>
      <w:tr w14:paraId="4FCC6A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6AB5730D">
            <w:pPr>
              <w:rPr>
                <w:color w:val="auto"/>
                <w:szCs w:val="21"/>
              </w:rPr>
            </w:pPr>
            <w:r>
              <w:rPr>
                <w:rFonts w:ascii="Times New Roman Regular" w:hAnsi="Times New Roman Regular" w:eastAsia="宋体" w:cs="Times New Roman Regular"/>
                <w:bCs/>
                <w:color w:val="auto"/>
                <w:szCs w:val="21"/>
                <w:lang w:bidi="ar"/>
              </w:rPr>
              <w:t>Cardiovascular comorbidity</w:t>
            </w:r>
          </w:p>
        </w:tc>
        <w:tc>
          <w:tcPr>
            <w:tcW w:w="1705" w:type="dxa"/>
          </w:tcPr>
          <w:p w14:paraId="4E0BA52B">
            <w:pPr>
              <w:rPr>
                <w:color w:val="auto"/>
                <w:szCs w:val="21"/>
              </w:rPr>
            </w:pPr>
            <w:r>
              <w:rPr>
                <w:rFonts w:ascii="Times New Roman Regular" w:hAnsi="Times New Roman Regular" w:eastAsia="宋体" w:cs="Times New Roman Regular"/>
                <w:bCs/>
                <w:color w:val="auto"/>
                <w:szCs w:val="21"/>
                <w:lang w:bidi="ar"/>
              </w:rPr>
              <w:t>1.22 (1.12-1.33); &lt;0.001</w:t>
            </w:r>
          </w:p>
        </w:tc>
        <w:tc>
          <w:tcPr>
            <w:tcW w:w="1706" w:type="dxa"/>
          </w:tcPr>
          <w:p w14:paraId="2FCC4E98">
            <w:pPr>
              <w:rPr>
                <w:color w:val="auto"/>
                <w:szCs w:val="21"/>
              </w:rPr>
            </w:pPr>
            <w:r>
              <w:rPr>
                <w:rFonts w:ascii="Times New Roman Regular" w:hAnsi="Times New Roman Regular" w:eastAsia="宋体" w:cs="Times New Roman Regular"/>
                <w:bCs/>
                <w:color w:val="auto"/>
                <w:szCs w:val="21"/>
                <w:lang w:bidi="ar"/>
              </w:rPr>
              <w:t>1.19 (1.10-1.30); &lt;0.001</w:t>
            </w:r>
          </w:p>
        </w:tc>
        <w:tc>
          <w:tcPr>
            <w:tcW w:w="1706" w:type="dxa"/>
          </w:tcPr>
          <w:p w14:paraId="4BEFED3E">
            <w:pPr>
              <w:rPr>
                <w:color w:val="auto"/>
                <w:szCs w:val="21"/>
              </w:rPr>
            </w:pPr>
            <w:r>
              <w:rPr>
                <w:rFonts w:ascii="Times New Roman Regular" w:hAnsi="Times New Roman Regular" w:eastAsia="宋体" w:cs="Times New Roman Regular"/>
                <w:bCs/>
                <w:color w:val="auto"/>
                <w:szCs w:val="21"/>
                <w:lang w:bidi="ar"/>
              </w:rPr>
              <w:t>1.22 (1.15-1.30); &lt;0.001</w:t>
            </w:r>
          </w:p>
        </w:tc>
        <w:tc>
          <w:tcPr>
            <w:tcW w:w="1706" w:type="dxa"/>
          </w:tcPr>
          <w:p w14:paraId="4E6D3D10">
            <w:pPr>
              <w:rPr>
                <w:color w:val="auto"/>
                <w:szCs w:val="21"/>
              </w:rPr>
            </w:pPr>
            <w:r>
              <w:rPr>
                <w:rFonts w:ascii="Times New Roman Regular" w:hAnsi="Times New Roman Regular" w:eastAsia="宋体" w:cs="Times New Roman Regular"/>
                <w:bCs/>
                <w:color w:val="auto"/>
                <w:szCs w:val="21"/>
                <w:lang w:bidi="ar"/>
              </w:rPr>
              <w:t>1.21 (1.14-1.29); &lt;0.001</w:t>
            </w:r>
          </w:p>
        </w:tc>
      </w:tr>
      <w:tr w14:paraId="661735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7030BC54">
            <w:pPr>
              <w:rPr>
                <w:color w:val="auto"/>
                <w:szCs w:val="21"/>
              </w:rPr>
            </w:pPr>
            <w:r>
              <w:rPr>
                <w:rFonts w:ascii="Times New Roman Regular" w:hAnsi="Times New Roman Regular" w:eastAsia="宋体" w:cs="Times New Roman Regular"/>
                <w:bCs/>
                <w:color w:val="auto"/>
                <w:szCs w:val="21"/>
                <w:lang w:bidi="ar"/>
              </w:rPr>
              <w:t>Diabetes</w:t>
            </w:r>
          </w:p>
        </w:tc>
        <w:tc>
          <w:tcPr>
            <w:tcW w:w="1705" w:type="dxa"/>
          </w:tcPr>
          <w:p w14:paraId="18B5D59C">
            <w:pPr>
              <w:rPr>
                <w:color w:val="auto"/>
                <w:szCs w:val="21"/>
              </w:rPr>
            </w:pPr>
            <w:r>
              <w:rPr>
                <w:rFonts w:ascii="Times New Roman Regular" w:hAnsi="Times New Roman Regular" w:eastAsia="宋体" w:cs="Times New Roman Regular"/>
                <w:bCs/>
                <w:color w:val="auto"/>
                <w:szCs w:val="21"/>
                <w:lang w:bidi="ar"/>
              </w:rPr>
              <w:t>0.86 (0.79-0.94); 0.001</w:t>
            </w:r>
          </w:p>
        </w:tc>
        <w:tc>
          <w:tcPr>
            <w:tcW w:w="1706" w:type="dxa"/>
          </w:tcPr>
          <w:p w14:paraId="12D07527">
            <w:pPr>
              <w:rPr>
                <w:color w:val="auto"/>
                <w:szCs w:val="21"/>
              </w:rPr>
            </w:pPr>
            <w:r>
              <w:rPr>
                <w:rFonts w:ascii="Times New Roman Regular" w:hAnsi="Times New Roman Regular" w:eastAsia="宋体" w:cs="Times New Roman Regular"/>
                <w:bCs/>
                <w:color w:val="auto"/>
                <w:szCs w:val="21"/>
                <w:lang w:bidi="ar"/>
              </w:rPr>
              <w:t>0.87 (0.79-0.95); 0.002</w:t>
            </w:r>
          </w:p>
        </w:tc>
        <w:tc>
          <w:tcPr>
            <w:tcW w:w="1706" w:type="dxa"/>
          </w:tcPr>
          <w:p w14:paraId="622B047A">
            <w:pPr>
              <w:rPr>
                <w:color w:val="auto"/>
                <w:szCs w:val="21"/>
              </w:rPr>
            </w:pPr>
            <w:r>
              <w:rPr>
                <w:rFonts w:ascii="Times New Roman Regular" w:hAnsi="Times New Roman Regular" w:eastAsia="宋体" w:cs="Times New Roman Regular"/>
                <w:bCs/>
                <w:color w:val="auto"/>
                <w:szCs w:val="21"/>
                <w:lang w:bidi="ar"/>
              </w:rPr>
              <w:t>0.88 (0.82-0.94); &lt;0.001</w:t>
            </w:r>
          </w:p>
        </w:tc>
        <w:tc>
          <w:tcPr>
            <w:tcW w:w="1706" w:type="dxa"/>
          </w:tcPr>
          <w:p w14:paraId="275795B6">
            <w:pPr>
              <w:rPr>
                <w:color w:val="auto"/>
                <w:szCs w:val="21"/>
              </w:rPr>
            </w:pPr>
            <w:r>
              <w:rPr>
                <w:rFonts w:ascii="Times New Roman Regular" w:hAnsi="Times New Roman Regular" w:eastAsia="宋体" w:cs="Times New Roman Regular"/>
                <w:bCs/>
                <w:color w:val="auto"/>
                <w:szCs w:val="21"/>
                <w:lang w:bidi="ar"/>
              </w:rPr>
              <w:t>0.87 (0.82-0.93); &lt;0.001</w:t>
            </w:r>
          </w:p>
        </w:tc>
      </w:tr>
      <w:tr w14:paraId="7E9818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23663CB9">
            <w:pPr>
              <w:rPr>
                <w:color w:val="auto"/>
                <w:szCs w:val="21"/>
              </w:rPr>
            </w:pPr>
            <w:r>
              <w:rPr>
                <w:rFonts w:ascii="Times New Roman Regular" w:hAnsi="Times New Roman Regular" w:eastAsia="宋体" w:cs="Times New Roman Regular"/>
                <w:bCs/>
                <w:color w:val="auto"/>
                <w:szCs w:val="21"/>
                <w:lang w:bidi="ar"/>
              </w:rPr>
              <w:t>Neurologic comorbidity</w:t>
            </w:r>
          </w:p>
        </w:tc>
        <w:tc>
          <w:tcPr>
            <w:tcW w:w="1705" w:type="dxa"/>
          </w:tcPr>
          <w:p w14:paraId="24345130">
            <w:pPr>
              <w:rPr>
                <w:color w:val="auto"/>
                <w:szCs w:val="21"/>
              </w:rPr>
            </w:pPr>
            <w:r>
              <w:rPr>
                <w:rFonts w:ascii="Times New Roman Regular" w:hAnsi="Times New Roman Regular" w:eastAsia="宋体" w:cs="Times New Roman Regular"/>
                <w:bCs/>
                <w:color w:val="auto"/>
                <w:szCs w:val="21"/>
                <w:lang w:bidi="ar"/>
              </w:rPr>
              <w:t>2.14 (1.95-2.34); &lt;0.001</w:t>
            </w:r>
          </w:p>
        </w:tc>
        <w:tc>
          <w:tcPr>
            <w:tcW w:w="1706" w:type="dxa"/>
          </w:tcPr>
          <w:p w14:paraId="061B58F6">
            <w:pPr>
              <w:rPr>
                <w:color w:val="auto"/>
                <w:szCs w:val="21"/>
              </w:rPr>
            </w:pPr>
            <w:r>
              <w:rPr>
                <w:rFonts w:ascii="Times New Roman Regular" w:hAnsi="Times New Roman Regular" w:eastAsia="宋体" w:cs="Times New Roman Regular"/>
                <w:bCs/>
                <w:color w:val="auto"/>
                <w:szCs w:val="21"/>
                <w:lang w:bidi="ar"/>
              </w:rPr>
              <w:t>2.14 (1.95-2.35); &lt;0.001</w:t>
            </w:r>
          </w:p>
        </w:tc>
        <w:tc>
          <w:tcPr>
            <w:tcW w:w="1706" w:type="dxa"/>
          </w:tcPr>
          <w:p w14:paraId="62308385">
            <w:pPr>
              <w:rPr>
                <w:color w:val="auto"/>
                <w:szCs w:val="21"/>
              </w:rPr>
            </w:pPr>
            <w:r>
              <w:rPr>
                <w:rFonts w:ascii="Times New Roman Regular" w:hAnsi="Times New Roman Regular" w:eastAsia="宋体" w:cs="Times New Roman Regular"/>
                <w:bCs/>
                <w:color w:val="auto"/>
                <w:szCs w:val="21"/>
                <w:lang w:bidi="ar"/>
              </w:rPr>
              <w:t>1.33 (1.25-1.42); &lt;0.001</w:t>
            </w:r>
          </w:p>
        </w:tc>
        <w:tc>
          <w:tcPr>
            <w:tcW w:w="1706" w:type="dxa"/>
          </w:tcPr>
          <w:p w14:paraId="7A328152">
            <w:pPr>
              <w:rPr>
                <w:color w:val="auto"/>
                <w:szCs w:val="21"/>
              </w:rPr>
            </w:pPr>
            <w:r>
              <w:rPr>
                <w:rFonts w:ascii="Times New Roman Regular" w:hAnsi="Times New Roman Regular" w:eastAsia="宋体" w:cs="Times New Roman Regular"/>
                <w:bCs/>
                <w:color w:val="auto"/>
                <w:szCs w:val="21"/>
                <w:lang w:bidi="ar"/>
              </w:rPr>
              <w:t>1.35 (1.26-1.44); &lt;0.001</w:t>
            </w:r>
          </w:p>
        </w:tc>
      </w:tr>
      <w:tr w14:paraId="32C8B5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2BE66993">
            <w:pPr>
              <w:rPr>
                <w:color w:val="auto"/>
                <w:szCs w:val="21"/>
              </w:rPr>
            </w:pPr>
            <w:r>
              <w:rPr>
                <w:rFonts w:ascii="Times New Roman Regular" w:hAnsi="Times New Roman Regular" w:eastAsia="宋体" w:cs="Times New Roman Regular"/>
                <w:bCs/>
                <w:color w:val="auto"/>
                <w:szCs w:val="21"/>
                <w:lang w:bidi="ar"/>
              </w:rPr>
              <w:t>Chronic kidney disease</w:t>
            </w:r>
          </w:p>
        </w:tc>
        <w:tc>
          <w:tcPr>
            <w:tcW w:w="1705" w:type="dxa"/>
          </w:tcPr>
          <w:p w14:paraId="416CF3A9">
            <w:pPr>
              <w:rPr>
                <w:color w:val="auto"/>
                <w:szCs w:val="21"/>
              </w:rPr>
            </w:pPr>
            <w:r>
              <w:rPr>
                <w:rFonts w:ascii="Times New Roman Regular" w:hAnsi="Times New Roman Regular" w:eastAsia="宋体" w:cs="Times New Roman Regular"/>
                <w:bCs/>
                <w:color w:val="auto"/>
                <w:szCs w:val="21"/>
                <w:lang w:bidi="ar"/>
              </w:rPr>
              <w:t>1.06 (0.96-1.16); 0.262</w:t>
            </w:r>
          </w:p>
        </w:tc>
        <w:tc>
          <w:tcPr>
            <w:tcW w:w="1706" w:type="dxa"/>
          </w:tcPr>
          <w:p w14:paraId="0BCC6A46">
            <w:pPr>
              <w:rPr>
                <w:color w:val="auto"/>
                <w:szCs w:val="21"/>
              </w:rPr>
            </w:pPr>
            <w:r>
              <w:rPr>
                <w:rFonts w:ascii="Times New Roman Regular" w:hAnsi="Times New Roman Regular" w:eastAsia="宋体" w:cs="Times New Roman Regular"/>
                <w:bCs/>
                <w:color w:val="auto"/>
                <w:szCs w:val="21"/>
                <w:lang w:bidi="ar"/>
              </w:rPr>
              <w:t>1.07 (0.97-1.17); 0.177</w:t>
            </w:r>
          </w:p>
        </w:tc>
        <w:tc>
          <w:tcPr>
            <w:tcW w:w="1706" w:type="dxa"/>
          </w:tcPr>
          <w:p w14:paraId="3C15A4AB">
            <w:pPr>
              <w:rPr>
                <w:color w:val="auto"/>
                <w:szCs w:val="21"/>
              </w:rPr>
            </w:pPr>
            <w:r>
              <w:rPr>
                <w:rFonts w:ascii="Times New Roman Regular" w:hAnsi="Times New Roman Regular" w:eastAsia="宋体" w:cs="Times New Roman Regular"/>
                <w:bCs/>
                <w:color w:val="auto"/>
                <w:szCs w:val="21"/>
                <w:lang w:bidi="ar"/>
              </w:rPr>
              <w:t>1.08 (1.00-1.15); 0.044</w:t>
            </w:r>
          </w:p>
        </w:tc>
        <w:tc>
          <w:tcPr>
            <w:tcW w:w="1706" w:type="dxa"/>
          </w:tcPr>
          <w:p w14:paraId="255B1887">
            <w:pPr>
              <w:rPr>
                <w:color w:val="auto"/>
                <w:szCs w:val="21"/>
              </w:rPr>
            </w:pPr>
            <w:r>
              <w:rPr>
                <w:rFonts w:ascii="Times New Roman Regular" w:hAnsi="Times New Roman Regular" w:eastAsia="宋体" w:cs="Times New Roman Regular"/>
                <w:bCs/>
                <w:color w:val="auto"/>
                <w:szCs w:val="21"/>
                <w:lang w:bidi="ar"/>
              </w:rPr>
              <w:t>1.06 (0.99-1.14); 0.112</w:t>
            </w:r>
          </w:p>
        </w:tc>
      </w:tr>
      <w:tr w14:paraId="3C597A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58F3739B">
            <w:pPr>
              <w:rPr>
                <w:color w:val="auto"/>
                <w:szCs w:val="21"/>
              </w:rPr>
            </w:pPr>
            <w:r>
              <w:rPr>
                <w:rFonts w:ascii="Times New Roman Regular" w:hAnsi="Times New Roman Regular" w:eastAsia="宋体" w:cs="Times New Roman Regular"/>
                <w:bCs/>
                <w:color w:val="auto"/>
                <w:szCs w:val="21"/>
                <w:lang w:bidi="ar"/>
              </w:rPr>
              <w:t>COPD</w:t>
            </w:r>
          </w:p>
        </w:tc>
        <w:tc>
          <w:tcPr>
            <w:tcW w:w="1705" w:type="dxa"/>
          </w:tcPr>
          <w:p w14:paraId="0EA6DE00">
            <w:pPr>
              <w:rPr>
                <w:color w:val="auto"/>
                <w:szCs w:val="21"/>
              </w:rPr>
            </w:pPr>
            <w:r>
              <w:rPr>
                <w:rFonts w:ascii="Times New Roman Regular" w:hAnsi="Times New Roman Regular" w:eastAsia="宋体" w:cs="Times New Roman Regular"/>
                <w:bCs/>
                <w:color w:val="auto"/>
                <w:szCs w:val="21"/>
                <w:lang w:bidi="ar"/>
              </w:rPr>
              <w:t>1.27 (1.16-1.40); &lt;0.001</w:t>
            </w:r>
          </w:p>
        </w:tc>
        <w:tc>
          <w:tcPr>
            <w:tcW w:w="1706" w:type="dxa"/>
          </w:tcPr>
          <w:p w14:paraId="329F4D90">
            <w:pPr>
              <w:rPr>
                <w:color w:val="auto"/>
                <w:szCs w:val="21"/>
              </w:rPr>
            </w:pPr>
            <w:r>
              <w:rPr>
                <w:rFonts w:ascii="Times New Roman Regular" w:hAnsi="Times New Roman Regular" w:eastAsia="宋体" w:cs="Times New Roman Regular"/>
                <w:bCs/>
                <w:color w:val="auto"/>
                <w:szCs w:val="21"/>
                <w:lang w:bidi="ar"/>
              </w:rPr>
              <w:t>1.27 (1.16-1.40); &lt;0.001</w:t>
            </w:r>
          </w:p>
        </w:tc>
        <w:tc>
          <w:tcPr>
            <w:tcW w:w="1706" w:type="dxa"/>
          </w:tcPr>
          <w:p w14:paraId="246F638F">
            <w:pPr>
              <w:rPr>
                <w:color w:val="auto"/>
                <w:szCs w:val="21"/>
              </w:rPr>
            </w:pPr>
            <w:r>
              <w:rPr>
                <w:rFonts w:ascii="Times New Roman Regular" w:hAnsi="Times New Roman Regular" w:eastAsia="宋体" w:cs="Times New Roman Regular"/>
                <w:bCs/>
                <w:color w:val="auto"/>
                <w:szCs w:val="21"/>
                <w:lang w:bidi="ar"/>
              </w:rPr>
              <w:t>1.25 (1.17-1.33); &lt;0.001</w:t>
            </w:r>
          </w:p>
        </w:tc>
        <w:tc>
          <w:tcPr>
            <w:tcW w:w="1706" w:type="dxa"/>
          </w:tcPr>
          <w:p w14:paraId="604B1B0C">
            <w:pPr>
              <w:rPr>
                <w:color w:val="auto"/>
                <w:szCs w:val="21"/>
              </w:rPr>
            </w:pPr>
            <w:r>
              <w:rPr>
                <w:rFonts w:ascii="Times New Roman Regular" w:hAnsi="Times New Roman Regular" w:eastAsia="宋体" w:cs="Times New Roman Regular"/>
                <w:bCs/>
                <w:color w:val="auto"/>
                <w:szCs w:val="21"/>
                <w:lang w:bidi="ar"/>
              </w:rPr>
              <w:t>1.24 (1.16-1.33); &lt;0.001</w:t>
            </w:r>
          </w:p>
        </w:tc>
      </w:tr>
      <w:tr w14:paraId="5B4775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4FC6ADA1">
            <w:pPr>
              <w:rPr>
                <w:color w:val="auto"/>
                <w:szCs w:val="21"/>
              </w:rPr>
            </w:pPr>
            <w:r>
              <w:rPr>
                <w:rFonts w:ascii="Times New Roman Regular" w:hAnsi="Times New Roman Regular" w:eastAsia="宋体" w:cs="Times New Roman Regular"/>
                <w:bCs/>
                <w:color w:val="auto"/>
                <w:szCs w:val="21"/>
                <w:lang w:bidi="ar"/>
              </w:rPr>
              <w:t>Malignancy</w:t>
            </w:r>
          </w:p>
        </w:tc>
        <w:tc>
          <w:tcPr>
            <w:tcW w:w="1705" w:type="dxa"/>
          </w:tcPr>
          <w:p w14:paraId="13FFD4D4">
            <w:pPr>
              <w:rPr>
                <w:color w:val="auto"/>
                <w:szCs w:val="21"/>
              </w:rPr>
            </w:pPr>
            <w:r>
              <w:rPr>
                <w:rFonts w:ascii="Times New Roman Regular" w:hAnsi="Times New Roman Regular" w:eastAsia="宋体" w:cs="Times New Roman Regular"/>
                <w:bCs/>
                <w:color w:val="auto"/>
                <w:szCs w:val="21"/>
                <w:lang w:bidi="ar"/>
              </w:rPr>
              <w:t>2.07 (1.88-2.28); &lt;0.001</w:t>
            </w:r>
          </w:p>
        </w:tc>
        <w:tc>
          <w:tcPr>
            <w:tcW w:w="1706" w:type="dxa"/>
          </w:tcPr>
          <w:p w14:paraId="58948C9A">
            <w:pPr>
              <w:rPr>
                <w:color w:val="auto"/>
                <w:szCs w:val="21"/>
              </w:rPr>
            </w:pPr>
            <w:r>
              <w:rPr>
                <w:rFonts w:ascii="Times New Roman Regular" w:hAnsi="Times New Roman Regular" w:eastAsia="宋体" w:cs="Times New Roman Regular"/>
                <w:bCs/>
                <w:color w:val="auto"/>
                <w:szCs w:val="21"/>
                <w:lang w:bidi="ar"/>
              </w:rPr>
              <w:t>2.08 (1.88-2.29); &lt;0.001</w:t>
            </w:r>
          </w:p>
        </w:tc>
        <w:tc>
          <w:tcPr>
            <w:tcW w:w="1706" w:type="dxa"/>
          </w:tcPr>
          <w:p w14:paraId="55E2C3A4">
            <w:pPr>
              <w:rPr>
                <w:color w:val="auto"/>
                <w:szCs w:val="21"/>
              </w:rPr>
            </w:pPr>
            <w:r>
              <w:rPr>
                <w:rFonts w:ascii="Times New Roman Regular" w:hAnsi="Times New Roman Regular" w:eastAsia="宋体" w:cs="Times New Roman Regular"/>
                <w:bCs/>
                <w:color w:val="auto"/>
                <w:szCs w:val="21"/>
                <w:lang w:bidi="ar"/>
              </w:rPr>
              <w:t>1.39 (1.30-1.49); &lt;0.001</w:t>
            </w:r>
          </w:p>
        </w:tc>
        <w:tc>
          <w:tcPr>
            <w:tcW w:w="1706" w:type="dxa"/>
          </w:tcPr>
          <w:p w14:paraId="7778404B">
            <w:pPr>
              <w:rPr>
                <w:color w:val="auto"/>
                <w:szCs w:val="21"/>
              </w:rPr>
            </w:pPr>
            <w:r>
              <w:rPr>
                <w:rFonts w:ascii="Times New Roman Regular" w:hAnsi="Times New Roman Regular" w:eastAsia="宋体" w:cs="Times New Roman Regular"/>
                <w:bCs/>
                <w:color w:val="auto"/>
                <w:szCs w:val="21"/>
                <w:lang w:bidi="ar"/>
              </w:rPr>
              <w:t>1.39 (1.30-1.49); &lt;0.001</w:t>
            </w:r>
          </w:p>
        </w:tc>
      </w:tr>
      <w:tr w14:paraId="4472EB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5F7983F9">
            <w:pPr>
              <w:rPr>
                <w:color w:val="auto"/>
                <w:szCs w:val="21"/>
              </w:rPr>
            </w:pPr>
            <w:r>
              <w:rPr>
                <w:rFonts w:ascii="Times New Roman Regular" w:hAnsi="Times New Roman Regular" w:eastAsia="宋体" w:cs="Times New Roman Regular"/>
                <w:bCs/>
                <w:color w:val="auto"/>
                <w:szCs w:val="21"/>
                <w:lang w:bidi="ar"/>
              </w:rPr>
              <w:t>Chronic liver disease</w:t>
            </w:r>
          </w:p>
        </w:tc>
        <w:tc>
          <w:tcPr>
            <w:tcW w:w="1705" w:type="dxa"/>
          </w:tcPr>
          <w:p w14:paraId="53C8CE68">
            <w:pPr>
              <w:rPr>
                <w:color w:val="auto"/>
                <w:szCs w:val="21"/>
              </w:rPr>
            </w:pPr>
            <w:r>
              <w:rPr>
                <w:rFonts w:ascii="Times New Roman Regular" w:hAnsi="Times New Roman Regular" w:eastAsia="宋体" w:cs="Times New Roman Regular"/>
                <w:bCs/>
                <w:color w:val="auto"/>
                <w:szCs w:val="21"/>
                <w:lang w:bidi="ar"/>
              </w:rPr>
              <w:t>1.97 (1.74-2.23); &lt;0.001</w:t>
            </w:r>
          </w:p>
        </w:tc>
        <w:tc>
          <w:tcPr>
            <w:tcW w:w="1706" w:type="dxa"/>
          </w:tcPr>
          <w:p w14:paraId="59A35BA6">
            <w:pPr>
              <w:rPr>
                <w:color w:val="auto"/>
                <w:szCs w:val="21"/>
              </w:rPr>
            </w:pPr>
            <w:r>
              <w:rPr>
                <w:rFonts w:ascii="Times New Roman Regular" w:hAnsi="Times New Roman Regular" w:eastAsia="宋体" w:cs="Times New Roman Regular"/>
                <w:bCs/>
                <w:color w:val="auto"/>
                <w:szCs w:val="21"/>
                <w:lang w:bidi="ar"/>
              </w:rPr>
              <w:t>1.86 (1.64-2.10); &lt;0.001</w:t>
            </w:r>
          </w:p>
        </w:tc>
        <w:tc>
          <w:tcPr>
            <w:tcW w:w="1706" w:type="dxa"/>
          </w:tcPr>
          <w:p w14:paraId="6AFFD069">
            <w:pPr>
              <w:rPr>
                <w:color w:val="auto"/>
                <w:szCs w:val="21"/>
              </w:rPr>
            </w:pPr>
            <w:r>
              <w:rPr>
                <w:rFonts w:ascii="Times New Roman Regular" w:hAnsi="Times New Roman Regular" w:eastAsia="宋体" w:cs="Times New Roman Regular"/>
                <w:bCs/>
                <w:color w:val="auto"/>
                <w:szCs w:val="21"/>
                <w:lang w:bidi="ar"/>
              </w:rPr>
              <w:t>1.58 (1.37-1.82); &lt;0.001</w:t>
            </w:r>
          </w:p>
        </w:tc>
        <w:tc>
          <w:tcPr>
            <w:tcW w:w="1706" w:type="dxa"/>
          </w:tcPr>
          <w:p w14:paraId="72EB3591">
            <w:pPr>
              <w:rPr>
                <w:color w:val="auto"/>
                <w:szCs w:val="21"/>
              </w:rPr>
            </w:pPr>
            <w:r>
              <w:rPr>
                <w:rFonts w:ascii="Times New Roman Regular" w:hAnsi="Times New Roman Regular" w:eastAsia="宋体" w:cs="Times New Roman Regular"/>
                <w:bCs/>
                <w:color w:val="auto"/>
                <w:szCs w:val="21"/>
                <w:lang w:bidi="ar"/>
              </w:rPr>
              <w:t>1.59 (1.38-1.83); &lt;0.001</w:t>
            </w:r>
          </w:p>
        </w:tc>
      </w:tr>
      <w:tr w14:paraId="722A92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07BD54F1">
            <w:pPr>
              <w:rPr>
                <w:color w:val="auto"/>
                <w:szCs w:val="21"/>
              </w:rPr>
            </w:pPr>
            <w:r>
              <w:rPr>
                <w:rFonts w:ascii="Times New Roman Regular" w:hAnsi="Times New Roman Regular" w:eastAsia="宋体" w:cs="Times New Roman Regular"/>
                <w:bCs/>
                <w:color w:val="auto"/>
                <w:szCs w:val="21"/>
                <w:lang w:bidi="ar"/>
              </w:rPr>
              <w:t>White blood cell count</w:t>
            </w:r>
          </w:p>
        </w:tc>
        <w:tc>
          <w:tcPr>
            <w:tcW w:w="1705" w:type="dxa"/>
          </w:tcPr>
          <w:p w14:paraId="05704D76">
            <w:pPr>
              <w:rPr>
                <w:color w:val="auto"/>
                <w:szCs w:val="21"/>
              </w:rPr>
            </w:pPr>
            <w:r>
              <w:rPr>
                <w:rFonts w:ascii="Times New Roman Regular" w:hAnsi="Times New Roman Regular" w:eastAsia="宋体" w:cs="Times New Roman Regular"/>
                <w:bCs/>
                <w:color w:val="auto"/>
                <w:szCs w:val="21"/>
                <w:lang w:bidi="ar"/>
              </w:rPr>
              <w:t>1.003 (1.001-1.006); 0.014</w:t>
            </w:r>
          </w:p>
        </w:tc>
        <w:tc>
          <w:tcPr>
            <w:tcW w:w="1706" w:type="dxa"/>
          </w:tcPr>
          <w:p w14:paraId="40586C47">
            <w:pPr>
              <w:rPr>
                <w:color w:val="auto"/>
                <w:szCs w:val="21"/>
              </w:rPr>
            </w:pPr>
            <w:r>
              <w:rPr>
                <w:rFonts w:ascii="Times New Roman Regular" w:hAnsi="Times New Roman Regular" w:eastAsia="宋体" w:cs="Times New Roman Regular"/>
                <w:bCs/>
                <w:color w:val="auto"/>
                <w:szCs w:val="21"/>
                <w:lang w:bidi="ar"/>
              </w:rPr>
              <w:t>1.003 (1.000-1.006); 0.031</w:t>
            </w:r>
          </w:p>
        </w:tc>
        <w:tc>
          <w:tcPr>
            <w:tcW w:w="1706" w:type="dxa"/>
          </w:tcPr>
          <w:p w14:paraId="1B3EB36A">
            <w:pPr>
              <w:rPr>
                <w:color w:val="auto"/>
                <w:szCs w:val="21"/>
              </w:rPr>
            </w:pPr>
            <w:r>
              <w:rPr>
                <w:rFonts w:ascii="Times New Roman Regular" w:hAnsi="Times New Roman Regular" w:eastAsia="宋体" w:cs="Times New Roman Regular"/>
                <w:bCs/>
                <w:color w:val="auto"/>
                <w:szCs w:val="21"/>
                <w:lang w:bidi="ar"/>
              </w:rPr>
              <w:t>1.018 (1.015-1.021); &lt;0.001</w:t>
            </w:r>
          </w:p>
        </w:tc>
        <w:tc>
          <w:tcPr>
            <w:tcW w:w="1706" w:type="dxa"/>
          </w:tcPr>
          <w:p w14:paraId="4F75B842">
            <w:pPr>
              <w:rPr>
                <w:color w:val="auto"/>
                <w:szCs w:val="21"/>
              </w:rPr>
            </w:pPr>
            <w:r>
              <w:rPr>
                <w:rFonts w:ascii="Times New Roman Regular" w:hAnsi="Times New Roman Regular" w:eastAsia="宋体" w:cs="Times New Roman Regular"/>
                <w:bCs/>
                <w:color w:val="auto"/>
                <w:szCs w:val="21"/>
                <w:lang w:bidi="ar"/>
              </w:rPr>
              <w:t>1.018 (1.015-1.022); &lt;0.001</w:t>
            </w:r>
          </w:p>
        </w:tc>
      </w:tr>
      <w:tr w14:paraId="44F569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66356AEF">
            <w:pPr>
              <w:rPr>
                <w:color w:val="auto"/>
                <w:szCs w:val="21"/>
              </w:rPr>
            </w:pPr>
            <w:r>
              <w:rPr>
                <w:rFonts w:ascii="Times New Roman Regular" w:hAnsi="Times New Roman Regular" w:eastAsia="宋体" w:cs="Times New Roman Regular"/>
                <w:bCs/>
                <w:color w:val="auto"/>
                <w:szCs w:val="21"/>
                <w:lang w:bidi="ar"/>
              </w:rPr>
              <w:t>Hemoglobin</w:t>
            </w:r>
          </w:p>
        </w:tc>
        <w:tc>
          <w:tcPr>
            <w:tcW w:w="1705" w:type="dxa"/>
          </w:tcPr>
          <w:p w14:paraId="2A543668">
            <w:pPr>
              <w:rPr>
                <w:color w:val="auto"/>
                <w:szCs w:val="21"/>
              </w:rPr>
            </w:pPr>
            <w:r>
              <w:rPr>
                <w:rFonts w:ascii="Times New Roman Regular" w:hAnsi="Times New Roman Regular" w:eastAsia="宋体" w:cs="Times New Roman Regular"/>
                <w:bCs/>
                <w:color w:val="auto"/>
                <w:szCs w:val="21"/>
                <w:lang w:bidi="ar"/>
              </w:rPr>
              <w:t>1.07 (1.05-1.09); &lt;0.001</w:t>
            </w:r>
          </w:p>
        </w:tc>
        <w:tc>
          <w:tcPr>
            <w:tcW w:w="1706" w:type="dxa"/>
          </w:tcPr>
          <w:p w14:paraId="7BB7F69D">
            <w:pPr>
              <w:rPr>
                <w:color w:val="auto"/>
                <w:szCs w:val="21"/>
              </w:rPr>
            </w:pPr>
            <w:r>
              <w:rPr>
                <w:rFonts w:ascii="Times New Roman Regular" w:hAnsi="Times New Roman Regular" w:eastAsia="宋体" w:cs="Times New Roman Regular"/>
                <w:bCs/>
                <w:color w:val="auto"/>
                <w:szCs w:val="21"/>
                <w:lang w:bidi="ar"/>
              </w:rPr>
              <w:t>1.08 (1.06-1.10); &lt;0.001</w:t>
            </w:r>
          </w:p>
        </w:tc>
        <w:tc>
          <w:tcPr>
            <w:tcW w:w="1706" w:type="dxa"/>
          </w:tcPr>
          <w:p w14:paraId="5B7CE623">
            <w:pPr>
              <w:rPr>
                <w:color w:val="auto"/>
                <w:szCs w:val="21"/>
              </w:rPr>
            </w:pPr>
            <w:r>
              <w:rPr>
                <w:rFonts w:ascii="Times New Roman Regular" w:hAnsi="Times New Roman Regular" w:eastAsia="宋体" w:cs="Times New Roman Regular"/>
                <w:bCs/>
                <w:color w:val="auto"/>
                <w:szCs w:val="21"/>
                <w:lang w:bidi="ar"/>
              </w:rPr>
              <w:t>1.01 (1.00-1.03); 0.047</w:t>
            </w:r>
          </w:p>
        </w:tc>
        <w:tc>
          <w:tcPr>
            <w:tcW w:w="1706" w:type="dxa"/>
          </w:tcPr>
          <w:p w14:paraId="6195A55A">
            <w:pPr>
              <w:rPr>
                <w:color w:val="auto"/>
                <w:szCs w:val="21"/>
              </w:rPr>
            </w:pPr>
            <w:r>
              <w:rPr>
                <w:rFonts w:ascii="Times New Roman Regular" w:hAnsi="Times New Roman Regular" w:eastAsia="宋体" w:cs="Times New Roman Regular"/>
                <w:bCs/>
                <w:color w:val="auto"/>
                <w:szCs w:val="21"/>
                <w:lang w:bidi="ar"/>
              </w:rPr>
              <w:t>1.02 (1.01-1.03); 0.005</w:t>
            </w:r>
          </w:p>
        </w:tc>
      </w:tr>
      <w:tr w14:paraId="5DA1E8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15D68A1E">
            <w:pPr>
              <w:rPr>
                <w:color w:val="auto"/>
                <w:szCs w:val="21"/>
              </w:rPr>
            </w:pPr>
            <w:r>
              <w:rPr>
                <w:rFonts w:ascii="Times New Roman Regular" w:hAnsi="Times New Roman Regular" w:eastAsia="宋体" w:cs="Times New Roman Regular"/>
                <w:bCs/>
                <w:color w:val="auto"/>
                <w:szCs w:val="21"/>
                <w:lang w:bidi="ar"/>
              </w:rPr>
              <w:t>Glucose</w:t>
            </w:r>
          </w:p>
        </w:tc>
        <w:tc>
          <w:tcPr>
            <w:tcW w:w="1705" w:type="dxa"/>
          </w:tcPr>
          <w:p w14:paraId="627D6921">
            <w:pPr>
              <w:rPr>
                <w:color w:val="auto"/>
                <w:szCs w:val="21"/>
              </w:rPr>
            </w:pPr>
            <w:r>
              <w:rPr>
                <w:rFonts w:ascii="Times New Roman Regular" w:hAnsi="Times New Roman Regular" w:eastAsia="宋体" w:cs="Times New Roman Regular"/>
                <w:bCs/>
                <w:color w:val="auto"/>
                <w:szCs w:val="21"/>
                <w:lang w:bidi="ar"/>
              </w:rPr>
              <w:t>1.001 (1.001-1.001); &lt;0.001</w:t>
            </w:r>
          </w:p>
        </w:tc>
        <w:tc>
          <w:tcPr>
            <w:tcW w:w="1706" w:type="dxa"/>
          </w:tcPr>
          <w:p w14:paraId="0036F4BA">
            <w:pPr>
              <w:rPr>
                <w:color w:val="auto"/>
                <w:szCs w:val="21"/>
              </w:rPr>
            </w:pPr>
            <w:r>
              <w:rPr>
                <w:rFonts w:ascii="Times New Roman Regular" w:hAnsi="Times New Roman Regular" w:eastAsia="宋体" w:cs="Times New Roman Regular"/>
                <w:bCs/>
                <w:color w:val="auto"/>
                <w:szCs w:val="21"/>
                <w:lang w:bidi="ar"/>
              </w:rPr>
              <w:t>1.001 (1.001-1.001); &lt;0.001</w:t>
            </w:r>
          </w:p>
        </w:tc>
        <w:tc>
          <w:tcPr>
            <w:tcW w:w="1706" w:type="dxa"/>
          </w:tcPr>
          <w:p w14:paraId="57573FF6">
            <w:pPr>
              <w:rPr>
                <w:color w:val="auto"/>
                <w:szCs w:val="21"/>
              </w:rPr>
            </w:pPr>
            <w:r>
              <w:rPr>
                <w:rFonts w:ascii="Times New Roman Regular" w:hAnsi="Times New Roman Regular" w:eastAsia="宋体" w:cs="Times New Roman Regular"/>
                <w:bCs/>
                <w:color w:val="auto"/>
                <w:szCs w:val="21"/>
                <w:lang w:bidi="ar"/>
              </w:rPr>
              <w:t>1.001 (1.001-1.001); &lt;0.001</w:t>
            </w:r>
          </w:p>
        </w:tc>
        <w:tc>
          <w:tcPr>
            <w:tcW w:w="1706" w:type="dxa"/>
          </w:tcPr>
          <w:p w14:paraId="493DA9A5">
            <w:pPr>
              <w:rPr>
                <w:color w:val="auto"/>
                <w:szCs w:val="21"/>
              </w:rPr>
            </w:pPr>
            <w:r>
              <w:rPr>
                <w:rFonts w:ascii="Times New Roman Regular" w:hAnsi="Times New Roman Regular" w:eastAsia="宋体" w:cs="Times New Roman Regular"/>
                <w:bCs/>
                <w:color w:val="auto"/>
                <w:szCs w:val="21"/>
                <w:lang w:bidi="ar"/>
              </w:rPr>
              <w:t>1.001 (1.001-1.001); &lt;0.001</w:t>
            </w:r>
          </w:p>
        </w:tc>
      </w:tr>
      <w:tr w14:paraId="2C4172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705" w:type="dxa"/>
          </w:tcPr>
          <w:p w14:paraId="2767DE23">
            <w:pPr>
              <w:rPr>
                <w:color w:val="auto"/>
                <w:szCs w:val="21"/>
              </w:rPr>
            </w:pPr>
            <w:r>
              <w:rPr>
                <w:rFonts w:ascii="Times New Roman Regular" w:hAnsi="Times New Roman Regular" w:eastAsia="宋体" w:cs="Times New Roman Regular"/>
                <w:bCs/>
                <w:color w:val="auto"/>
                <w:szCs w:val="21"/>
                <w:lang w:bidi="ar"/>
              </w:rPr>
              <w:t>Heart rate</w:t>
            </w:r>
          </w:p>
        </w:tc>
        <w:tc>
          <w:tcPr>
            <w:tcW w:w="1705" w:type="dxa"/>
          </w:tcPr>
          <w:p w14:paraId="56C19B69">
            <w:pPr>
              <w:rPr>
                <w:color w:val="auto"/>
                <w:szCs w:val="21"/>
              </w:rPr>
            </w:pPr>
            <w:r>
              <w:rPr>
                <w:rFonts w:ascii="Times New Roman Regular" w:hAnsi="Times New Roman Regular" w:eastAsia="宋体" w:cs="Times New Roman Regular"/>
                <w:bCs/>
                <w:color w:val="auto"/>
                <w:szCs w:val="21"/>
                <w:lang w:bidi="ar"/>
              </w:rPr>
              <w:t>1.007 (1.005-1.009); &lt;0.001</w:t>
            </w:r>
          </w:p>
        </w:tc>
        <w:tc>
          <w:tcPr>
            <w:tcW w:w="1706" w:type="dxa"/>
          </w:tcPr>
          <w:p w14:paraId="5C73FBE9">
            <w:pPr>
              <w:rPr>
                <w:color w:val="auto"/>
                <w:szCs w:val="21"/>
              </w:rPr>
            </w:pPr>
            <w:r>
              <w:rPr>
                <w:rFonts w:ascii="Times New Roman Regular" w:hAnsi="Times New Roman Regular" w:eastAsia="宋体" w:cs="Times New Roman Regular"/>
                <w:bCs/>
                <w:color w:val="auto"/>
                <w:szCs w:val="21"/>
                <w:lang w:bidi="ar"/>
              </w:rPr>
              <w:t>1.006 (1.004-1.008); &lt;0.001</w:t>
            </w:r>
          </w:p>
        </w:tc>
        <w:tc>
          <w:tcPr>
            <w:tcW w:w="1706" w:type="dxa"/>
          </w:tcPr>
          <w:p w14:paraId="689401A5">
            <w:pPr>
              <w:rPr>
                <w:color w:val="auto"/>
                <w:szCs w:val="21"/>
              </w:rPr>
            </w:pPr>
            <w:r>
              <w:rPr>
                <w:rFonts w:ascii="Times New Roman Regular" w:hAnsi="Times New Roman Regular" w:eastAsia="宋体" w:cs="Times New Roman Regular"/>
                <w:bCs/>
                <w:color w:val="auto"/>
                <w:szCs w:val="21"/>
                <w:lang w:bidi="ar"/>
              </w:rPr>
              <w:t>1.013 (1.012-1.015); &lt;0.001</w:t>
            </w:r>
          </w:p>
        </w:tc>
        <w:tc>
          <w:tcPr>
            <w:tcW w:w="1706" w:type="dxa"/>
          </w:tcPr>
          <w:p w14:paraId="110FF548">
            <w:pPr>
              <w:rPr>
                <w:color w:val="auto"/>
                <w:szCs w:val="21"/>
              </w:rPr>
            </w:pPr>
            <w:r>
              <w:rPr>
                <w:rFonts w:ascii="Times New Roman Regular" w:hAnsi="Times New Roman Regular" w:eastAsia="宋体" w:cs="Times New Roman Regular"/>
                <w:bCs/>
                <w:color w:val="auto"/>
                <w:szCs w:val="21"/>
                <w:lang w:bidi="ar"/>
              </w:rPr>
              <w:t>1.013 (1.012-1.014); &lt;0.001</w:t>
            </w:r>
          </w:p>
        </w:tc>
      </w:tr>
    </w:tbl>
    <w:p w14:paraId="65D51358">
      <w:pPr>
        <w:rPr>
          <w:rFonts w:ascii="Times New Roman Regular" w:hAnsi="Times New Roman Regular" w:eastAsia="宋体" w:cs="Times New Roman Regular"/>
          <w:bCs/>
          <w:color w:val="auto"/>
          <w:sz w:val="18"/>
          <w:szCs w:val="18"/>
          <w:lang w:bidi="ar"/>
        </w:rPr>
      </w:pPr>
      <w:r>
        <w:rPr>
          <w:rFonts w:ascii="Times New Roman Bold" w:hAnsi="Times New Roman Bold" w:eastAsia="宋体" w:cs="Times New Roman Bold"/>
          <w:b/>
          <w:color w:val="auto"/>
          <w:sz w:val="18"/>
          <w:szCs w:val="18"/>
          <w:lang w:bidi="ar"/>
        </w:rPr>
        <w:t xml:space="preserve">Abbreviations: </w:t>
      </w:r>
      <w:r>
        <w:rPr>
          <w:rFonts w:ascii="Times New Roman Regular" w:hAnsi="Times New Roman Regular" w:eastAsia="宋体" w:cs="Times New Roman Regular"/>
          <w:bCs/>
          <w:color w:val="auto"/>
          <w:sz w:val="18"/>
          <w:szCs w:val="18"/>
          <w:lang w:bidi="ar"/>
        </w:rPr>
        <w:t>SOFA, Sequential Organ Failure Assessment; OR, odds ratio; CI, confidence interval; COPD, chronic obstructive pulmonary disease.</w:t>
      </w:r>
    </w:p>
    <w:p w14:paraId="42EAD41E">
      <w:pPr>
        <w:rPr>
          <w:rFonts w:ascii="Times New Roman" w:hAnsi="Times New Roman" w:eastAsia="宋体" w:cs="Times New Roman"/>
          <w:bCs/>
          <w:color w:val="auto"/>
          <w:szCs w:val="21"/>
          <w:lang w:bidi="ar"/>
        </w:rPr>
        <w:sectPr>
          <w:pgSz w:w="11906" w:h="16838"/>
          <w:pgMar w:top="1440" w:right="1797" w:bottom="1440" w:left="1797" w:header="851" w:footer="992" w:gutter="0"/>
          <w:cols w:space="425" w:num="1"/>
          <w:docGrid w:type="lines" w:linePitch="312" w:charSpace="0"/>
        </w:sectPr>
      </w:pPr>
      <w:r>
        <w:rPr>
          <w:rFonts w:ascii="Times New Roman Bold" w:hAnsi="Times New Roman Bold" w:eastAsia="宋体" w:cs="Times New Roman Bold"/>
          <w:b/>
          <w:color w:val="auto"/>
          <w:sz w:val="18"/>
          <w:szCs w:val="18"/>
          <w:lang w:bidi="ar"/>
        </w:rPr>
        <w:t xml:space="preserve">Notes: </w:t>
      </w:r>
      <w:r>
        <w:rPr>
          <w:rFonts w:ascii="Times New Roman Regular" w:hAnsi="Times New Roman Regular" w:eastAsia="宋体" w:cs="Times New Roman Regular"/>
          <w:bCs/>
          <w:color w:val="auto"/>
          <w:sz w:val="18"/>
          <w:szCs w:val="18"/>
          <w:lang w:bidi="ar"/>
        </w:rPr>
        <w:t>Values are presented as OR (95% CI); P-value. This simplified table presents Model C covariate estimates for the total SOFA score models. Model C included the corresponding total SOFA score, age, sex, documented sepsis, baseline comorbidities, white blood cell count, hemoglobin, blood glucose, and heart rate. ORs for SOFA scores represent the change in odds of in-hospital mortality per 1-point increase in the corresponding total SOFA score.</w:t>
      </w:r>
      <w:r>
        <w:rPr>
          <w:color w:val="auto"/>
        </w:rPr>
        <w:t xml:space="preserve">  </w:t>
      </w:r>
      <w:r>
        <w:rPr>
          <w:rFonts w:ascii="Times New Roman Regular" w:hAnsi="Times New Roman Regular" w:eastAsia="宋体" w:cs="Times New Roman Regular"/>
          <w:bCs/>
          <w:color w:val="auto"/>
          <w:sz w:val="18"/>
          <w:szCs w:val="18"/>
          <w:lang w:bidi="ar"/>
        </w:rPr>
        <w:t>Odds ratios for continuous variables were calculated per 1-unit increase in the original measurement unit: age per 1-year, total SOFA score per 1-point, white blood cell count per 1 × 10⁹/L, hemoglobin per 1 g/dL, blood glucose per 1 mg/dL, and heart rate per 1 beat/min.</w:t>
      </w:r>
    </w:p>
    <w:p w14:paraId="45D86C8C">
      <w:pPr>
        <w:rPr>
          <w:rFonts w:ascii="Times New Roman" w:hAnsi="Times New Roman" w:eastAsia="宋体" w:cs="Times New Roman"/>
          <w:bCs/>
          <w:color w:val="auto"/>
          <w:szCs w:val="21"/>
          <w:lang w:bidi="ar"/>
        </w:rPr>
      </w:pPr>
    </w:p>
    <w:p w14:paraId="1AC9150C">
      <w:pPr>
        <w:rPr>
          <w:rFonts w:ascii="Times New Roman" w:hAnsi="Times New Roman" w:eastAsia="宋体" w:cs="Times New Roman"/>
          <w:bCs/>
          <w:color w:val="auto"/>
          <w:szCs w:val="21"/>
          <w:lang w:bidi="ar"/>
        </w:rPr>
      </w:pPr>
      <w:r>
        <w:rPr>
          <w:rFonts w:ascii="Times New Roman Bold" w:hAnsi="Times New Roman Bold" w:eastAsia="宋体" w:cs="Times New Roman Bold"/>
          <w:b/>
          <w:color w:val="auto"/>
          <w:szCs w:val="21"/>
          <w:lang w:bidi="ar"/>
        </w:rPr>
        <w:t>eTable 8. Variance inflation factors for variables included in Model C for in-hospital mortality</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88"/>
        <w:gridCol w:w="1391"/>
        <w:gridCol w:w="1392"/>
        <w:gridCol w:w="1390"/>
        <w:gridCol w:w="1391"/>
        <w:gridCol w:w="1476"/>
      </w:tblGrid>
      <w:tr w14:paraId="1EA2F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Borders>
              <w:top w:val="single" w:color="auto" w:sz="4" w:space="0"/>
              <w:bottom w:val="single" w:color="auto" w:sz="4" w:space="0"/>
            </w:tcBorders>
          </w:tcPr>
          <w:p w14:paraId="2F392D33">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Variable</w:t>
            </w:r>
          </w:p>
        </w:tc>
        <w:tc>
          <w:tcPr>
            <w:tcW w:w="1421" w:type="dxa"/>
            <w:tcBorders>
              <w:top w:val="single" w:color="auto" w:sz="4" w:space="0"/>
              <w:bottom w:val="single" w:color="auto" w:sz="4" w:space="0"/>
            </w:tcBorders>
          </w:tcPr>
          <w:p w14:paraId="3F87CE13">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MIMIC-IV SOFA-1 total model</w:t>
            </w:r>
          </w:p>
        </w:tc>
        <w:tc>
          <w:tcPr>
            <w:tcW w:w="1421" w:type="dxa"/>
            <w:tcBorders>
              <w:top w:val="single" w:color="auto" w:sz="4" w:space="0"/>
              <w:bottom w:val="single" w:color="auto" w:sz="4" w:space="0"/>
            </w:tcBorders>
          </w:tcPr>
          <w:p w14:paraId="57F992DB">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MIMIC-IV SOFA-2 total model</w:t>
            </w:r>
          </w:p>
        </w:tc>
        <w:tc>
          <w:tcPr>
            <w:tcW w:w="1421" w:type="dxa"/>
            <w:tcBorders>
              <w:top w:val="single" w:color="auto" w:sz="4" w:space="0"/>
              <w:bottom w:val="single" w:color="auto" w:sz="4" w:space="0"/>
            </w:tcBorders>
          </w:tcPr>
          <w:p w14:paraId="1C83C13D">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eICU-CRD SOFA-1 total model</w:t>
            </w:r>
          </w:p>
        </w:tc>
        <w:tc>
          <w:tcPr>
            <w:tcW w:w="1422" w:type="dxa"/>
            <w:tcBorders>
              <w:top w:val="single" w:color="auto" w:sz="4" w:space="0"/>
              <w:bottom w:val="single" w:color="auto" w:sz="4" w:space="0"/>
            </w:tcBorders>
          </w:tcPr>
          <w:p w14:paraId="0599074C">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eICU-CRD SOFA-2 total model</w:t>
            </w:r>
          </w:p>
        </w:tc>
        <w:tc>
          <w:tcPr>
            <w:tcW w:w="1422" w:type="dxa"/>
            <w:tcBorders>
              <w:top w:val="single" w:color="auto" w:sz="4" w:space="0"/>
              <w:bottom w:val="single" w:color="auto" w:sz="4" w:space="0"/>
            </w:tcBorders>
          </w:tcPr>
          <w:p w14:paraId="5AB9A2AF">
            <w:pPr>
              <w:rPr>
                <w:rFonts w:ascii="Times New Roman Bold" w:hAnsi="Times New Roman Bold" w:cs="Times New Roman Bold"/>
                <w:b/>
                <w:color w:val="auto"/>
                <w:szCs w:val="21"/>
              </w:rPr>
            </w:pPr>
            <w:r>
              <w:rPr>
                <w:rFonts w:ascii="Times New Roman Bold" w:hAnsi="Times New Roman Bold" w:eastAsia="宋体" w:cs="Times New Roman Bold"/>
                <w:b/>
                <w:color w:val="auto"/>
                <w:szCs w:val="21"/>
                <w:lang w:bidi="ar"/>
              </w:rPr>
              <w:t>Maximum VIF across total and organ-specific Model C models</w:t>
            </w:r>
          </w:p>
        </w:tc>
      </w:tr>
      <w:tr w14:paraId="40A64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Borders>
              <w:top w:val="single" w:color="auto" w:sz="4" w:space="0"/>
            </w:tcBorders>
          </w:tcPr>
          <w:p w14:paraId="6CDC5D45">
            <w:pPr>
              <w:rPr>
                <w:color w:val="auto"/>
                <w:szCs w:val="21"/>
              </w:rPr>
            </w:pPr>
            <w:r>
              <w:rPr>
                <w:rFonts w:hint="eastAsia" w:ascii="Times New Roman" w:hAnsi="Times New Roman" w:eastAsia="宋体" w:cs="Times New Roman"/>
                <w:bCs/>
                <w:color w:val="auto"/>
                <w:szCs w:val="21"/>
                <w:lang w:bidi="ar"/>
              </w:rPr>
              <w:t>SOFA score variable</w:t>
            </w:r>
          </w:p>
        </w:tc>
        <w:tc>
          <w:tcPr>
            <w:tcW w:w="1421" w:type="dxa"/>
            <w:tcBorders>
              <w:top w:val="single" w:color="auto" w:sz="4" w:space="0"/>
            </w:tcBorders>
          </w:tcPr>
          <w:p w14:paraId="5CF317A7">
            <w:pPr>
              <w:rPr>
                <w:color w:val="auto"/>
                <w:szCs w:val="21"/>
              </w:rPr>
            </w:pPr>
            <w:r>
              <w:rPr>
                <w:rFonts w:hint="eastAsia" w:ascii="Times New Roman" w:hAnsi="Times New Roman" w:eastAsia="宋体" w:cs="Times New Roman"/>
                <w:bCs/>
                <w:color w:val="auto"/>
                <w:szCs w:val="21"/>
                <w:lang w:bidi="ar"/>
              </w:rPr>
              <w:t>1.36</w:t>
            </w:r>
          </w:p>
        </w:tc>
        <w:tc>
          <w:tcPr>
            <w:tcW w:w="1421" w:type="dxa"/>
            <w:tcBorders>
              <w:top w:val="single" w:color="auto" w:sz="4" w:space="0"/>
            </w:tcBorders>
          </w:tcPr>
          <w:p w14:paraId="74DF379C">
            <w:pPr>
              <w:rPr>
                <w:color w:val="auto"/>
                <w:szCs w:val="21"/>
              </w:rPr>
            </w:pPr>
            <w:r>
              <w:rPr>
                <w:rFonts w:hint="eastAsia" w:ascii="Times New Roman" w:hAnsi="Times New Roman" w:eastAsia="宋体" w:cs="Times New Roman"/>
                <w:bCs/>
                <w:color w:val="auto"/>
                <w:szCs w:val="21"/>
                <w:lang w:bidi="ar"/>
              </w:rPr>
              <w:t>1.33</w:t>
            </w:r>
          </w:p>
        </w:tc>
        <w:tc>
          <w:tcPr>
            <w:tcW w:w="1421" w:type="dxa"/>
            <w:tcBorders>
              <w:top w:val="single" w:color="auto" w:sz="4" w:space="0"/>
            </w:tcBorders>
          </w:tcPr>
          <w:p w14:paraId="326542A0">
            <w:pPr>
              <w:rPr>
                <w:color w:val="auto"/>
                <w:szCs w:val="21"/>
              </w:rPr>
            </w:pPr>
            <w:r>
              <w:rPr>
                <w:rFonts w:hint="eastAsia" w:ascii="Times New Roman" w:hAnsi="Times New Roman" w:eastAsia="宋体" w:cs="Times New Roman"/>
                <w:bCs/>
                <w:color w:val="auto"/>
                <w:szCs w:val="21"/>
                <w:lang w:bidi="ar"/>
              </w:rPr>
              <w:t>1.19</w:t>
            </w:r>
          </w:p>
        </w:tc>
        <w:tc>
          <w:tcPr>
            <w:tcW w:w="1422" w:type="dxa"/>
            <w:tcBorders>
              <w:top w:val="single" w:color="auto" w:sz="4" w:space="0"/>
            </w:tcBorders>
          </w:tcPr>
          <w:p w14:paraId="71B9BDC7">
            <w:pPr>
              <w:rPr>
                <w:color w:val="auto"/>
                <w:szCs w:val="21"/>
              </w:rPr>
            </w:pPr>
            <w:r>
              <w:rPr>
                <w:rFonts w:hint="eastAsia" w:ascii="Times New Roman" w:hAnsi="Times New Roman" w:eastAsia="宋体" w:cs="Times New Roman"/>
                <w:bCs/>
                <w:color w:val="auto"/>
                <w:szCs w:val="21"/>
                <w:lang w:bidi="ar"/>
              </w:rPr>
              <w:t>1.20</w:t>
            </w:r>
          </w:p>
        </w:tc>
        <w:tc>
          <w:tcPr>
            <w:tcW w:w="1422" w:type="dxa"/>
            <w:tcBorders>
              <w:top w:val="single" w:color="auto" w:sz="4" w:space="0"/>
            </w:tcBorders>
          </w:tcPr>
          <w:p w14:paraId="7DB26A55">
            <w:pPr>
              <w:rPr>
                <w:color w:val="auto"/>
                <w:szCs w:val="21"/>
              </w:rPr>
            </w:pPr>
            <w:r>
              <w:rPr>
                <w:rFonts w:hint="eastAsia" w:ascii="Times New Roman" w:hAnsi="Times New Roman" w:eastAsia="宋体" w:cs="Times New Roman"/>
                <w:bCs/>
                <w:color w:val="auto"/>
                <w:szCs w:val="21"/>
                <w:lang w:bidi="ar"/>
              </w:rPr>
              <w:t>1.53</w:t>
            </w:r>
          </w:p>
        </w:tc>
      </w:tr>
      <w:tr w14:paraId="29BF2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45EE4D71">
            <w:pPr>
              <w:rPr>
                <w:color w:val="auto"/>
                <w:szCs w:val="21"/>
              </w:rPr>
            </w:pPr>
            <w:r>
              <w:rPr>
                <w:rFonts w:hint="eastAsia" w:ascii="Times New Roman" w:hAnsi="Times New Roman" w:eastAsia="宋体" w:cs="Times New Roman"/>
                <w:bCs/>
                <w:color w:val="auto"/>
                <w:szCs w:val="21"/>
                <w:lang w:bidi="ar"/>
              </w:rPr>
              <w:t>Age</w:t>
            </w:r>
          </w:p>
        </w:tc>
        <w:tc>
          <w:tcPr>
            <w:tcW w:w="1421" w:type="dxa"/>
          </w:tcPr>
          <w:p w14:paraId="621DD24C">
            <w:pPr>
              <w:rPr>
                <w:color w:val="auto"/>
                <w:szCs w:val="21"/>
              </w:rPr>
            </w:pPr>
            <w:r>
              <w:rPr>
                <w:rFonts w:hint="eastAsia" w:ascii="Times New Roman" w:hAnsi="Times New Roman" w:eastAsia="宋体" w:cs="Times New Roman"/>
                <w:bCs/>
                <w:color w:val="auto"/>
                <w:szCs w:val="21"/>
                <w:lang w:bidi="ar"/>
              </w:rPr>
              <w:t>1.07</w:t>
            </w:r>
          </w:p>
        </w:tc>
        <w:tc>
          <w:tcPr>
            <w:tcW w:w="1421" w:type="dxa"/>
          </w:tcPr>
          <w:p w14:paraId="2D199D2E">
            <w:pPr>
              <w:rPr>
                <w:color w:val="auto"/>
                <w:szCs w:val="21"/>
              </w:rPr>
            </w:pPr>
            <w:r>
              <w:rPr>
                <w:rFonts w:hint="eastAsia" w:ascii="Times New Roman" w:hAnsi="Times New Roman" w:eastAsia="宋体" w:cs="Times New Roman"/>
                <w:bCs/>
                <w:color w:val="auto"/>
                <w:szCs w:val="21"/>
                <w:lang w:bidi="ar"/>
              </w:rPr>
              <w:t>1.07</w:t>
            </w:r>
          </w:p>
        </w:tc>
        <w:tc>
          <w:tcPr>
            <w:tcW w:w="1421" w:type="dxa"/>
          </w:tcPr>
          <w:p w14:paraId="4AAFB2F2">
            <w:pPr>
              <w:rPr>
                <w:color w:val="auto"/>
                <w:szCs w:val="21"/>
              </w:rPr>
            </w:pPr>
            <w:r>
              <w:rPr>
                <w:rFonts w:hint="eastAsia" w:ascii="Times New Roman" w:hAnsi="Times New Roman" w:eastAsia="宋体" w:cs="Times New Roman"/>
                <w:bCs/>
                <w:color w:val="auto"/>
                <w:szCs w:val="21"/>
                <w:lang w:bidi="ar"/>
              </w:rPr>
              <w:t>1.04</w:t>
            </w:r>
          </w:p>
        </w:tc>
        <w:tc>
          <w:tcPr>
            <w:tcW w:w="1422" w:type="dxa"/>
          </w:tcPr>
          <w:p w14:paraId="5170C175">
            <w:pPr>
              <w:rPr>
                <w:color w:val="auto"/>
                <w:szCs w:val="21"/>
              </w:rPr>
            </w:pPr>
            <w:r>
              <w:rPr>
                <w:rFonts w:hint="eastAsia" w:ascii="Times New Roman" w:hAnsi="Times New Roman" w:eastAsia="宋体" w:cs="Times New Roman"/>
                <w:bCs/>
                <w:color w:val="auto"/>
                <w:szCs w:val="21"/>
                <w:lang w:bidi="ar"/>
              </w:rPr>
              <w:t>1.04</w:t>
            </w:r>
          </w:p>
        </w:tc>
        <w:tc>
          <w:tcPr>
            <w:tcW w:w="1422" w:type="dxa"/>
          </w:tcPr>
          <w:p w14:paraId="6DBA93A5">
            <w:pPr>
              <w:rPr>
                <w:color w:val="auto"/>
                <w:szCs w:val="21"/>
              </w:rPr>
            </w:pPr>
            <w:r>
              <w:rPr>
                <w:rFonts w:hint="eastAsia" w:ascii="Times New Roman" w:hAnsi="Times New Roman" w:eastAsia="宋体" w:cs="Times New Roman"/>
                <w:bCs/>
                <w:color w:val="auto"/>
                <w:szCs w:val="21"/>
                <w:lang w:bidi="ar"/>
              </w:rPr>
              <w:t>1.08</w:t>
            </w:r>
          </w:p>
        </w:tc>
      </w:tr>
      <w:tr w14:paraId="7ECDF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2478996A">
            <w:pPr>
              <w:rPr>
                <w:color w:val="auto"/>
                <w:szCs w:val="21"/>
              </w:rPr>
            </w:pPr>
            <w:r>
              <w:rPr>
                <w:rFonts w:hint="eastAsia" w:ascii="Times New Roman" w:hAnsi="Times New Roman" w:eastAsia="宋体" w:cs="Times New Roman"/>
                <w:bCs/>
                <w:color w:val="auto"/>
                <w:szCs w:val="21"/>
                <w:lang w:bidi="ar"/>
              </w:rPr>
              <w:t>Male sex</w:t>
            </w:r>
          </w:p>
        </w:tc>
        <w:tc>
          <w:tcPr>
            <w:tcW w:w="1421" w:type="dxa"/>
          </w:tcPr>
          <w:p w14:paraId="41A23F24">
            <w:pPr>
              <w:rPr>
                <w:color w:val="auto"/>
                <w:szCs w:val="21"/>
              </w:rPr>
            </w:pPr>
            <w:r>
              <w:rPr>
                <w:rFonts w:hint="eastAsia" w:ascii="Times New Roman" w:hAnsi="Times New Roman" w:eastAsia="宋体" w:cs="Times New Roman"/>
                <w:bCs/>
                <w:color w:val="auto"/>
                <w:szCs w:val="21"/>
                <w:lang w:bidi="ar"/>
              </w:rPr>
              <w:t>1.06</w:t>
            </w:r>
          </w:p>
        </w:tc>
        <w:tc>
          <w:tcPr>
            <w:tcW w:w="1421" w:type="dxa"/>
          </w:tcPr>
          <w:p w14:paraId="085D146F">
            <w:pPr>
              <w:rPr>
                <w:color w:val="auto"/>
                <w:szCs w:val="21"/>
              </w:rPr>
            </w:pPr>
            <w:r>
              <w:rPr>
                <w:rFonts w:hint="eastAsia" w:ascii="Times New Roman" w:hAnsi="Times New Roman" w:eastAsia="宋体" w:cs="Times New Roman"/>
                <w:bCs/>
                <w:color w:val="auto"/>
                <w:szCs w:val="21"/>
                <w:lang w:bidi="ar"/>
              </w:rPr>
              <w:t>1.05</w:t>
            </w:r>
          </w:p>
        </w:tc>
        <w:tc>
          <w:tcPr>
            <w:tcW w:w="1421" w:type="dxa"/>
          </w:tcPr>
          <w:p w14:paraId="75E59D52">
            <w:pPr>
              <w:rPr>
                <w:color w:val="auto"/>
                <w:szCs w:val="21"/>
              </w:rPr>
            </w:pPr>
            <w:r>
              <w:rPr>
                <w:rFonts w:hint="eastAsia" w:ascii="Times New Roman" w:hAnsi="Times New Roman" w:eastAsia="宋体" w:cs="Times New Roman"/>
                <w:bCs/>
                <w:color w:val="auto"/>
                <w:szCs w:val="21"/>
                <w:lang w:bidi="ar"/>
              </w:rPr>
              <w:t>1.03</w:t>
            </w:r>
          </w:p>
        </w:tc>
        <w:tc>
          <w:tcPr>
            <w:tcW w:w="1422" w:type="dxa"/>
          </w:tcPr>
          <w:p w14:paraId="04D13912">
            <w:pPr>
              <w:rPr>
                <w:color w:val="auto"/>
                <w:szCs w:val="21"/>
              </w:rPr>
            </w:pPr>
            <w:r>
              <w:rPr>
                <w:rFonts w:hint="eastAsia" w:ascii="Times New Roman" w:hAnsi="Times New Roman" w:eastAsia="宋体" w:cs="Times New Roman"/>
                <w:bCs/>
                <w:color w:val="auto"/>
                <w:szCs w:val="21"/>
                <w:lang w:bidi="ar"/>
              </w:rPr>
              <w:t>1.03</w:t>
            </w:r>
          </w:p>
        </w:tc>
        <w:tc>
          <w:tcPr>
            <w:tcW w:w="1422" w:type="dxa"/>
          </w:tcPr>
          <w:p w14:paraId="698718C4">
            <w:pPr>
              <w:rPr>
                <w:color w:val="auto"/>
                <w:szCs w:val="21"/>
              </w:rPr>
            </w:pPr>
            <w:r>
              <w:rPr>
                <w:rFonts w:hint="eastAsia" w:ascii="Times New Roman" w:hAnsi="Times New Roman" w:eastAsia="宋体" w:cs="Times New Roman"/>
                <w:bCs/>
                <w:color w:val="auto"/>
                <w:szCs w:val="21"/>
                <w:lang w:bidi="ar"/>
              </w:rPr>
              <w:t>1.06</w:t>
            </w:r>
          </w:p>
        </w:tc>
      </w:tr>
      <w:tr w14:paraId="18B57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3F964E4B">
            <w:pPr>
              <w:rPr>
                <w:color w:val="auto"/>
                <w:szCs w:val="21"/>
              </w:rPr>
            </w:pPr>
            <w:r>
              <w:rPr>
                <w:rFonts w:hint="eastAsia" w:ascii="Times New Roman" w:hAnsi="Times New Roman" w:eastAsia="宋体" w:cs="Times New Roman"/>
                <w:bCs/>
                <w:color w:val="auto"/>
                <w:szCs w:val="21"/>
                <w:lang w:bidi="ar"/>
              </w:rPr>
              <w:t>Documented sepsis</w:t>
            </w:r>
          </w:p>
        </w:tc>
        <w:tc>
          <w:tcPr>
            <w:tcW w:w="1421" w:type="dxa"/>
          </w:tcPr>
          <w:p w14:paraId="04467CAD">
            <w:pPr>
              <w:rPr>
                <w:color w:val="auto"/>
                <w:szCs w:val="21"/>
              </w:rPr>
            </w:pPr>
            <w:r>
              <w:rPr>
                <w:rFonts w:hint="eastAsia" w:ascii="Times New Roman" w:hAnsi="Times New Roman" w:eastAsia="宋体" w:cs="Times New Roman"/>
                <w:bCs/>
                <w:color w:val="auto"/>
                <w:szCs w:val="21"/>
                <w:lang w:bidi="ar"/>
              </w:rPr>
              <w:t>1.13</w:t>
            </w:r>
          </w:p>
        </w:tc>
        <w:tc>
          <w:tcPr>
            <w:tcW w:w="1421" w:type="dxa"/>
          </w:tcPr>
          <w:p w14:paraId="1F299BC4">
            <w:pPr>
              <w:rPr>
                <w:color w:val="auto"/>
                <w:szCs w:val="21"/>
              </w:rPr>
            </w:pPr>
            <w:r>
              <w:rPr>
                <w:rFonts w:hint="eastAsia" w:ascii="Times New Roman" w:hAnsi="Times New Roman" w:eastAsia="宋体" w:cs="Times New Roman"/>
                <w:bCs/>
                <w:color w:val="auto"/>
                <w:szCs w:val="21"/>
                <w:lang w:bidi="ar"/>
              </w:rPr>
              <w:t>1.12</w:t>
            </w:r>
          </w:p>
        </w:tc>
        <w:tc>
          <w:tcPr>
            <w:tcW w:w="1421" w:type="dxa"/>
          </w:tcPr>
          <w:p w14:paraId="1A497A68">
            <w:pPr>
              <w:rPr>
                <w:color w:val="auto"/>
                <w:szCs w:val="21"/>
              </w:rPr>
            </w:pPr>
            <w:r>
              <w:rPr>
                <w:rFonts w:hint="eastAsia" w:ascii="Times New Roman" w:hAnsi="Times New Roman" w:eastAsia="宋体" w:cs="Times New Roman"/>
                <w:bCs/>
                <w:color w:val="auto"/>
                <w:szCs w:val="21"/>
                <w:lang w:bidi="ar"/>
              </w:rPr>
              <w:t>1.12</w:t>
            </w:r>
          </w:p>
        </w:tc>
        <w:tc>
          <w:tcPr>
            <w:tcW w:w="1422" w:type="dxa"/>
          </w:tcPr>
          <w:p w14:paraId="0FE9B735">
            <w:pPr>
              <w:rPr>
                <w:color w:val="auto"/>
                <w:szCs w:val="21"/>
              </w:rPr>
            </w:pPr>
            <w:r>
              <w:rPr>
                <w:rFonts w:hint="eastAsia" w:ascii="Times New Roman" w:hAnsi="Times New Roman" w:eastAsia="宋体" w:cs="Times New Roman"/>
                <w:bCs/>
                <w:color w:val="auto"/>
                <w:szCs w:val="21"/>
                <w:lang w:bidi="ar"/>
              </w:rPr>
              <w:t>1.11</w:t>
            </w:r>
          </w:p>
        </w:tc>
        <w:tc>
          <w:tcPr>
            <w:tcW w:w="1422" w:type="dxa"/>
          </w:tcPr>
          <w:p w14:paraId="1426346A">
            <w:pPr>
              <w:rPr>
                <w:color w:val="auto"/>
                <w:szCs w:val="21"/>
              </w:rPr>
            </w:pPr>
            <w:r>
              <w:rPr>
                <w:rFonts w:hint="eastAsia" w:ascii="Times New Roman" w:hAnsi="Times New Roman" w:eastAsia="宋体" w:cs="Times New Roman"/>
                <w:bCs/>
                <w:color w:val="auto"/>
                <w:szCs w:val="21"/>
                <w:lang w:bidi="ar"/>
              </w:rPr>
              <w:t>1.15</w:t>
            </w:r>
          </w:p>
        </w:tc>
      </w:tr>
      <w:tr w14:paraId="2787F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049FAF86">
            <w:pPr>
              <w:rPr>
                <w:color w:val="auto"/>
                <w:szCs w:val="21"/>
              </w:rPr>
            </w:pPr>
            <w:r>
              <w:rPr>
                <w:rFonts w:hint="eastAsia" w:ascii="Times New Roman" w:hAnsi="Times New Roman" w:eastAsia="宋体" w:cs="Times New Roman"/>
                <w:bCs/>
                <w:color w:val="auto"/>
                <w:szCs w:val="21"/>
                <w:lang w:bidi="ar"/>
              </w:rPr>
              <w:t>Cardiovascular comorbidity</w:t>
            </w:r>
          </w:p>
        </w:tc>
        <w:tc>
          <w:tcPr>
            <w:tcW w:w="1421" w:type="dxa"/>
          </w:tcPr>
          <w:p w14:paraId="7D1D6A36">
            <w:pPr>
              <w:rPr>
                <w:color w:val="auto"/>
                <w:szCs w:val="21"/>
              </w:rPr>
            </w:pPr>
            <w:r>
              <w:rPr>
                <w:rFonts w:hint="eastAsia" w:ascii="Times New Roman" w:hAnsi="Times New Roman" w:eastAsia="宋体" w:cs="Times New Roman"/>
                <w:bCs/>
                <w:color w:val="auto"/>
                <w:szCs w:val="21"/>
                <w:lang w:bidi="ar"/>
              </w:rPr>
              <w:t>1.12</w:t>
            </w:r>
          </w:p>
        </w:tc>
        <w:tc>
          <w:tcPr>
            <w:tcW w:w="1421" w:type="dxa"/>
          </w:tcPr>
          <w:p w14:paraId="6C80A535">
            <w:pPr>
              <w:rPr>
                <w:color w:val="auto"/>
                <w:szCs w:val="21"/>
              </w:rPr>
            </w:pPr>
            <w:r>
              <w:rPr>
                <w:rFonts w:hint="eastAsia" w:ascii="Times New Roman" w:hAnsi="Times New Roman" w:eastAsia="宋体" w:cs="Times New Roman"/>
                <w:bCs/>
                <w:color w:val="auto"/>
                <w:szCs w:val="21"/>
                <w:lang w:bidi="ar"/>
              </w:rPr>
              <w:t>1.13</w:t>
            </w:r>
          </w:p>
        </w:tc>
        <w:tc>
          <w:tcPr>
            <w:tcW w:w="1421" w:type="dxa"/>
          </w:tcPr>
          <w:p w14:paraId="1E4ECB61">
            <w:pPr>
              <w:rPr>
                <w:color w:val="auto"/>
                <w:szCs w:val="21"/>
              </w:rPr>
            </w:pPr>
            <w:r>
              <w:rPr>
                <w:rFonts w:hint="eastAsia" w:ascii="Times New Roman" w:hAnsi="Times New Roman" w:eastAsia="宋体" w:cs="Times New Roman"/>
                <w:bCs/>
                <w:color w:val="auto"/>
                <w:szCs w:val="21"/>
                <w:lang w:bidi="ar"/>
              </w:rPr>
              <w:t>1.08</w:t>
            </w:r>
          </w:p>
        </w:tc>
        <w:tc>
          <w:tcPr>
            <w:tcW w:w="1422" w:type="dxa"/>
          </w:tcPr>
          <w:p w14:paraId="4FDD1C15">
            <w:pPr>
              <w:rPr>
                <w:color w:val="auto"/>
                <w:szCs w:val="21"/>
              </w:rPr>
            </w:pPr>
            <w:r>
              <w:rPr>
                <w:rFonts w:hint="eastAsia" w:ascii="Times New Roman" w:hAnsi="Times New Roman" w:eastAsia="宋体" w:cs="Times New Roman"/>
                <w:bCs/>
                <w:color w:val="auto"/>
                <w:szCs w:val="21"/>
                <w:lang w:bidi="ar"/>
              </w:rPr>
              <w:t>1.08</w:t>
            </w:r>
          </w:p>
        </w:tc>
        <w:tc>
          <w:tcPr>
            <w:tcW w:w="1422" w:type="dxa"/>
          </w:tcPr>
          <w:p w14:paraId="708B3548">
            <w:pPr>
              <w:rPr>
                <w:color w:val="auto"/>
                <w:szCs w:val="21"/>
              </w:rPr>
            </w:pPr>
            <w:r>
              <w:rPr>
                <w:rFonts w:hint="eastAsia" w:ascii="Times New Roman" w:hAnsi="Times New Roman" w:eastAsia="宋体" w:cs="Times New Roman"/>
                <w:bCs/>
                <w:color w:val="auto"/>
                <w:szCs w:val="21"/>
                <w:lang w:bidi="ar"/>
              </w:rPr>
              <w:t>1.14</w:t>
            </w:r>
          </w:p>
        </w:tc>
      </w:tr>
      <w:tr w14:paraId="3994B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26C175D9">
            <w:pPr>
              <w:rPr>
                <w:color w:val="auto"/>
                <w:szCs w:val="21"/>
              </w:rPr>
            </w:pPr>
            <w:r>
              <w:rPr>
                <w:rFonts w:hint="eastAsia" w:ascii="Times New Roman" w:hAnsi="Times New Roman" w:eastAsia="宋体" w:cs="Times New Roman"/>
                <w:bCs/>
                <w:color w:val="auto"/>
                <w:szCs w:val="21"/>
                <w:lang w:bidi="ar"/>
              </w:rPr>
              <w:t>Diabetes</w:t>
            </w:r>
          </w:p>
        </w:tc>
        <w:tc>
          <w:tcPr>
            <w:tcW w:w="1421" w:type="dxa"/>
          </w:tcPr>
          <w:p w14:paraId="66D2BF60">
            <w:pPr>
              <w:rPr>
                <w:color w:val="auto"/>
                <w:szCs w:val="21"/>
              </w:rPr>
            </w:pPr>
            <w:r>
              <w:rPr>
                <w:rFonts w:hint="eastAsia" w:ascii="Times New Roman" w:hAnsi="Times New Roman" w:eastAsia="宋体" w:cs="Times New Roman"/>
                <w:bCs/>
                <w:color w:val="auto"/>
                <w:szCs w:val="21"/>
                <w:lang w:bidi="ar"/>
              </w:rPr>
              <w:t>1.17</w:t>
            </w:r>
          </w:p>
        </w:tc>
        <w:tc>
          <w:tcPr>
            <w:tcW w:w="1421" w:type="dxa"/>
          </w:tcPr>
          <w:p w14:paraId="3E04B2E5">
            <w:pPr>
              <w:rPr>
                <w:color w:val="auto"/>
                <w:szCs w:val="21"/>
              </w:rPr>
            </w:pPr>
            <w:r>
              <w:rPr>
                <w:rFonts w:hint="eastAsia" w:ascii="Times New Roman" w:hAnsi="Times New Roman" w:eastAsia="宋体" w:cs="Times New Roman"/>
                <w:bCs/>
                <w:color w:val="auto"/>
                <w:szCs w:val="21"/>
                <w:lang w:bidi="ar"/>
              </w:rPr>
              <w:t>1.17</w:t>
            </w:r>
          </w:p>
        </w:tc>
        <w:tc>
          <w:tcPr>
            <w:tcW w:w="1421" w:type="dxa"/>
          </w:tcPr>
          <w:p w14:paraId="554FE00B">
            <w:pPr>
              <w:rPr>
                <w:color w:val="auto"/>
                <w:szCs w:val="21"/>
              </w:rPr>
            </w:pPr>
            <w:r>
              <w:rPr>
                <w:rFonts w:hint="eastAsia" w:ascii="Times New Roman" w:hAnsi="Times New Roman" w:eastAsia="宋体" w:cs="Times New Roman"/>
                <w:bCs/>
                <w:color w:val="auto"/>
                <w:szCs w:val="21"/>
                <w:lang w:bidi="ar"/>
              </w:rPr>
              <w:t>1.22</w:t>
            </w:r>
          </w:p>
        </w:tc>
        <w:tc>
          <w:tcPr>
            <w:tcW w:w="1422" w:type="dxa"/>
          </w:tcPr>
          <w:p w14:paraId="7452F290">
            <w:pPr>
              <w:rPr>
                <w:color w:val="auto"/>
                <w:szCs w:val="21"/>
              </w:rPr>
            </w:pPr>
            <w:r>
              <w:rPr>
                <w:rFonts w:hint="eastAsia" w:ascii="Times New Roman" w:hAnsi="Times New Roman" w:eastAsia="宋体" w:cs="Times New Roman"/>
                <w:bCs/>
                <w:color w:val="auto"/>
                <w:szCs w:val="21"/>
                <w:lang w:bidi="ar"/>
              </w:rPr>
              <w:t>1.22</w:t>
            </w:r>
          </w:p>
        </w:tc>
        <w:tc>
          <w:tcPr>
            <w:tcW w:w="1422" w:type="dxa"/>
          </w:tcPr>
          <w:p w14:paraId="2D308616">
            <w:pPr>
              <w:rPr>
                <w:color w:val="auto"/>
                <w:szCs w:val="21"/>
              </w:rPr>
            </w:pPr>
            <w:r>
              <w:rPr>
                <w:rFonts w:hint="eastAsia" w:ascii="Times New Roman" w:hAnsi="Times New Roman" w:eastAsia="宋体" w:cs="Times New Roman"/>
                <w:bCs/>
                <w:color w:val="auto"/>
                <w:szCs w:val="21"/>
                <w:lang w:bidi="ar"/>
              </w:rPr>
              <w:t>1.23</w:t>
            </w:r>
          </w:p>
        </w:tc>
      </w:tr>
      <w:tr w14:paraId="58D45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18931D79">
            <w:pPr>
              <w:rPr>
                <w:color w:val="auto"/>
                <w:szCs w:val="21"/>
              </w:rPr>
            </w:pPr>
            <w:r>
              <w:rPr>
                <w:rFonts w:hint="eastAsia" w:ascii="Times New Roman" w:hAnsi="Times New Roman" w:eastAsia="宋体" w:cs="Times New Roman"/>
                <w:bCs/>
                <w:color w:val="auto"/>
                <w:szCs w:val="21"/>
                <w:lang w:bidi="ar"/>
              </w:rPr>
              <w:t>Neurologic comorbidity</w:t>
            </w:r>
          </w:p>
        </w:tc>
        <w:tc>
          <w:tcPr>
            <w:tcW w:w="1421" w:type="dxa"/>
          </w:tcPr>
          <w:p w14:paraId="5EDE78A8">
            <w:pPr>
              <w:rPr>
                <w:color w:val="auto"/>
                <w:szCs w:val="21"/>
              </w:rPr>
            </w:pPr>
            <w:r>
              <w:rPr>
                <w:rFonts w:hint="eastAsia" w:ascii="Times New Roman" w:hAnsi="Times New Roman" w:eastAsia="宋体" w:cs="Times New Roman"/>
                <w:bCs/>
                <w:color w:val="auto"/>
                <w:szCs w:val="21"/>
                <w:lang w:bidi="ar"/>
              </w:rPr>
              <w:t>1.07</w:t>
            </w:r>
          </w:p>
        </w:tc>
        <w:tc>
          <w:tcPr>
            <w:tcW w:w="1421" w:type="dxa"/>
          </w:tcPr>
          <w:p w14:paraId="17C7ACBC">
            <w:pPr>
              <w:rPr>
                <w:color w:val="auto"/>
                <w:szCs w:val="21"/>
              </w:rPr>
            </w:pPr>
            <w:r>
              <w:rPr>
                <w:rFonts w:hint="eastAsia" w:ascii="Times New Roman" w:hAnsi="Times New Roman" w:eastAsia="宋体" w:cs="Times New Roman"/>
                <w:bCs/>
                <w:color w:val="auto"/>
                <w:szCs w:val="21"/>
                <w:lang w:bidi="ar"/>
              </w:rPr>
              <w:t>1.07</w:t>
            </w:r>
          </w:p>
        </w:tc>
        <w:tc>
          <w:tcPr>
            <w:tcW w:w="1421" w:type="dxa"/>
          </w:tcPr>
          <w:p w14:paraId="623A6AC2">
            <w:pPr>
              <w:rPr>
                <w:color w:val="auto"/>
                <w:szCs w:val="21"/>
              </w:rPr>
            </w:pPr>
            <w:r>
              <w:rPr>
                <w:rFonts w:hint="eastAsia" w:ascii="Times New Roman" w:hAnsi="Times New Roman" w:eastAsia="宋体" w:cs="Times New Roman"/>
                <w:bCs/>
                <w:color w:val="auto"/>
                <w:szCs w:val="21"/>
                <w:lang w:bidi="ar"/>
              </w:rPr>
              <w:t>1.03</w:t>
            </w:r>
          </w:p>
        </w:tc>
        <w:tc>
          <w:tcPr>
            <w:tcW w:w="1422" w:type="dxa"/>
          </w:tcPr>
          <w:p w14:paraId="761E72BC">
            <w:pPr>
              <w:rPr>
                <w:color w:val="auto"/>
                <w:szCs w:val="21"/>
              </w:rPr>
            </w:pPr>
            <w:r>
              <w:rPr>
                <w:rFonts w:hint="eastAsia" w:ascii="Times New Roman" w:hAnsi="Times New Roman" w:eastAsia="宋体" w:cs="Times New Roman"/>
                <w:bCs/>
                <w:color w:val="auto"/>
                <w:szCs w:val="21"/>
                <w:lang w:bidi="ar"/>
              </w:rPr>
              <w:t>1.03</w:t>
            </w:r>
          </w:p>
        </w:tc>
        <w:tc>
          <w:tcPr>
            <w:tcW w:w="1422" w:type="dxa"/>
          </w:tcPr>
          <w:p w14:paraId="09248379">
            <w:pPr>
              <w:rPr>
                <w:color w:val="auto"/>
                <w:szCs w:val="21"/>
              </w:rPr>
            </w:pPr>
            <w:r>
              <w:rPr>
                <w:rFonts w:hint="eastAsia" w:ascii="Times New Roman" w:hAnsi="Times New Roman" w:eastAsia="宋体" w:cs="Times New Roman"/>
                <w:bCs/>
                <w:color w:val="auto"/>
                <w:szCs w:val="21"/>
                <w:lang w:bidi="ar"/>
              </w:rPr>
              <w:t>1.10</w:t>
            </w:r>
          </w:p>
        </w:tc>
      </w:tr>
      <w:tr w14:paraId="7E6D1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66510704">
            <w:pPr>
              <w:rPr>
                <w:color w:val="auto"/>
                <w:szCs w:val="21"/>
              </w:rPr>
            </w:pPr>
            <w:r>
              <w:rPr>
                <w:rFonts w:hint="eastAsia" w:ascii="Times New Roman" w:hAnsi="Times New Roman" w:eastAsia="宋体" w:cs="Times New Roman"/>
                <w:bCs/>
                <w:color w:val="auto"/>
                <w:szCs w:val="21"/>
                <w:lang w:bidi="ar"/>
              </w:rPr>
              <w:t>Chronic kidney disease</w:t>
            </w:r>
          </w:p>
        </w:tc>
        <w:tc>
          <w:tcPr>
            <w:tcW w:w="1421" w:type="dxa"/>
          </w:tcPr>
          <w:p w14:paraId="4D87027D">
            <w:pPr>
              <w:rPr>
                <w:color w:val="auto"/>
                <w:szCs w:val="21"/>
              </w:rPr>
            </w:pPr>
            <w:r>
              <w:rPr>
                <w:rFonts w:hint="eastAsia" w:ascii="Times New Roman" w:hAnsi="Times New Roman" w:eastAsia="宋体" w:cs="Times New Roman"/>
                <w:bCs/>
                <w:color w:val="auto"/>
                <w:szCs w:val="21"/>
                <w:lang w:bidi="ar"/>
              </w:rPr>
              <w:t>1.17</w:t>
            </w:r>
          </w:p>
        </w:tc>
        <w:tc>
          <w:tcPr>
            <w:tcW w:w="1421" w:type="dxa"/>
          </w:tcPr>
          <w:p w14:paraId="4F774DAD">
            <w:pPr>
              <w:rPr>
                <w:color w:val="auto"/>
                <w:szCs w:val="21"/>
              </w:rPr>
            </w:pPr>
            <w:r>
              <w:rPr>
                <w:rFonts w:hint="eastAsia" w:ascii="Times New Roman" w:hAnsi="Times New Roman" w:eastAsia="宋体" w:cs="Times New Roman"/>
                <w:bCs/>
                <w:color w:val="auto"/>
                <w:szCs w:val="21"/>
                <w:lang w:bidi="ar"/>
              </w:rPr>
              <w:t>1.16</w:t>
            </w:r>
          </w:p>
        </w:tc>
        <w:tc>
          <w:tcPr>
            <w:tcW w:w="1421" w:type="dxa"/>
          </w:tcPr>
          <w:p w14:paraId="2EEBBEA4">
            <w:pPr>
              <w:rPr>
                <w:color w:val="auto"/>
                <w:szCs w:val="21"/>
              </w:rPr>
            </w:pPr>
            <w:r>
              <w:rPr>
                <w:rFonts w:hint="eastAsia" w:ascii="Times New Roman" w:hAnsi="Times New Roman" w:eastAsia="宋体" w:cs="Times New Roman"/>
                <w:bCs/>
                <w:color w:val="auto"/>
                <w:szCs w:val="21"/>
                <w:lang w:bidi="ar"/>
              </w:rPr>
              <w:t>1.10</w:t>
            </w:r>
          </w:p>
        </w:tc>
        <w:tc>
          <w:tcPr>
            <w:tcW w:w="1422" w:type="dxa"/>
          </w:tcPr>
          <w:p w14:paraId="24FD566C">
            <w:pPr>
              <w:rPr>
                <w:color w:val="auto"/>
                <w:szCs w:val="21"/>
              </w:rPr>
            </w:pPr>
            <w:r>
              <w:rPr>
                <w:rFonts w:hint="eastAsia" w:ascii="Times New Roman" w:hAnsi="Times New Roman" w:eastAsia="宋体" w:cs="Times New Roman"/>
                <w:bCs/>
                <w:color w:val="auto"/>
                <w:szCs w:val="21"/>
                <w:lang w:bidi="ar"/>
              </w:rPr>
              <w:t>1.10</w:t>
            </w:r>
          </w:p>
        </w:tc>
        <w:tc>
          <w:tcPr>
            <w:tcW w:w="1422" w:type="dxa"/>
          </w:tcPr>
          <w:p w14:paraId="25E93398">
            <w:pPr>
              <w:rPr>
                <w:color w:val="auto"/>
                <w:szCs w:val="21"/>
              </w:rPr>
            </w:pPr>
            <w:r>
              <w:rPr>
                <w:rFonts w:hint="eastAsia" w:ascii="Times New Roman" w:hAnsi="Times New Roman" w:eastAsia="宋体" w:cs="Times New Roman"/>
                <w:bCs/>
                <w:color w:val="auto"/>
                <w:szCs w:val="21"/>
                <w:lang w:bidi="ar"/>
              </w:rPr>
              <w:t>1.47</w:t>
            </w:r>
          </w:p>
        </w:tc>
      </w:tr>
      <w:tr w14:paraId="26605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3A1FD638">
            <w:pPr>
              <w:rPr>
                <w:color w:val="auto"/>
                <w:szCs w:val="21"/>
              </w:rPr>
            </w:pPr>
            <w:r>
              <w:rPr>
                <w:rFonts w:hint="eastAsia" w:ascii="Times New Roman" w:hAnsi="Times New Roman" w:eastAsia="宋体" w:cs="Times New Roman"/>
                <w:bCs/>
                <w:color w:val="auto"/>
                <w:szCs w:val="21"/>
                <w:lang w:bidi="ar"/>
              </w:rPr>
              <w:t>COPD</w:t>
            </w:r>
          </w:p>
        </w:tc>
        <w:tc>
          <w:tcPr>
            <w:tcW w:w="1421" w:type="dxa"/>
          </w:tcPr>
          <w:p w14:paraId="726A0253">
            <w:pPr>
              <w:rPr>
                <w:color w:val="auto"/>
                <w:szCs w:val="21"/>
              </w:rPr>
            </w:pPr>
            <w:r>
              <w:rPr>
                <w:rFonts w:hint="eastAsia" w:ascii="Times New Roman" w:hAnsi="Times New Roman" w:eastAsia="宋体" w:cs="Times New Roman"/>
                <w:bCs/>
                <w:color w:val="auto"/>
                <w:szCs w:val="21"/>
                <w:lang w:bidi="ar"/>
              </w:rPr>
              <w:t>1.02</w:t>
            </w:r>
          </w:p>
        </w:tc>
        <w:tc>
          <w:tcPr>
            <w:tcW w:w="1421" w:type="dxa"/>
          </w:tcPr>
          <w:p w14:paraId="67E81E24">
            <w:pPr>
              <w:rPr>
                <w:color w:val="auto"/>
                <w:szCs w:val="21"/>
              </w:rPr>
            </w:pPr>
            <w:r>
              <w:rPr>
                <w:rFonts w:hint="eastAsia" w:ascii="Times New Roman" w:hAnsi="Times New Roman" w:eastAsia="宋体" w:cs="Times New Roman"/>
                <w:bCs/>
                <w:color w:val="auto"/>
                <w:szCs w:val="21"/>
                <w:lang w:bidi="ar"/>
              </w:rPr>
              <w:t>1.02</w:t>
            </w:r>
          </w:p>
        </w:tc>
        <w:tc>
          <w:tcPr>
            <w:tcW w:w="1421" w:type="dxa"/>
          </w:tcPr>
          <w:p w14:paraId="4ED92BCF">
            <w:pPr>
              <w:rPr>
                <w:color w:val="auto"/>
                <w:szCs w:val="21"/>
              </w:rPr>
            </w:pPr>
            <w:r>
              <w:rPr>
                <w:rFonts w:hint="eastAsia" w:ascii="Times New Roman" w:hAnsi="Times New Roman" w:eastAsia="宋体" w:cs="Times New Roman"/>
                <w:bCs/>
                <w:color w:val="auto"/>
                <w:szCs w:val="21"/>
                <w:lang w:bidi="ar"/>
              </w:rPr>
              <w:t>1.03</w:t>
            </w:r>
          </w:p>
        </w:tc>
        <w:tc>
          <w:tcPr>
            <w:tcW w:w="1422" w:type="dxa"/>
          </w:tcPr>
          <w:p w14:paraId="7C729124">
            <w:pPr>
              <w:rPr>
                <w:color w:val="auto"/>
                <w:szCs w:val="21"/>
              </w:rPr>
            </w:pPr>
            <w:r>
              <w:rPr>
                <w:rFonts w:hint="eastAsia" w:ascii="Times New Roman" w:hAnsi="Times New Roman" w:eastAsia="宋体" w:cs="Times New Roman"/>
                <w:bCs/>
                <w:color w:val="auto"/>
                <w:szCs w:val="21"/>
                <w:lang w:bidi="ar"/>
              </w:rPr>
              <w:t>1.03</w:t>
            </w:r>
          </w:p>
        </w:tc>
        <w:tc>
          <w:tcPr>
            <w:tcW w:w="1422" w:type="dxa"/>
          </w:tcPr>
          <w:p w14:paraId="52371653">
            <w:pPr>
              <w:rPr>
                <w:color w:val="auto"/>
                <w:szCs w:val="21"/>
              </w:rPr>
            </w:pPr>
            <w:r>
              <w:rPr>
                <w:rFonts w:hint="eastAsia" w:ascii="Times New Roman" w:hAnsi="Times New Roman" w:eastAsia="宋体" w:cs="Times New Roman"/>
                <w:bCs/>
                <w:color w:val="auto"/>
                <w:szCs w:val="21"/>
                <w:lang w:bidi="ar"/>
              </w:rPr>
              <w:t>1.04</w:t>
            </w:r>
          </w:p>
        </w:tc>
      </w:tr>
      <w:tr w14:paraId="0A137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5A26455F">
            <w:pPr>
              <w:rPr>
                <w:color w:val="auto"/>
                <w:szCs w:val="21"/>
              </w:rPr>
            </w:pPr>
            <w:r>
              <w:rPr>
                <w:rFonts w:hint="eastAsia" w:ascii="Times New Roman" w:hAnsi="Times New Roman" w:eastAsia="宋体" w:cs="Times New Roman"/>
                <w:bCs/>
                <w:color w:val="auto"/>
                <w:szCs w:val="21"/>
                <w:lang w:bidi="ar"/>
              </w:rPr>
              <w:t>Malignancy</w:t>
            </w:r>
          </w:p>
        </w:tc>
        <w:tc>
          <w:tcPr>
            <w:tcW w:w="1421" w:type="dxa"/>
          </w:tcPr>
          <w:p w14:paraId="09402BDA">
            <w:pPr>
              <w:rPr>
                <w:color w:val="auto"/>
                <w:szCs w:val="21"/>
              </w:rPr>
            </w:pPr>
            <w:r>
              <w:rPr>
                <w:rFonts w:hint="eastAsia" w:ascii="Times New Roman" w:hAnsi="Times New Roman" w:eastAsia="宋体" w:cs="Times New Roman"/>
                <w:bCs/>
                <w:color w:val="auto"/>
                <w:szCs w:val="21"/>
                <w:lang w:bidi="ar"/>
              </w:rPr>
              <w:t>1.05</w:t>
            </w:r>
          </w:p>
        </w:tc>
        <w:tc>
          <w:tcPr>
            <w:tcW w:w="1421" w:type="dxa"/>
          </w:tcPr>
          <w:p w14:paraId="7DDEF19B">
            <w:pPr>
              <w:rPr>
                <w:color w:val="auto"/>
                <w:szCs w:val="21"/>
              </w:rPr>
            </w:pPr>
            <w:r>
              <w:rPr>
                <w:rFonts w:hint="eastAsia" w:ascii="Times New Roman" w:hAnsi="Times New Roman" w:eastAsia="宋体" w:cs="Times New Roman"/>
                <w:bCs/>
                <w:color w:val="auto"/>
                <w:szCs w:val="21"/>
                <w:lang w:bidi="ar"/>
              </w:rPr>
              <w:t>1.04</w:t>
            </w:r>
          </w:p>
        </w:tc>
        <w:tc>
          <w:tcPr>
            <w:tcW w:w="1421" w:type="dxa"/>
          </w:tcPr>
          <w:p w14:paraId="6CE7B5FA">
            <w:pPr>
              <w:rPr>
                <w:color w:val="auto"/>
                <w:szCs w:val="21"/>
              </w:rPr>
            </w:pPr>
            <w:r>
              <w:rPr>
                <w:rFonts w:hint="eastAsia" w:ascii="Times New Roman" w:hAnsi="Times New Roman" w:eastAsia="宋体" w:cs="Times New Roman"/>
                <w:bCs/>
                <w:color w:val="auto"/>
                <w:szCs w:val="21"/>
                <w:lang w:bidi="ar"/>
              </w:rPr>
              <w:t>1.03</w:t>
            </w:r>
          </w:p>
        </w:tc>
        <w:tc>
          <w:tcPr>
            <w:tcW w:w="1422" w:type="dxa"/>
          </w:tcPr>
          <w:p w14:paraId="103D1C9A">
            <w:pPr>
              <w:rPr>
                <w:color w:val="auto"/>
                <w:szCs w:val="21"/>
              </w:rPr>
            </w:pPr>
            <w:r>
              <w:rPr>
                <w:rFonts w:hint="eastAsia" w:ascii="Times New Roman" w:hAnsi="Times New Roman" w:eastAsia="宋体" w:cs="Times New Roman"/>
                <w:bCs/>
                <w:color w:val="auto"/>
                <w:szCs w:val="21"/>
                <w:lang w:bidi="ar"/>
              </w:rPr>
              <w:t>1.03</w:t>
            </w:r>
          </w:p>
        </w:tc>
        <w:tc>
          <w:tcPr>
            <w:tcW w:w="1422" w:type="dxa"/>
          </w:tcPr>
          <w:p w14:paraId="137EFF43">
            <w:pPr>
              <w:rPr>
                <w:color w:val="auto"/>
                <w:szCs w:val="21"/>
              </w:rPr>
            </w:pPr>
            <w:r>
              <w:rPr>
                <w:rFonts w:hint="eastAsia" w:ascii="Times New Roman" w:hAnsi="Times New Roman" w:eastAsia="宋体" w:cs="Times New Roman"/>
                <w:bCs/>
                <w:color w:val="auto"/>
                <w:szCs w:val="21"/>
                <w:lang w:bidi="ar"/>
              </w:rPr>
              <w:t>1.06</w:t>
            </w:r>
          </w:p>
        </w:tc>
      </w:tr>
      <w:tr w14:paraId="0C26C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2741C366">
            <w:pPr>
              <w:rPr>
                <w:color w:val="auto"/>
                <w:szCs w:val="21"/>
              </w:rPr>
            </w:pPr>
            <w:r>
              <w:rPr>
                <w:rFonts w:hint="eastAsia" w:ascii="Times New Roman" w:hAnsi="Times New Roman" w:eastAsia="宋体" w:cs="Times New Roman"/>
                <w:bCs/>
                <w:color w:val="auto"/>
                <w:szCs w:val="21"/>
                <w:lang w:bidi="ar"/>
              </w:rPr>
              <w:t>Chronic liver disease</w:t>
            </w:r>
          </w:p>
        </w:tc>
        <w:tc>
          <w:tcPr>
            <w:tcW w:w="1421" w:type="dxa"/>
          </w:tcPr>
          <w:p w14:paraId="20F1DCC0">
            <w:pPr>
              <w:rPr>
                <w:color w:val="auto"/>
                <w:szCs w:val="21"/>
              </w:rPr>
            </w:pPr>
            <w:r>
              <w:rPr>
                <w:rFonts w:hint="eastAsia" w:ascii="Times New Roman" w:hAnsi="Times New Roman" w:eastAsia="宋体" w:cs="Times New Roman"/>
                <w:bCs/>
                <w:color w:val="auto"/>
                <w:szCs w:val="21"/>
                <w:lang w:bidi="ar"/>
              </w:rPr>
              <w:t>1.07</w:t>
            </w:r>
          </w:p>
        </w:tc>
        <w:tc>
          <w:tcPr>
            <w:tcW w:w="1421" w:type="dxa"/>
          </w:tcPr>
          <w:p w14:paraId="79AE6A2B">
            <w:pPr>
              <w:rPr>
                <w:color w:val="auto"/>
                <w:szCs w:val="21"/>
              </w:rPr>
            </w:pPr>
            <w:r>
              <w:rPr>
                <w:rFonts w:hint="eastAsia" w:ascii="Times New Roman" w:hAnsi="Times New Roman" w:eastAsia="宋体" w:cs="Times New Roman"/>
                <w:bCs/>
                <w:color w:val="auto"/>
                <w:szCs w:val="21"/>
                <w:lang w:bidi="ar"/>
              </w:rPr>
              <w:t>1.07</w:t>
            </w:r>
          </w:p>
        </w:tc>
        <w:tc>
          <w:tcPr>
            <w:tcW w:w="1421" w:type="dxa"/>
          </w:tcPr>
          <w:p w14:paraId="332BEB35">
            <w:pPr>
              <w:rPr>
                <w:color w:val="auto"/>
                <w:szCs w:val="21"/>
              </w:rPr>
            </w:pPr>
            <w:r>
              <w:rPr>
                <w:rFonts w:hint="eastAsia" w:ascii="Times New Roman" w:hAnsi="Times New Roman" w:eastAsia="宋体" w:cs="Times New Roman"/>
                <w:bCs/>
                <w:color w:val="auto"/>
                <w:szCs w:val="21"/>
                <w:lang w:bidi="ar"/>
              </w:rPr>
              <w:t>1.03</w:t>
            </w:r>
          </w:p>
        </w:tc>
        <w:tc>
          <w:tcPr>
            <w:tcW w:w="1422" w:type="dxa"/>
          </w:tcPr>
          <w:p w14:paraId="36EB2633">
            <w:pPr>
              <w:rPr>
                <w:color w:val="auto"/>
                <w:szCs w:val="21"/>
              </w:rPr>
            </w:pPr>
            <w:r>
              <w:rPr>
                <w:rFonts w:hint="eastAsia" w:ascii="Times New Roman" w:hAnsi="Times New Roman" w:eastAsia="宋体" w:cs="Times New Roman"/>
                <w:bCs/>
                <w:color w:val="auto"/>
                <w:szCs w:val="21"/>
                <w:lang w:bidi="ar"/>
              </w:rPr>
              <w:t>1.03</w:t>
            </w:r>
          </w:p>
        </w:tc>
        <w:tc>
          <w:tcPr>
            <w:tcW w:w="1422" w:type="dxa"/>
          </w:tcPr>
          <w:p w14:paraId="7625331D">
            <w:pPr>
              <w:rPr>
                <w:color w:val="auto"/>
                <w:szCs w:val="21"/>
              </w:rPr>
            </w:pPr>
            <w:r>
              <w:rPr>
                <w:rFonts w:hint="eastAsia" w:ascii="Times New Roman" w:hAnsi="Times New Roman" w:eastAsia="宋体" w:cs="Times New Roman"/>
                <w:bCs/>
                <w:color w:val="auto"/>
                <w:szCs w:val="21"/>
                <w:lang w:bidi="ar"/>
              </w:rPr>
              <w:t>1.16</w:t>
            </w:r>
          </w:p>
        </w:tc>
      </w:tr>
      <w:tr w14:paraId="0B675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47EF839A">
            <w:pPr>
              <w:rPr>
                <w:color w:val="auto"/>
                <w:szCs w:val="21"/>
              </w:rPr>
            </w:pPr>
            <w:r>
              <w:rPr>
                <w:rFonts w:hint="eastAsia" w:ascii="Times New Roman" w:hAnsi="Times New Roman" w:eastAsia="宋体" w:cs="Times New Roman"/>
                <w:bCs/>
                <w:color w:val="auto"/>
                <w:szCs w:val="21"/>
                <w:lang w:bidi="ar"/>
              </w:rPr>
              <w:t>White blood cell count</w:t>
            </w:r>
          </w:p>
        </w:tc>
        <w:tc>
          <w:tcPr>
            <w:tcW w:w="1421" w:type="dxa"/>
          </w:tcPr>
          <w:p w14:paraId="4A9874F9">
            <w:pPr>
              <w:rPr>
                <w:color w:val="auto"/>
                <w:szCs w:val="21"/>
              </w:rPr>
            </w:pPr>
            <w:r>
              <w:rPr>
                <w:rFonts w:hint="eastAsia" w:ascii="Times New Roman" w:hAnsi="Times New Roman" w:eastAsia="宋体" w:cs="Times New Roman"/>
                <w:bCs/>
                <w:color w:val="auto"/>
                <w:szCs w:val="21"/>
                <w:lang w:bidi="ar"/>
              </w:rPr>
              <w:t>1.06</w:t>
            </w:r>
          </w:p>
        </w:tc>
        <w:tc>
          <w:tcPr>
            <w:tcW w:w="1421" w:type="dxa"/>
          </w:tcPr>
          <w:p w14:paraId="55CC5FFA">
            <w:pPr>
              <w:rPr>
                <w:color w:val="auto"/>
                <w:szCs w:val="21"/>
              </w:rPr>
            </w:pPr>
            <w:r>
              <w:rPr>
                <w:rFonts w:hint="eastAsia" w:ascii="Times New Roman" w:hAnsi="Times New Roman" w:eastAsia="宋体" w:cs="Times New Roman"/>
                <w:bCs/>
                <w:color w:val="auto"/>
                <w:szCs w:val="21"/>
                <w:lang w:bidi="ar"/>
              </w:rPr>
              <w:t>1.06</w:t>
            </w:r>
          </w:p>
        </w:tc>
        <w:tc>
          <w:tcPr>
            <w:tcW w:w="1421" w:type="dxa"/>
          </w:tcPr>
          <w:p w14:paraId="1C8AECC3">
            <w:pPr>
              <w:rPr>
                <w:color w:val="auto"/>
                <w:szCs w:val="21"/>
              </w:rPr>
            </w:pPr>
            <w:r>
              <w:rPr>
                <w:rFonts w:hint="eastAsia" w:ascii="Times New Roman" w:hAnsi="Times New Roman" w:eastAsia="宋体" w:cs="Times New Roman"/>
                <w:bCs/>
                <w:color w:val="auto"/>
                <w:szCs w:val="21"/>
                <w:lang w:bidi="ar"/>
              </w:rPr>
              <w:t>1.12</w:t>
            </w:r>
          </w:p>
        </w:tc>
        <w:tc>
          <w:tcPr>
            <w:tcW w:w="1422" w:type="dxa"/>
          </w:tcPr>
          <w:p w14:paraId="18A9C0BF">
            <w:pPr>
              <w:rPr>
                <w:color w:val="auto"/>
                <w:szCs w:val="21"/>
              </w:rPr>
            </w:pPr>
            <w:r>
              <w:rPr>
                <w:rFonts w:hint="eastAsia" w:ascii="Times New Roman" w:hAnsi="Times New Roman" w:eastAsia="宋体" w:cs="Times New Roman"/>
                <w:bCs/>
                <w:color w:val="auto"/>
                <w:szCs w:val="21"/>
                <w:lang w:bidi="ar"/>
              </w:rPr>
              <w:t>1.12</w:t>
            </w:r>
          </w:p>
        </w:tc>
        <w:tc>
          <w:tcPr>
            <w:tcW w:w="1422" w:type="dxa"/>
          </w:tcPr>
          <w:p w14:paraId="435412F0">
            <w:pPr>
              <w:rPr>
                <w:color w:val="auto"/>
                <w:szCs w:val="21"/>
              </w:rPr>
            </w:pPr>
            <w:r>
              <w:rPr>
                <w:rFonts w:hint="eastAsia" w:ascii="Times New Roman" w:hAnsi="Times New Roman" w:eastAsia="宋体" w:cs="Times New Roman"/>
                <w:bCs/>
                <w:color w:val="auto"/>
                <w:szCs w:val="21"/>
                <w:lang w:bidi="ar"/>
              </w:rPr>
              <w:t>1.13</w:t>
            </w:r>
          </w:p>
        </w:tc>
      </w:tr>
      <w:tr w14:paraId="0E4D6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16EDEF49">
            <w:pPr>
              <w:rPr>
                <w:color w:val="auto"/>
                <w:szCs w:val="21"/>
              </w:rPr>
            </w:pPr>
            <w:r>
              <w:rPr>
                <w:rFonts w:hint="eastAsia" w:ascii="Times New Roman" w:hAnsi="Times New Roman" w:eastAsia="宋体" w:cs="Times New Roman"/>
                <w:bCs/>
                <w:color w:val="auto"/>
                <w:szCs w:val="21"/>
                <w:lang w:bidi="ar"/>
              </w:rPr>
              <w:t>Hemoglobin</w:t>
            </w:r>
          </w:p>
        </w:tc>
        <w:tc>
          <w:tcPr>
            <w:tcW w:w="1421" w:type="dxa"/>
          </w:tcPr>
          <w:p w14:paraId="4101921F">
            <w:pPr>
              <w:rPr>
                <w:color w:val="auto"/>
                <w:szCs w:val="21"/>
              </w:rPr>
            </w:pPr>
            <w:r>
              <w:rPr>
                <w:rFonts w:hint="eastAsia" w:ascii="Times New Roman" w:hAnsi="Times New Roman" w:eastAsia="宋体" w:cs="Times New Roman"/>
                <w:bCs/>
                <w:color w:val="auto"/>
                <w:szCs w:val="21"/>
                <w:lang w:bidi="ar"/>
              </w:rPr>
              <w:t>1.20</w:t>
            </w:r>
          </w:p>
        </w:tc>
        <w:tc>
          <w:tcPr>
            <w:tcW w:w="1421" w:type="dxa"/>
          </w:tcPr>
          <w:p w14:paraId="744F777D">
            <w:pPr>
              <w:rPr>
                <w:color w:val="auto"/>
                <w:szCs w:val="21"/>
              </w:rPr>
            </w:pPr>
            <w:r>
              <w:rPr>
                <w:rFonts w:hint="eastAsia" w:ascii="Times New Roman" w:hAnsi="Times New Roman" w:eastAsia="宋体" w:cs="Times New Roman"/>
                <w:bCs/>
                <w:color w:val="auto"/>
                <w:szCs w:val="21"/>
                <w:lang w:bidi="ar"/>
              </w:rPr>
              <w:t>1.19</w:t>
            </w:r>
          </w:p>
        </w:tc>
        <w:tc>
          <w:tcPr>
            <w:tcW w:w="1421" w:type="dxa"/>
          </w:tcPr>
          <w:p w14:paraId="27A7FA83">
            <w:pPr>
              <w:rPr>
                <w:color w:val="auto"/>
                <w:szCs w:val="21"/>
              </w:rPr>
            </w:pPr>
            <w:r>
              <w:rPr>
                <w:rFonts w:hint="eastAsia" w:ascii="Times New Roman" w:hAnsi="Times New Roman" w:eastAsia="宋体" w:cs="Times New Roman"/>
                <w:bCs/>
                <w:color w:val="auto"/>
                <w:szCs w:val="21"/>
                <w:lang w:bidi="ar"/>
              </w:rPr>
              <w:t>1.11</w:t>
            </w:r>
          </w:p>
        </w:tc>
        <w:tc>
          <w:tcPr>
            <w:tcW w:w="1422" w:type="dxa"/>
          </w:tcPr>
          <w:p w14:paraId="7242300E">
            <w:pPr>
              <w:rPr>
                <w:color w:val="auto"/>
                <w:szCs w:val="21"/>
              </w:rPr>
            </w:pPr>
            <w:r>
              <w:rPr>
                <w:rFonts w:hint="eastAsia" w:ascii="Times New Roman" w:hAnsi="Times New Roman" w:eastAsia="宋体" w:cs="Times New Roman"/>
                <w:bCs/>
                <w:color w:val="auto"/>
                <w:szCs w:val="21"/>
                <w:lang w:bidi="ar"/>
              </w:rPr>
              <w:t>1.11</w:t>
            </w:r>
          </w:p>
        </w:tc>
        <w:tc>
          <w:tcPr>
            <w:tcW w:w="1422" w:type="dxa"/>
          </w:tcPr>
          <w:p w14:paraId="703A7953">
            <w:pPr>
              <w:rPr>
                <w:color w:val="auto"/>
                <w:szCs w:val="21"/>
              </w:rPr>
            </w:pPr>
            <w:r>
              <w:rPr>
                <w:rFonts w:hint="eastAsia" w:ascii="Times New Roman" w:hAnsi="Times New Roman" w:eastAsia="宋体" w:cs="Times New Roman"/>
                <w:bCs/>
                <w:color w:val="auto"/>
                <w:szCs w:val="21"/>
                <w:lang w:bidi="ar"/>
              </w:rPr>
              <w:t>1.21</w:t>
            </w:r>
          </w:p>
        </w:tc>
      </w:tr>
      <w:tr w14:paraId="39B02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Pr>
          <w:p w14:paraId="4ACB9F15">
            <w:pPr>
              <w:rPr>
                <w:color w:val="auto"/>
                <w:szCs w:val="21"/>
              </w:rPr>
            </w:pPr>
            <w:r>
              <w:rPr>
                <w:rFonts w:hint="eastAsia" w:ascii="Times New Roman" w:hAnsi="Times New Roman" w:eastAsia="宋体" w:cs="Times New Roman"/>
                <w:bCs/>
                <w:color w:val="auto"/>
                <w:szCs w:val="21"/>
                <w:lang w:bidi="ar"/>
              </w:rPr>
              <w:t>Glucose</w:t>
            </w:r>
          </w:p>
        </w:tc>
        <w:tc>
          <w:tcPr>
            <w:tcW w:w="1421" w:type="dxa"/>
          </w:tcPr>
          <w:p w14:paraId="00A2B283">
            <w:pPr>
              <w:rPr>
                <w:color w:val="auto"/>
                <w:szCs w:val="21"/>
              </w:rPr>
            </w:pPr>
            <w:r>
              <w:rPr>
                <w:rFonts w:hint="eastAsia" w:ascii="Times New Roman" w:hAnsi="Times New Roman" w:eastAsia="宋体" w:cs="Times New Roman"/>
                <w:bCs/>
                <w:color w:val="auto"/>
                <w:szCs w:val="21"/>
                <w:lang w:bidi="ar"/>
              </w:rPr>
              <w:t>1.14</w:t>
            </w:r>
          </w:p>
        </w:tc>
        <w:tc>
          <w:tcPr>
            <w:tcW w:w="1421" w:type="dxa"/>
          </w:tcPr>
          <w:p w14:paraId="7CA702CF">
            <w:pPr>
              <w:rPr>
                <w:color w:val="auto"/>
                <w:szCs w:val="21"/>
              </w:rPr>
            </w:pPr>
            <w:r>
              <w:rPr>
                <w:rFonts w:hint="eastAsia" w:ascii="Times New Roman" w:hAnsi="Times New Roman" w:eastAsia="宋体" w:cs="Times New Roman"/>
                <w:bCs/>
                <w:color w:val="auto"/>
                <w:szCs w:val="21"/>
                <w:lang w:bidi="ar"/>
              </w:rPr>
              <w:t>1.14</w:t>
            </w:r>
          </w:p>
        </w:tc>
        <w:tc>
          <w:tcPr>
            <w:tcW w:w="1421" w:type="dxa"/>
          </w:tcPr>
          <w:p w14:paraId="2E23BA62">
            <w:pPr>
              <w:rPr>
                <w:color w:val="auto"/>
                <w:szCs w:val="21"/>
              </w:rPr>
            </w:pPr>
            <w:r>
              <w:rPr>
                <w:rFonts w:hint="eastAsia" w:ascii="Times New Roman" w:hAnsi="Times New Roman" w:eastAsia="宋体" w:cs="Times New Roman"/>
                <w:bCs/>
                <w:color w:val="auto"/>
                <w:szCs w:val="21"/>
                <w:lang w:bidi="ar"/>
              </w:rPr>
              <w:t>1.22</w:t>
            </w:r>
          </w:p>
        </w:tc>
        <w:tc>
          <w:tcPr>
            <w:tcW w:w="1422" w:type="dxa"/>
          </w:tcPr>
          <w:p w14:paraId="2BB2184C">
            <w:pPr>
              <w:rPr>
                <w:color w:val="auto"/>
                <w:szCs w:val="21"/>
              </w:rPr>
            </w:pPr>
            <w:r>
              <w:rPr>
                <w:rFonts w:hint="eastAsia" w:ascii="Times New Roman" w:hAnsi="Times New Roman" w:eastAsia="宋体" w:cs="Times New Roman"/>
                <w:bCs/>
                <w:color w:val="auto"/>
                <w:szCs w:val="21"/>
                <w:lang w:bidi="ar"/>
              </w:rPr>
              <w:t>1.22</w:t>
            </w:r>
          </w:p>
        </w:tc>
        <w:tc>
          <w:tcPr>
            <w:tcW w:w="1422" w:type="dxa"/>
          </w:tcPr>
          <w:p w14:paraId="6A5AD527">
            <w:pPr>
              <w:rPr>
                <w:color w:val="auto"/>
                <w:szCs w:val="21"/>
              </w:rPr>
            </w:pPr>
            <w:r>
              <w:rPr>
                <w:rFonts w:hint="eastAsia" w:ascii="Times New Roman" w:hAnsi="Times New Roman" w:eastAsia="宋体" w:cs="Times New Roman"/>
                <w:bCs/>
                <w:color w:val="auto"/>
                <w:szCs w:val="21"/>
                <w:lang w:bidi="ar"/>
              </w:rPr>
              <w:t>1.22</w:t>
            </w:r>
          </w:p>
        </w:tc>
      </w:tr>
      <w:tr w14:paraId="4DEC4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421" w:type="dxa"/>
            <w:tcBorders>
              <w:bottom w:val="single" w:color="auto" w:sz="4" w:space="0"/>
            </w:tcBorders>
          </w:tcPr>
          <w:p w14:paraId="35B5E44B">
            <w:pPr>
              <w:rPr>
                <w:color w:val="auto"/>
                <w:szCs w:val="21"/>
              </w:rPr>
            </w:pPr>
            <w:r>
              <w:rPr>
                <w:rFonts w:hint="eastAsia" w:ascii="Times New Roman" w:hAnsi="Times New Roman" w:eastAsia="宋体" w:cs="Times New Roman"/>
                <w:bCs/>
                <w:color w:val="auto"/>
                <w:szCs w:val="21"/>
                <w:lang w:bidi="ar"/>
              </w:rPr>
              <w:t>Heart rate</w:t>
            </w:r>
          </w:p>
        </w:tc>
        <w:tc>
          <w:tcPr>
            <w:tcW w:w="1421" w:type="dxa"/>
            <w:tcBorders>
              <w:bottom w:val="single" w:color="auto" w:sz="4" w:space="0"/>
            </w:tcBorders>
          </w:tcPr>
          <w:p w14:paraId="1E03D775">
            <w:pPr>
              <w:rPr>
                <w:color w:val="auto"/>
                <w:szCs w:val="21"/>
              </w:rPr>
            </w:pPr>
            <w:r>
              <w:rPr>
                <w:rFonts w:hint="eastAsia" w:ascii="Times New Roman" w:hAnsi="Times New Roman" w:eastAsia="宋体" w:cs="Times New Roman"/>
                <w:bCs/>
                <w:color w:val="auto"/>
                <w:szCs w:val="21"/>
                <w:lang w:bidi="ar"/>
              </w:rPr>
              <w:t>1.02</w:t>
            </w:r>
          </w:p>
        </w:tc>
        <w:tc>
          <w:tcPr>
            <w:tcW w:w="1421" w:type="dxa"/>
            <w:tcBorders>
              <w:bottom w:val="single" w:color="auto" w:sz="4" w:space="0"/>
            </w:tcBorders>
          </w:tcPr>
          <w:p w14:paraId="146D5E8D">
            <w:pPr>
              <w:rPr>
                <w:color w:val="auto"/>
                <w:szCs w:val="21"/>
              </w:rPr>
            </w:pPr>
            <w:r>
              <w:rPr>
                <w:rFonts w:hint="eastAsia" w:ascii="Times New Roman" w:hAnsi="Times New Roman" w:eastAsia="宋体" w:cs="Times New Roman"/>
                <w:bCs/>
                <w:color w:val="auto"/>
                <w:szCs w:val="21"/>
                <w:lang w:bidi="ar"/>
              </w:rPr>
              <w:t>1.02</w:t>
            </w:r>
          </w:p>
        </w:tc>
        <w:tc>
          <w:tcPr>
            <w:tcW w:w="1421" w:type="dxa"/>
            <w:tcBorders>
              <w:bottom w:val="single" w:color="auto" w:sz="4" w:space="0"/>
            </w:tcBorders>
          </w:tcPr>
          <w:p w14:paraId="42D0FFCB">
            <w:pPr>
              <w:rPr>
                <w:color w:val="auto"/>
                <w:szCs w:val="21"/>
              </w:rPr>
            </w:pPr>
            <w:r>
              <w:rPr>
                <w:rFonts w:hint="eastAsia" w:ascii="Times New Roman" w:hAnsi="Times New Roman" w:eastAsia="宋体" w:cs="Times New Roman"/>
                <w:bCs/>
                <w:color w:val="auto"/>
                <w:szCs w:val="21"/>
                <w:lang w:bidi="ar"/>
              </w:rPr>
              <w:t>1.08</w:t>
            </w:r>
          </w:p>
        </w:tc>
        <w:tc>
          <w:tcPr>
            <w:tcW w:w="1422" w:type="dxa"/>
            <w:tcBorders>
              <w:bottom w:val="single" w:color="auto" w:sz="4" w:space="0"/>
            </w:tcBorders>
          </w:tcPr>
          <w:p w14:paraId="66F1EDE7">
            <w:pPr>
              <w:rPr>
                <w:color w:val="auto"/>
                <w:szCs w:val="21"/>
              </w:rPr>
            </w:pPr>
            <w:r>
              <w:rPr>
                <w:rFonts w:hint="eastAsia" w:ascii="Times New Roman" w:hAnsi="Times New Roman" w:eastAsia="宋体" w:cs="Times New Roman"/>
                <w:bCs/>
                <w:color w:val="auto"/>
                <w:szCs w:val="21"/>
                <w:lang w:bidi="ar"/>
              </w:rPr>
              <w:t>1.08</w:t>
            </w:r>
          </w:p>
        </w:tc>
        <w:tc>
          <w:tcPr>
            <w:tcW w:w="1422" w:type="dxa"/>
            <w:tcBorders>
              <w:bottom w:val="single" w:color="auto" w:sz="4" w:space="0"/>
            </w:tcBorders>
          </w:tcPr>
          <w:p w14:paraId="6A40AAFB">
            <w:pPr>
              <w:rPr>
                <w:color w:val="auto"/>
                <w:szCs w:val="21"/>
              </w:rPr>
            </w:pPr>
            <w:r>
              <w:rPr>
                <w:rFonts w:hint="eastAsia" w:ascii="Times New Roman" w:hAnsi="Times New Roman" w:eastAsia="宋体" w:cs="Times New Roman"/>
                <w:bCs/>
                <w:color w:val="auto"/>
                <w:szCs w:val="21"/>
                <w:lang w:bidi="ar"/>
              </w:rPr>
              <w:t>1.08</w:t>
            </w:r>
          </w:p>
        </w:tc>
      </w:tr>
    </w:tbl>
    <w:p w14:paraId="7C6834EC">
      <w:pPr>
        <w:rPr>
          <w:rFonts w:ascii="Times New Roman" w:hAnsi="Times New Roman" w:eastAsia="宋体" w:cs="Times New Roman"/>
          <w:bCs/>
          <w:color w:val="auto"/>
          <w:sz w:val="18"/>
          <w:szCs w:val="18"/>
          <w:lang w:bidi="ar"/>
        </w:rPr>
      </w:pPr>
      <w:r>
        <w:rPr>
          <w:rFonts w:ascii="Times New Roman Bold" w:hAnsi="Times New Roman Bold" w:eastAsia="宋体" w:cs="Times New Roman Bold"/>
          <w:b/>
          <w:color w:val="auto"/>
          <w:sz w:val="18"/>
          <w:szCs w:val="18"/>
          <w:lang w:bidi="ar"/>
        </w:rPr>
        <w:t xml:space="preserve">Abbreviations: </w:t>
      </w:r>
      <w:r>
        <w:rPr>
          <w:rFonts w:ascii="Times New Roman" w:hAnsi="Times New Roman" w:eastAsia="宋体" w:cs="Times New Roman"/>
          <w:bCs/>
          <w:color w:val="auto"/>
          <w:sz w:val="18"/>
          <w:szCs w:val="18"/>
          <w:lang w:bidi="ar"/>
        </w:rPr>
        <w:t>SOFA, Sequential Organ Failure Assessment; VIF, variance inflation factor; COPD, chronic obstructive pulmonary disease.</w:t>
      </w:r>
    </w:p>
    <w:p w14:paraId="44C3465C">
      <w:pPr>
        <w:rPr>
          <w:rFonts w:ascii="Times New Roman" w:hAnsi="Times New Roman" w:eastAsia="宋体" w:cs="Times New Roman"/>
          <w:bCs/>
          <w:color w:val="auto"/>
          <w:sz w:val="18"/>
          <w:szCs w:val="18"/>
          <w:lang w:bidi="ar"/>
        </w:rPr>
        <w:sectPr>
          <w:pgSz w:w="11906" w:h="16838"/>
          <w:pgMar w:top="1440" w:right="1797" w:bottom="1440" w:left="1797" w:header="851" w:footer="992" w:gutter="0"/>
          <w:cols w:space="425" w:num="1"/>
          <w:docGrid w:type="lines" w:linePitch="312" w:charSpace="0"/>
        </w:sectPr>
      </w:pPr>
      <w:r>
        <w:rPr>
          <w:rFonts w:ascii="Times New Roman Bold" w:hAnsi="Times New Roman Bold" w:eastAsia="宋体" w:cs="Times New Roman Bold"/>
          <w:b/>
          <w:color w:val="auto"/>
          <w:sz w:val="18"/>
          <w:szCs w:val="18"/>
          <w:lang w:bidi="ar"/>
        </w:rPr>
        <w:t xml:space="preserve">Notes: </w:t>
      </w:r>
      <w:r>
        <w:rPr>
          <w:rFonts w:hint="eastAsia" w:ascii="Times New Roman" w:hAnsi="Times New Roman" w:eastAsia="宋体" w:cs="Times New Roman"/>
          <w:bCs/>
          <w:color w:val="auto"/>
          <w:sz w:val="18"/>
          <w:szCs w:val="18"/>
          <w:lang w:bidi="ar"/>
        </w:rPr>
        <w:t>VIF values are dimensionless and are shown for all variables included in the total SOFA score models in Model C, including the SOFA score variable and adjustment variables. SOFA scores are measured in points. Units for continuous adjustment variables were as follows: age, years; white blood cell count, ×10⁹/L; hemoglobin, g/dL; blood glucose, mg/dL; and heart rate, beats/min. The final column presents the maximum VIF observed for each variable across all Model C models, including total and organ-specific SOFA score models. All VIF values were below 5, suggesting no evidence of serious multicollinearity.</w:t>
      </w:r>
    </w:p>
    <w:p w14:paraId="126EFE62">
      <w:pPr>
        <w:rPr>
          <w:rFonts w:ascii="Times New Roman" w:hAnsi="Times New Roman" w:eastAsia="宋体" w:cs="Times New Roman"/>
          <w:bCs/>
          <w:color w:val="auto"/>
          <w:sz w:val="18"/>
          <w:szCs w:val="18"/>
          <w:lang w:bidi="ar"/>
        </w:rPr>
      </w:pPr>
      <w:r>
        <w:rPr>
          <w:rFonts w:ascii="Times New Roman Bold" w:hAnsi="Times New Roman Bold" w:eastAsia="宋体" w:cs="Times New Roman Bold"/>
          <w:b/>
          <w:color w:val="auto"/>
          <w:szCs w:val="21"/>
          <w:lang w:bidi="ar"/>
        </w:rPr>
        <w:t>eTable 9. Multivariable logistic regression analysis of SOFA-1 and SOFA-2 scores</w:t>
      </w:r>
      <w:r>
        <w:rPr>
          <w:rFonts w:hint="eastAsia" w:ascii="Times New Roman Bold" w:hAnsi="Times New Roman Bold" w:eastAsia="宋体" w:cs="Times New Roman Bold"/>
          <w:b/>
          <w:color w:val="auto"/>
          <w:szCs w:val="21"/>
          <w:lang w:bidi="ar"/>
        </w:rPr>
        <w:t xml:space="preserve"> </w:t>
      </w:r>
      <w:r>
        <w:rPr>
          <w:rFonts w:ascii="Times New Roman Bold" w:hAnsi="Times New Roman Bold" w:eastAsia="宋体" w:cs="Times New Roman Bold"/>
          <w:b/>
          <w:color w:val="auto"/>
          <w:szCs w:val="21"/>
          <w:lang w:bidi="ar"/>
        </w:rPr>
        <w:t>for 28-day mortality</w:t>
      </w:r>
    </w:p>
    <w:tbl>
      <w:tblPr>
        <w:tblStyle w:val="17"/>
        <w:tblW w:w="4997"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70"/>
        <w:gridCol w:w="1770"/>
        <w:gridCol w:w="1770"/>
        <w:gridCol w:w="1771"/>
        <w:gridCol w:w="1771"/>
        <w:gridCol w:w="1771"/>
        <w:gridCol w:w="1771"/>
        <w:gridCol w:w="1771"/>
      </w:tblGrid>
      <w:tr w14:paraId="5DA3AC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blHeader/>
        </w:trPr>
        <w:tc>
          <w:tcPr>
            <w:tcW w:w="625" w:type="pct"/>
            <w:tcBorders>
              <w:bottom w:val="single" w:color="auto" w:sz="4" w:space="0"/>
            </w:tcBorders>
            <w:vAlign w:val="center"/>
          </w:tcPr>
          <w:p w14:paraId="4721A99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Cohort</w:t>
            </w:r>
          </w:p>
        </w:tc>
        <w:tc>
          <w:tcPr>
            <w:tcW w:w="625" w:type="pct"/>
            <w:tcBorders>
              <w:bottom w:val="single" w:color="auto" w:sz="4" w:space="0"/>
            </w:tcBorders>
            <w:vAlign w:val="center"/>
          </w:tcPr>
          <w:p w14:paraId="7174550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Model</w:t>
            </w:r>
          </w:p>
        </w:tc>
        <w:tc>
          <w:tcPr>
            <w:tcW w:w="625" w:type="pct"/>
            <w:tcBorders>
              <w:bottom w:val="single" w:color="auto" w:sz="4" w:space="0"/>
            </w:tcBorders>
            <w:vAlign w:val="center"/>
          </w:tcPr>
          <w:p w14:paraId="16EEF6D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Domain</w:t>
            </w:r>
          </w:p>
        </w:tc>
        <w:tc>
          <w:tcPr>
            <w:tcW w:w="625" w:type="pct"/>
            <w:tcBorders>
              <w:bottom w:val="single" w:color="auto" w:sz="4" w:space="0"/>
            </w:tcBorders>
            <w:vAlign w:val="center"/>
          </w:tcPr>
          <w:p w14:paraId="687F5A6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SOFA-1 OR (95% CI); P-value</w:t>
            </w:r>
          </w:p>
        </w:tc>
        <w:tc>
          <w:tcPr>
            <w:tcW w:w="625" w:type="pct"/>
            <w:tcBorders>
              <w:bottom w:val="single" w:color="auto" w:sz="4" w:space="0"/>
            </w:tcBorders>
            <w:vAlign w:val="center"/>
          </w:tcPr>
          <w:p w14:paraId="78BC479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SOFA-1 C-index (95% CI)</w:t>
            </w:r>
          </w:p>
        </w:tc>
        <w:tc>
          <w:tcPr>
            <w:tcW w:w="625" w:type="pct"/>
            <w:tcBorders>
              <w:bottom w:val="single" w:color="auto" w:sz="4" w:space="0"/>
            </w:tcBorders>
            <w:vAlign w:val="center"/>
          </w:tcPr>
          <w:p w14:paraId="6A1400D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SOFA-2 OR (95% CI); P-value</w:t>
            </w:r>
          </w:p>
        </w:tc>
        <w:tc>
          <w:tcPr>
            <w:tcW w:w="625" w:type="pct"/>
            <w:tcBorders>
              <w:bottom w:val="single" w:color="auto" w:sz="4" w:space="0"/>
            </w:tcBorders>
            <w:vAlign w:val="center"/>
          </w:tcPr>
          <w:p w14:paraId="1C720C5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color w:val="auto"/>
                <w:szCs w:val="21"/>
              </w:rPr>
              <w:t>SOFA-2 C-index (95% CI)</w:t>
            </w:r>
          </w:p>
        </w:tc>
        <w:tc>
          <w:tcPr>
            <w:tcW w:w="625" w:type="pct"/>
            <w:tcBorders>
              <w:bottom w:val="single" w:color="auto" w:sz="4" w:space="0"/>
            </w:tcBorders>
            <w:vAlign w:val="center"/>
          </w:tcPr>
          <w:p w14:paraId="5E50D26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b/>
                <w:i/>
                <w:iCs/>
                <w:color w:val="auto"/>
                <w:szCs w:val="21"/>
              </w:rPr>
              <w:t>P-value</w:t>
            </w:r>
            <w:r>
              <w:rPr>
                <w:rFonts w:ascii="Times New Roman Regular" w:hAnsi="Times New Roman Regular" w:eastAsia="Times New Roman" w:cs="Times New Roman Regular"/>
                <w:b/>
                <w:color w:val="auto"/>
                <w:szCs w:val="21"/>
              </w:rPr>
              <w:t xml:space="preserve"> for C-index comparison</w:t>
            </w:r>
          </w:p>
        </w:tc>
      </w:tr>
      <w:tr w14:paraId="24E013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tcBorders>
              <w:top w:val="single" w:color="auto" w:sz="4" w:space="0"/>
            </w:tcBorders>
            <w:vAlign w:val="center"/>
          </w:tcPr>
          <w:p w14:paraId="6B1CAAF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tcBorders>
              <w:top w:val="single" w:color="auto" w:sz="4" w:space="0"/>
            </w:tcBorders>
            <w:vAlign w:val="center"/>
          </w:tcPr>
          <w:p w14:paraId="45D7E67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tcBorders>
              <w:top w:val="single" w:color="auto" w:sz="4" w:space="0"/>
            </w:tcBorders>
            <w:vAlign w:val="center"/>
          </w:tcPr>
          <w:p w14:paraId="06B0BB7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tcBorders>
              <w:top w:val="single" w:color="auto" w:sz="4" w:space="0"/>
            </w:tcBorders>
            <w:vAlign w:val="center"/>
          </w:tcPr>
          <w:p w14:paraId="4513CCF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1.20 (1.19-1.22); &lt;0.001</w:t>
            </w:r>
          </w:p>
        </w:tc>
        <w:tc>
          <w:tcPr>
            <w:tcW w:w="625" w:type="pct"/>
            <w:tcBorders>
              <w:top w:val="single" w:color="auto" w:sz="4" w:space="0"/>
            </w:tcBorders>
            <w:vAlign w:val="center"/>
          </w:tcPr>
          <w:p w14:paraId="23AA332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0.651 (0.642-0.661)</w:t>
            </w:r>
          </w:p>
        </w:tc>
        <w:tc>
          <w:tcPr>
            <w:tcW w:w="625" w:type="pct"/>
            <w:tcBorders>
              <w:top w:val="single" w:color="auto" w:sz="4" w:space="0"/>
            </w:tcBorders>
            <w:vAlign w:val="center"/>
          </w:tcPr>
          <w:p w14:paraId="53797E2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1.23 (1.22-1.24); &lt;0.001</w:t>
            </w:r>
          </w:p>
        </w:tc>
        <w:tc>
          <w:tcPr>
            <w:tcW w:w="625" w:type="pct"/>
            <w:tcBorders>
              <w:top w:val="single" w:color="auto" w:sz="4" w:space="0"/>
            </w:tcBorders>
            <w:vAlign w:val="center"/>
          </w:tcPr>
          <w:p w14:paraId="76E9FC0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0.674 (0.665-0.683)</w:t>
            </w:r>
          </w:p>
        </w:tc>
        <w:tc>
          <w:tcPr>
            <w:tcW w:w="625" w:type="pct"/>
            <w:tcBorders>
              <w:top w:val="single" w:color="auto" w:sz="4" w:space="0"/>
            </w:tcBorders>
            <w:vAlign w:val="center"/>
          </w:tcPr>
          <w:p w14:paraId="0976928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60762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36428E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74826E8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4AD6080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0FFDF09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1.11 (1.08-1.14); &lt;0.001</w:t>
            </w:r>
          </w:p>
        </w:tc>
        <w:tc>
          <w:tcPr>
            <w:tcW w:w="625" w:type="pct"/>
            <w:vAlign w:val="center"/>
          </w:tcPr>
          <w:p w14:paraId="1C03D61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0.527 (0.518-0.536)</w:t>
            </w:r>
          </w:p>
        </w:tc>
        <w:tc>
          <w:tcPr>
            <w:tcW w:w="625" w:type="pct"/>
            <w:vAlign w:val="center"/>
          </w:tcPr>
          <w:p w14:paraId="5A38957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1.36 (1.33-1.39); &lt;0.001</w:t>
            </w:r>
          </w:p>
        </w:tc>
        <w:tc>
          <w:tcPr>
            <w:tcW w:w="625" w:type="pct"/>
            <w:vAlign w:val="center"/>
          </w:tcPr>
          <w:p w14:paraId="47CA7B5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0.604 (0.595-0.614)</w:t>
            </w:r>
          </w:p>
        </w:tc>
        <w:tc>
          <w:tcPr>
            <w:tcW w:w="625" w:type="pct"/>
            <w:vAlign w:val="center"/>
          </w:tcPr>
          <w:p w14:paraId="3DEA067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51DE1A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7461069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4947ED0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675E367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245D0B5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1.17 (1.13-1.22); &lt;0.001</w:t>
            </w:r>
          </w:p>
        </w:tc>
        <w:tc>
          <w:tcPr>
            <w:tcW w:w="625" w:type="pct"/>
            <w:vAlign w:val="center"/>
          </w:tcPr>
          <w:p w14:paraId="2087D4D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0.509 (0.500-0.518)</w:t>
            </w:r>
          </w:p>
        </w:tc>
        <w:tc>
          <w:tcPr>
            <w:tcW w:w="625" w:type="pct"/>
            <w:vAlign w:val="center"/>
          </w:tcPr>
          <w:p w14:paraId="15FD926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1.17 (1.14-1.21); &lt;0.001</w:t>
            </w:r>
          </w:p>
        </w:tc>
        <w:tc>
          <w:tcPr>
            <w:tcW w:w="625" w:type="pct"/>
            <w:vAlign w:val="center"/>
          </w:tcPr>
          <w:p w14:paraId="3BE63FC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0.512 (0.503-0.521)</w:t>
            </w:r>
          </w:p>
        </w:tc>
        <w:tc>
          <w:tcPr>
            <w:tcW w:w="625" w:type="pct"/>
            <w:vAlign w:val="center"/>
          </w:tcPr>
          <w:p w14:paraId="0B297E4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0.004</w:t>
            </w:r>
          </w:p>
        </w:tc>
      </w:tr>
      <w:tr w14:paraId="21B054D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09CF72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30C319A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47BB8D6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012DA18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1.65 (1.58-1.72); &lt;0.001</w:t>
            </w:r>
          </w:p>
        </w:tc>
        <w:tc>
          <w:tcPr>
            <w:tcW w:w="625" w:type="pct"/>
            <w:vAlign w:val="center"/>
          </w:tcPr>
          <w:p w14:paraId="4E9ABFD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0.565 (0.558-0.571)</w:t>
            </w:r>
          </w:p>
        </w:tc>
        <w:tc>
          <w:tcPr>
            <w:tcW w:w="625" w:type="pct"/>
            <w:vAlign w:val="center"/>
          </w:tcPr>
          <w:p w14:paraId="21BD6D8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1.69 (1.61-1.77); &lt;0.001</w:t>
            </w:r>
          </w:p>
        </w:tc>
        <w:tc>
          <w:tcPr>
            <w:tcW w:w="625" w:type="pct"/>
            <w:vAlign w:val="center"/>
          </w:tcPr>
          <w:p w14:paraId="7B1E8BC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0.562 (0.555-0.568)</w:t>
            </w:r>
          </w:p>
        </w:tc>
        <w:tc>
          <w:tcPr>
            <w:tcW w:w="625" w:type="pct"/>
            <w:vAlign w:val="center"/>
          </w:tcPr>
          <w:p w14:paraId="5DE47D8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0.037</w:t>
            </w:r>
          </w:p>
        </w:tc>
      </w:tr>
      <w:tr w14:paraId="4DBE47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04B2DFA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5D3A913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2AE291E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5103FBF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1.38 (1.35-1.42); &lt;0.001</w:t>
            </w:r>
          </w:p>
        </w:tc>
        <w:tc>
          <w:tcPr>
            <w:tcW w:w="625" w:type="pct"/>
            <w:vAlign w:val="center"/>
          </w:tcPr>
          <w:p w14:paraId="20E73E8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0.584 (0.576-0.593)</w:t>
            </w:r>
          </w:p>
        </w:tc>
        <w:tc>
          <w:tcPr>
            <w:tcW w:w="625" w:type="pct"/>
            <w:vAlign w:val="center"/>
          </w:tcPr>
          <w:p w14:paraId="62559EA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1.37 (1.33-1.41); &lt;0.001</w:t>
            </w:r>
          </w:p>
        </w:tc>
        <w:tc>
          <w:tcPr>
            <w:tcW w:w="625" w:type="pct"/>
            <w:vAlign w:val="center"/>
          </w:tcPr>
          <w:p w14:paraId="09B5151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0.566 (0.557-0.575)</w:t>
            </w:r>
          </w:p>
        </w:tc>
        <w:tc>
          <w:tcPr>
            <w:tcW w:w="625" w:type="pct"/>
            <w:vAlign w:val="center"/>
          </w:tcPr>
          <w:p w14:paraId="02F6B65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77BAE9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17C9EB2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384FB02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6425B8B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162BF13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1.27 (1.24-1.30); &lt;0.001</w:t>
            </w:r>
          </w:p>
        </w:tc>
        <w:tc>
          <w:tcPr>
            <w:tcW w:w="625" w:type="pct"/>
            <w:vAlign w:val="center"/>
          </w:tcPr>
          <w:p w14:paraId="2ED18F5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0.559 (0.550-0.568)</w:t>
            </w:r>
          </w:p>
        </w:tc>
        <w:tc>
          <w:tcPr>
            <w:tcW w:w="625" w:type="pct"/>
            <w:vAlign w:val="center"/>
          </w:tcPr>
          <w:p w14:paraId="3873E31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1.26 (1.23-1.30); &lt;0.001</w:t>
            </w:r>
          </w:p>
        </w:tc>
        <w:tc>
          <w:tcPr>
            <w:tcW w:w="625" w:type="pct"/>
            <w:vAlign w:val="center"/>
          </w:tcPr>
          <w:p w14:paraId="50DB492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0.554 (0.545-0.563)</w:t>
            </w:r>
          </w:p>
        </w:tc>
        <w:tc>
          <w:tcPr>
            <w:tcW w:w="625" w:type="pct"/>
            <w:vAlign w:val="center"/>
          </w:tcPr>
          <w:p w14:paraId="0791998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0.003</w:t>
            </w:r>
          </w:p>
        </w:tc>
      </w:tr>
      <w:tr w14:paraId="44759A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892C14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110D548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Unadjusted</w:t>
            </w:r>
          </w:p>
        </w:tc>
        <w:tc>
          <w:tcPr>
            <w:tcW w:w="625" w:type="pct"/>
            <w:vAlign w:val="center"/>
          </w:tcPr>
          <w:p w14:paraId="476F839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1C17666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1.52 (1.48-1.56); &lt;0.001</w:t>
            </w:r>
          </w:p>
        </w:tc>
        <w:tc>
          <w:tcPr>
            <w:tcW w:w="625" w:type="pct"/>
            <w:vAlign w:val="center"/>
          </w:tcPr>
          <w:p w14:paraId="48C092F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0.630 (0.621-0.639)</w:t>
            </w:r>
          </w:p>
        </w:tc>
        <w:tc>
          <w:tcPr>
            <w:tcW w:w="625" w:type="pct"/>
            <w:vAlign w:val="center"/>
          </w:tcPr>
          <w:p w14:paraId="1ED3499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1.55 (1.51-1.60); &lt;0.001</w:t>
            </w:r>
          </w:p>
        </w:tc>
        <w:tc>
          <w:tcPr>
            <w:tcW w:w="625" w:type="pct"/>
            <w:vAlign w:val="center"/>
          </w:tcPr>
          <w:p w14:paraId="2ABA748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0.631 (0.622-0.640)</w:t>
            </w:r>
          </w:p>
        </w:tc>
        <w:tc>
          <w:tcPr>
            <w:tcW w:w="625" w:type="pct"/>
            <w:vAlign w:val="center"/>
          </w:tcPr>
          <w:p w14:paraId="4E16317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0.776</w:t>
            </w:r>
          </w:p>
        </w:tc>
      </w:tr>
      <w:tr w14:paraId="663340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EBB818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2A6568C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0F720FB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vAlign w:val="center"/>
          </w:tcPr>
          <w:p w14:paraId="25D0818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1.22 (1.20-1.23); &lt;0.001</w:t>
            </w:r>
          </w:p>
        </w:tc>
        <w:tc>
          <w:tcPr>
            <w:tcW w:w="625" w:type="pct"/>
            <w:vAlign w:val="center"/>
          </w:tcPr>
          <w:p w14:paraId="4B068A9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0.686 (0.677-0.695)</w:t>
            </w:r>
          </w:p>
        </w:tc>
        <w:tc>
          <w:tcPr>
            <w:tcW w:w="625" w:type="pct"/>
            <w:vAlign w:val="center"/>
          </w:tcPr>
          <w:p w14:paraId="54FF753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1.24 (1.23-1.25); &lt;0.001</w:t>
            </w:r>
          </w:p>
        </w:tc>
        <w:tc>
          <w:tcPr>
            <w:tcW w:w="625" w:type="pct"/>
            <w:vAlign w:val="center"/>
          </w:tcPr>
          <w:p w14:paraId="67404E7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0.705 (0.696-0.714)</w:t>
            </w:r>
          </w:p>
        </w:tc>
        <w:tc>
          <w:tcPr>
            <w:tcW w:w="625" w:type="pct"/>
            <w:vAlign w:val="center"/>
          </w:tcPr>
          <w:p w14:paraId="2910024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01F34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7337E8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6D8B021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08DC643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09FDFBA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1.15 (1.12-1.18); &lt;0.001</w:t>
            </w:r>
          </w:p>
        </w:tc>
        <w:tc>
          <w:tcPr>
            <w:tcW w:w="625" w:type="pct"/>
            <w:vAlign w:val="center"/>
          </w:tcPr>
          <w:p w14:paraId="6FAD30A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0.604 (0.595-0.614)</w:t>
            </w:r>
          </w:p>
        </w:tc>
        <w:tc>
          <w:tcPr>
            <w:tcW w:w="625" w:type="pct"/>
            <w:vAlign w:val="center"/>
          </w:tcPr>
          <w:p w14:paraId="62306CD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1.39 (1.36-1.42); &lt;0.001</w:t>
            </w:r>
          </w:p>
        </w:tc>
        <w:tc>
          <w:tcPr>
            <w:tcW w:w="625" w:type="pct"/>
            <w:vAlign w:val="center"/>
          </w:tcPr>
          <w:p w14:paraId="76CBEC1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0.654 (0.645-0.663)</w:t>
            </w:r>
          </w:p>
        </w:tc>
        <w:tc>
          <w:tcPr>
            <w:tcW w:w="625" w:type="pct"/>
            <w:vAlign w:val="center"/>
          </w:tcPr>
          <w:p w14:paraId="082CF77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F0640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0834A88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6731975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7488823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33F8FB2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1.20 (1.15-1.25); &lt;0.001</w:t>
            </w:r>
          </w:p>
        </w:tc>
        <w:tc>
          <w:tcPr>
            <w:tcW w:w="625" w:type="pct"/>
            <w:vAlign w:val="center"/>
          </w:tcPr>
          <w:p w14:paraId="71C812C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0.603 (0.594-0.612)</w:t>
            </w:r>
          </w:p>
        </w:tc>
        <w:tc>
          <w:tcPr>
            <w:tcW w:w="625" w:type="pct"/>
            <w:vAlign w:val="center"/>
          </w:tcPr>
          <w:p w14:paraId="2384858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1.19 (1.15-1.23); &lt;0.001</w:t>
            </w:r>
          </w:p>
        </w:tc>
        <w:tc>
          <w:tcPr>
            <w:tcW w:w="625" w:type="pct"/>
            <w:vAlign w:val="center"/>
          </w:tcPr>
          <w:p w14:paraId="2E0358F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0.606 (0.597-0.616)</w:t>
            </w:r>
          </w:p>
        </w:tc>
        <w:tc>
          <w:tcPr>
            <w:tcW w:w="625" w:type="pct"/>
            <w:vAlign w:val="center"/>
          </w:tcPr>
          <w:p w14:paraId="5179F70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5DDED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3DD6E62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7847B6B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723A4B5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416880E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1.71 (1.64-1.78); &lt;0.001</w:t>
            </w:r>
          </w:p>
        </w:tc>
        <w:tc>
          <w:tcPr>
            <w:tcW w:w="625" w:type="pct"/>
            <w:vAlign w:val="center"/>
          </w:tcPr>
          <w:p w14:paraId="6125D7F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0.645 (0.636-0.654)</w:t>
            </w:r>
          </w:p>
        </w:tc>
        <w:tc>
          <w:tcPr>
            <w:tcW w:w="625" w:type="pct"/>
            <w:vAlign w:val="center"/>
          </w:tcPr>
          <w:p w14:paraId="03DBD5F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1.75 (1.67-1.84); &lt;0.001</w:t>
            </w:r>
          </w:p>
        </w:tc>
        <w:tc>
          <w:tcPr>
            <w:tcW w:w="625" w:type="pct"/>
            <w:vAlign w:val="center"/>
          </w:tcPr>
          <w:p w14:paraId="23ACEC8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0.642 (0.633-0.652)</w:t>
            </w:r>
          </w:p>
        </w:tc>
        <w:tc>
          <w:tcPr>
            <w:tcW w:w="625" w:type="pct"/>
            <w:vAlign w:val="center"/>
          </w:tcPr>
          <w:p w14:paraId="3BFBCC6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0.040</w:t>
            </w:r>
          </w:p>
        </w:tc>
      </w:tr>
      <w:tr w14:paraId="6ECAAA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DF1FB4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774198B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2A8BF70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568F8B1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1.39 (1.35-1.42); &lt;0.001</w:t>
            </w:r>
          </w:p>
        </w:tc>
        <w:tc>
          <w:tcPr>
            <w:tcW w:w="625" w:type="pct"/>
            <w:vAlign w:val="center"/>
          </w:tcPr>
          <w:p w14:paraId="5BD81E9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0.640 (0.631-0.649)</w:t>
            </w:r>
          </w:p>
        </w:tc>
        <w:tc>
          <w:tcPr>
            <w:tcW w:w="625" w:type="pct"/>
            <w:vAlign w:val="center"/>
          </w:tcPr>
          <w:p w14:paraId="0D1A5EE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1.38 (1.34-1.42); &lt;0.001</w:t>
            </w:r>
          </w:p>
        </w:tc>
        <w:tc>
          <w:tcPr>
            <w:tcW w:w="625" w:type="pct"/>
            <w:vAlign w:val="center"/>
          </w:tcPr>
          <w:p w14:paraId="47B7617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0.626 (0.617-0.636)</w:t>
            </w:r>
          </w:p>
        </w:tc>
        <w:tc>
          <w:tcPr>
            <w:tcW w:w="625" w:type="pct"/>
            <w:vAlign w:val="center"/>
          </w:tcPr>
          <w:p w14:paraId="6121F54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1133795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FF0AD2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7F2FEC1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6C81F5D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50C21DB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1.25 (1.22-1.29); &lt;0.001</w:t>
            </w:r>
          </w:p>
        </w:tc>
        <w:tc>
          <w:tcPr>
            <w:tcW w:w="625" w:type="pct"/>
            <w:vAlign w:val="center"/>
          </w:tcPr>
          <w:p w14:paraId="41F9D34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0.614 (0.604-0.623)</w:t>
            </w:r>
          </w:p>
        </w:tc>
        <w:tc>
          <w:tcPr>
            <w:tcW w:w="625" w:type="pct"/>
            <w:vAlign w:val="center"/>
          </w:tcPr>
          <w:p w14:paraId="282A818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1.25 (1.21-1.29); &lt;0.001</w:t>
            </w:r>
          </w:p>
        </w:tc>
        <w:tc>
          <w:tcPr>
            <w:tcW w:w="625" w:type="pct"/>
            <w:vAlign w:val="center"/>
          </w:tcPr>
          <w:p w14:paraId="01B7661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0.611 (0.602-0.621)</w:t>
            </w:r>
          </w:p>
        </w:tc>
        <w:tc>
          <w:tcPr>
            <w:tcW w:w="625" w:type="pct"/>
            <w:vAlign w:val="center"/>
          </w:tcPr>
          <w:p w14:paraId="73D36E1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0.004</w:t>
            </w:r>
          </w:p>
        </w:tc>
      </w:tr>
      <w:tr w14:paraId="726CC8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7EC301A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1A2357F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A</w:t>
            </w:r>
          </w:p>
        </w:tc>
        <w:tc>
          <w:tcPr>
            <w:tcW w:w="625" w:type="pct"/>
            <w:vAlign w:val="center"/>
          </w:tcPr>
          <w:p w14:paraId="58F2283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5CFED55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1.53 (1.49-1.57); &lt;0.001</w:t>
            </w:r>
          </w:p>
        </w:tc>
        <w:tc>
          <w:tcPr>
            <w:tcW w:w="625" w:type="pct"/>
            <w:vAlign w:val="center"/>
          </w:tcPr>
          <w:p w14:paraId="374B96B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0.668 (0.659-0.677)</w:t>
            </w:r>
          </w:p>
        </w:tc>
        <w:tc>
          <w:tcPr>
            <w:tcW w:w="625" w:type="pct"/>
            <w:vAlign w:val="center"/>
          </w:tcPr>
          <w:p w14:paraId="69E1CD1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1.57 (1.53-1.62); &lt;0.001</w:t>
            </w:r>
          </w:p>
        </w:tc>
        <w:tc>
          <w:tcPr>
            <w:tcW w:w="625" w:type="pct"/>
            <w:vAlign w:val="center"/>
          </w:tcPr>
          <w:p w14:paraId="1685A05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0.667 (0.658-0.676)</w:t>
            </w:r>
          </w:p>
        </w:tc>
        <w:tc>
          <w:tcPr>
            <w:tcW w:w="625" w:type="pct"/>
            <w:vAlign w:val="center"/>
          </w:tcPr>
          <w:p w14:paraId="1F64A07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0.525</w:t>
            </w:r>
          </w:p>
        </w:tc>
      </w:tr>
      <w:tr w14:paraId="6110A1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26501D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080380F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0977A65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vAlign w:val="center"/>
          </w:tcPr>
          <w:p w14:paraId="4E349E2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1.18 (1.16-1.19); &lt;0.001</w:t>
            </w:r>
          </w:p>
        </w:tc>
        <w:tc>
          <w:tcPr>
            <w:tcW w:w="625" w:type="pct"/>
            <w:vAlign w:val="center"/>
          </w:tcPr>
          <w:p w14:paraId="53A3725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0.763 (0.755-0.771)</w:t>
            </w:r>
          </w:p>
        </w:tc>
        <w:tc>
          <w:tcPr>
            <w:tcW w:w="625" w:type="pct"/>
            <w:vAlign w:val="center"/>
          </w:tcPr>
          <w:p w14:paraId="4066545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1.21 (1.19-1.22); &lt;0.001</w:t>
            </w:r>
          </w:p>
        </w:tc>
        <w:tc>
          <w:tcPr>
            <w:tcW w:w="625" w:type="pct"/>
            <w:vAlign w:val="center"/>
          </w:tcPr>
          <w:p w14:paraId="30BE543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0.774 (0.766-0.781)</w:t>
            </w:r>
          </w:p>
        </w:tc>
        <w:tc>
          <w:tcPr>
            <w:tcW w:w="625" w:type="pct"/>
            <w:vAlign w:val="center"/>
          </w:tcPr>
          <w:p w14:paraId="10B0935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50B3A4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60FCCB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372D6AF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646C469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28DCDAA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1.20 (1.17-1.24); &lt;0.001</w:t>
            </w:r>
          </w:p>
        </w:tc>
        <w:tc>
          <w:tcPr>
            <w:tcW w:w="625" w:type="pct"/>
            <w:vAlign w:val="center"/>
          </w:tcPr>
          <w:p w14:paraId="3BBE3E8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0.745 (0.737-0.753)</w:t>
            </w:r>
          </w:p>
        </w:tc>
        <w:tc>
          <w:tcPr>
            <w:tcW w:w="625" w:type="pct"/>
            <w:vAlign w:val="center"/>
          </w:tcPr>
          <w:p w14:paraId="0C71511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1.37 (1.34-1.41); &lt;0.001</w:t>
            </w:r>
          </w:p>
        </w:tc>
        <w:tc>
          <w:tcPr>
            <w:tcW w:w="625" w:type="pct"/>
            <w:vAlign w:val="center"/>
          </w:tcPr>
          <w:p w14:paraId="7240412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0.764 (0.756-0.771)</w:t>
            </w:r>
          </w:p>
        </w:tc>
        <w:tc>
          <w:tcPr>
            <w:tcW w:w="625" w:type="pct"/>
            <w:vAlign w:val="center"/>
          </w:tcPr>
          <w:p w14:paraId="2610940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4E528F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7AC804B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666AE16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2D55704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41C0268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1.10 (1.05-1.14); &lt;0.001</w:t>
            </w:r>
          </w:p>
        </w:tc>
        <w:tc>
          <w:tcPr>
            <w:tcW w:w="625" w:type="pct"/>
            <w:vAlign w:val="center"/>
          </w:tcPr>
          <w:p w14:paraId="0394179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0.739 (0.731-0.748)</w:t>
            </w:r>
          </w:p>
        </w:tc>
        <w:tc>
          <w:tcPr>
            <w:tcW w:w="625" w:type="pct"/>
            <w:vAlign w:val="center"/>
          </w:tcPr>
          <w:p w14:paraId="6359B4F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1.10 (1.07-1.14); &lt;0.001</w:t>
            </w:r>
          </w:p>
        </w:tc>
        <w:tc>
          <w:tcPr>
            <w:tcW w:w="625" w:type="pct"/>
            <w:vAlign w:val="center"/>
          </w:tcPr>
          <w:p w14:paraId="037FB7D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0.740 (0.732-0.748)</w:t>
            </w:r>
          </w:p>
        </w:tc>
        <w:tc>
          <w:tcPr>
            <w:tcW w:w="625" w:type="pct"/>
            <w:vAlign w:val="center"/>
          </w:tcPr>
          <w:p w14:paraId="55BCFD6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0.027</w:t>
            </w:r>
          </w:p>
        </w:tc>
      </w:tr>
      <w:tr w14:paraId="7B62B8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5056BEC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2AE14CA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2047832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727E739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1.34 (1.28-1.41); &lt;0.001</w:t>
            </w:r>
          </w:p>
        </w:tc>
        <w:tc>
          <w:tcPr>
            <w:tcW w:w="625" w:type="pct"/>
            <w:vAlign w:val="center"/>
          </w:tcPr>
          <w:p w14:paraId="782613B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0.745 (0.737-0.753)</w:t>
            </w:r>
          </w:p>
        </w:tc>
        <w:tc>
          <w:tcPr>
            <w:tcW w:w="625" w:type="pct"/>
            <w:vAlign w:val="center"/>
          </w:tcPr>
          <w:p w14:paraId="67CF50F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1.35 (1.28-1.42); &lt;0.001</w:t>
            </w:r>
          </w:p>
        </w:tc>
        <w:tc>
          <w:tcPr>
            <w:tcW w:w="625" w:type="pct"/>
            <w:vAlign w:val="center"/>
          </w:tcPr>
          <w:p w14:paraId="1762B6F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0.744 (0.736-0.752)</w:t>
            </w:r>
          </w:p>
        </w:tc>
        <w:tc>
          <w:tcPr>
            <w:tcW w:w="625" w:type="pct"/>
            <w:vAlign w:val="center"/>
          </w:tcPr>
          <w:p w14:paraId="4112701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0.026</w:t>
            </w:r>
          </w:p>
        </w:tc>
      </w:tr>
      <w:tr w14:paraId="7864B4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1551107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61F260C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2A76A1A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24257AB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1.24 (1.21-1.28); &lt;0.001</w:t>
            </w:r>
          </w:p>
        </w:tc>
        <w:tc>
          <w:tcPr>
            <w:tcW w:w="625" w:type="pct"/>
            <w:vAlign w:val="center"/>
          </w:tcPr>
          <w:p w14:paraId="4CE069A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0.749 (0.741-0.757)</w:t>
            </w:r>
          </w:p>
        </w:tc>
        <w:tc>
          <w:tcPr>
            <w:tcW w:w="625" w:type="pct"/>
            <w:vAlign w:val="center"/>
          </w:tcPr>
          <w:p w14:paraId="58433DC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1.28 (1.24-1.32); &lt;0.001</w:t>
            </w:r>
          </w:p>
        </w:tc>
        <w:tc>
          <w:tcPr>
            <w:tcW w:w="625" w:type="pct"/>
            <w:vAlign w:val="center"/>
          </w:tcPr>
          <w:p w14:paraId="26A702D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0.747 (0.739-0.755)</w:t>
            </w:r>
          </w:p>
        </w:tc>
        <w:tc>
          <w:tcPr>
            <w:tcW w:w="625" w:type="pct"/>
            <w:vAlign w:val="center"/>
          </w:tcPr>
          <w:p w14:paraId="7025E23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0.015</w:t>
            </w:r>
          </w:p>
        </w:tc>
      </w:tr>
      <w:tr w14:paraId="4F4906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A6495C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0FD3D87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4D24959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0F8B907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1.24 (1.21-1.28); &lt;0.001</w:t>
            </w:r>
          </w:p>
        </w:tc>
        <w:tc>
          <w:tcPr>
            <w:tcW w:w="625" w:type="pct"/>
            <w:vAlign w:val="center"/>
          </w:tcPr>
          <w:p w14:paraId="7831A0B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0.745 (0.737-0.753)</w:t>
            </w:r>
          </w:p>
        </w:tc>
        <w:tc>
          <w:tcPr>
            <w:tcW w:w="625" w:type="pct"/>
            <w:vAlign w:val="center"/>
          </w:tcPr>
          <w:p w14:paraId="22F02A0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1.25 (1.21-1.29); &lt;0.001</w:t>
            </w:r>
          </w:p>
        </w:tc>
        <w:tc>
          <w:tcPr>
            <w:tcW w:w="625" w:type="pct"/>
            <w:vAlign w:val="center"/>
          </w:tcPr>
          <w:p w14:paraId="728957B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0.745 (0.737-0.753)</w:t>
            </w:r>
          </w:p>
        </w:tc>
        <w:tc>
          <w:tcPr>
            <w:tcW w:w="625" w:type="pct"/>
            <w:vAlign w:val="center"/>
          </w:tcPr>
          <w:p w14:paraId="19F7B78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0.196</w:t>
            </w:r>
          </w:p>
        </w:tc>
      </w:tr>
      <w:tr w14:paraId="53A129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3F99556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786E39B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B</w:t>
            </w:r>
          </w:p>
        </w:tc>
        <w:tc>
          <w:tcPr>
            <w:tcW w:w="625" w:type="pct"/>
            <w:vAlign w:val="center"/>
          </w:tcPr>
          <w:p w14:paraId="37A81D0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476DAA2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1.46 (1.41-1.51); &lt;0.001</w:t>
            </w:r>
          </w:p>
        </w:tc>
        <w:tc>
          <w:tcPr>
            <w:tcW w:w="625" w:type="pct"/>
            <w:vAlign w:val="center"/>
          </w:tcPr>
          <w:p w14:paraId="552628A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0.756 (0.749-0.764)</w:t>
            </w:r>
          </w:p>
        </w:tc>
        <w:tc>
          <w:tcPr>
            <w:tcW w:w="625" w:type="pct"/>
            <w:vAlign w:val="center"/>
          </w:tcPr>
          <w:p w14:paraId="33F2AA9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1.51 (1.45-1.56); &lt;0.001</w:t>
            </w:r>
          </w:p>
        </w:tc>
        <w:tc>
          <w:tcPr>
            <w:tcW w:w="625" w:type="pct"/>
            <w:vAlign w:val="center"/>
          </w:tcPr>
          <w:p w14:paraId="7F8762D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0.757 (0.749-0.764)</w:t>
            </w:r>
          </w:p>
        </w:tc>
        <w:tc>
          <w:tcPr>
            <w:tcW w:w="625" w:type="pct"/>
            <w:vAlign w:val="center"/>
          </w:tcPr>
          <w:p w14:paraId="07E7688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0.863</w:t>
            </w:r>
          </w:p>
        </w:tc>
      </w:tr>
      <w:tr w14:paraId="5A2CD3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8B0D22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627B1AB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27BD356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Total</w:t>
            </w:r>
          </w:p>
        </w:tc>
        <w:tc>
          <w:tcPr>
            <w:tcW w:w="625" w:type="pct"/>
            <w:vAlign w:val="center"/>
          </w:tcPr>
          <w:p w14:paraId="20B57B9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1.18 (1.16-1.19); &lt;0.001</w:t>
            </w:r>
          </w:p>
        </w:tc>
        <w:tc>
          <w:tcPr>
            <w:tcW w:w="625" w:type="pct"/>
            <w:vAlign w:val="center"/>
          </w:tcPr>
          <w:p w14:paraId="6D542AC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0.777 (0.770-0.785)</w:t>
            </w:r>
          </w:p>
        </w:tc>
        <w:tc>
          <w:tcPr>
            <w:tcW w:w="625" w:type="pct"/>
            <w:vAlign w:val="center"/>
          </w:tcPr>
          <w:p w14:paraId="50F9C79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1.21 (1.20-1.23); &lt;0.001</w:t>
            </w:r>
          </w:p>
        </w:tc>
        <w:tc>
          <w:tcPr>
            <w:tcW w:w="625" w:type="pct"/>
            <w:vAlign w:val="center"/>
          </w:tcPr>
          <w:p w14:paraId="196BE29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0.787 (0.779-0.794)</w:t>
            </w:r>
          </w:p>
        </w:tc>
        <w:tc>
          <w:tcPr>
            <w:tcW w:w="625" w:type="pct"/>
            <w:vAlign w:val="center"/>
          </w:tcPr>
          <w:p w14:paraId="5ADFE3A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009EAC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04CB4B0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0608E3F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1E1D5D1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Respiratory</w:t>
            </w:r>
          </w:p>
        </w:tc>
        <w:tc>
          <w:tcPr>
            <w:tcW w:w="625" w:type="pct"/>
            <w:vAlign w:val="center"/>
          </w:tcPr>
          <w:p w14:paraId="6788C1D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1.18 (1.15-1.22); &lt;0.001</w:t>
            </w:r>
          </w:p>
        </w:tc>
        <w:tc>
          <w:tcPr>
            <w:tcW w:w="625" w:type="pct"/>
            <w:vAlign w:val="center"/>
          </w:tcPr>
          <w:p w14:paraId="048280A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0.762 (0.754-0.769)</w:t>
            </w:r>
          </w:p>
        </w:tc>
        <w:tc>
          <w:tcPr>
            <w:tcW w:w="625" w:type="pct"/>
            <w:vAlign w:val="center"/>
          </w:tcPr>
          <w:p w14:paraId="1D8E24B7">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1.35 (1.32-1.38); &lt;0.001</w:t>
            </w:r>
          </w:p>
        </w:tc>
        <w:tc>
          <w:tcPr>
            <w:tcW w:w="625" w:type="pct"/>
            <w:vAlign w:val="center"/>
          </w:tcPr>
          <w:p w14:paraId="71235419">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0.776 (0.769-0.784)</w:t>
            </w:r>
          </w:p>
        </w:tc>
        <w:tc>
          <w:tcPr>
            <w:tcW w:w="625" w:type="pct"/>
            <w:vAlign w:val="center"/>
          </w:tcPr>
          <w:p w14:paraId="735E383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&lt;0.001</w:t>
            </w:r>
          </w:p>
        </w:tc>
      </w:tr>
      <w:tr w14:paraId="6C7343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6248EE5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22EB7FC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3F91DF3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Hemostasis</w:t>
            </w:r>
          </w:p>
        </w:tc>
        <w:tc>
          <w:tcPr>
            <w:tcW w:w="625" w:type="pct"/>
            <w:vAlign w:val="center"/>
          </w:tcPr>
          <w:p w14:paraId="5A2E213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1.11 (1.06-1.15); &lt;0.001</w:t>
            </w:r>
          </w:p>
        </w:tc>
        <w:tc>
          <w:tcPr>
            <w:tcW w:w="625" w:type="pct"/>
            <w:vAlign w:val="center"/>
          </w:tcPr>
          <w:p w14:paraId="36BD3710">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0.760 (0.752-0.767)</w:t>
            </w:r>
          </w:p>
        </w:tc>
        <w:tc>
          <w:tcPr>
            <w:tcW w:w="625" w:type="pct"/>
            <w:vAlign w:val="center"/>
          </w:tcPr>
          <w:p w14:paraId="13F632D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1.11 (1.07-1.15); &lt;0.001</w:t>
            </w:r>
          </w:p>
        </w:tc>
        <w:tc>
          <w:tcPr>
            <w:tcW w:w="625" w:type="pct"/>
            <w:vAlign w:val="center"/>
          </w:tcPr>
          <w:p w14:paraId="6709F7C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0.760 (0.752-0.768)</w:t>
            </w:r>
          </w:p>
        </w:tc>
        <w:tc>
          <w:tcPr>
            <w:tcW w:w="625" w:type="pct"/>
            <w:vAlign w:val="center"/>
          </w:tcPr>
          <w:p w14:paraId="0473E05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0.019</w:t>
            </w:r>
          </w:p>
        </w:tc>
      </w:tr>
      <w:tr w14:paraId="40EC80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1CFBE3AA">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0659B76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3ADE425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Liver</w:t>
            </w:r>
          </w:p>
        </w:tc>
        <w:tc>
          <w:tcPr>
            <w:tcW w:w="625" w:type="pct"/>
            <w:vAlign w:val="center"/>
          </w:tcPr>
          <w:p w14:paraId="7BA4AFF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1.34 (1.28-1.41); &lt;0.001</w:t>
            </w:r>
          </w:p>
        </w:tc>
        <w:tc>
          <w:tcPr>
            <w:tcW w:w="625" w:type="pct"/>
            <w:vAlign w:val="center"/>
          </w:tcPr>
          <w:p w14:paraId="780084A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0.764 (0.756-0.771)</w:t>
            </w:r>
          </w:p>
        </w:tc>
        <w:tc>
          <w:tcPr>
            <w:tcW w:w="625" w:type="pct"/>
            <w:vAlign w:val="center"/>
          </w:tcPr>
          <w:p w14:paraId="46EEE625">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1.35 (1.28-1.43); &lt;0.001</w:t>
            </w:r>
          </w:p>
        </w:tc>
        <w:tc>
          <w:tcPr>
            <w:tcW w:w="625" w:type="pct"/>
            <w:vAlign w:val="center"/>
          </w:tcPr>
          <w:p w14:paraId="55FFF8A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0.763 (0.756-0.771)</w:t>
            </w:r>
          </w:p>
        </w:tc>
        <w:tc>
          <w:tcPr>
            <w:tcW w:w="625" w:type="pct"/>
            <w:vAlign w:val="center"/>
          </w:tcPr>
          <w:p w14:paraId="57F3D98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0.109</w:t>
            </w:r>
          </w:p>
        </w:tc>
      </w:tr>
      <w:tr w14:paraId="7B23F0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4C0BCA9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7B68770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71ABDFE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Cardiovascular</w:t>
            </w:r>
          </w:p>
        </w:tc>
        <w:tc>
          <w:tcPr>
            <w:tcW w:w="625" w:type="pct"/>
            <w:vAlign w:val="center"/>
          </w:tcPr>
          <w:p w14:paraId="69BA558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1.22 (1.19-1.26); &lt;0.001</w:t>
            </w:r>
          </w:p>
        </w:tc>
        <w:tc>
          <w:tcPr>
            <w:tcW w:w="625" w:type="pct"/>
            <w:vAlign w:val="center"/>
          </w:tcPr>
          <w:p w14:paraId="2C70BC9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0.765 (0.758-0.773)</w:t>
            </w:r>
          </w:p>
        </w:tc>
        <w:tc>
          <w:tcPr>
            <w:tcW w:w="625" w:type="pct"/>
            <w:vAlign w:val="center"/>
          </w:tcPr>
          <w:p w14:paraId="7BFFD9C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1.25 (1.20-1.29); &lt;0.001</w:t>
            </w:r>
          </w:p>
        </w:tc>
        <w:tc>
          <w:tcPr>
            <w:tcW w:w="625" w:type="pct"/>
            <w:vAlign w:val="center"/>
          </w:tcPr>
          <w:p w14:paraId="21536B5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0.763 (0.756-0.771)</w:t>
            </w:r>
          </w:p>
        </w:tc>
        <w:tc>
          <w:tcPr>
            <w:tcW w:w="625" w:type="pct"/>
            <w:vAlign w:val="center"/>
          </w:tcPr>
          <w:p w14:paraId="184A72D4">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0.003</w:t>
            </w:r>
          </w:p>
        </w:tc>
      </w:tr>
      <w:tr w14:paraId="095E5EF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2CD4150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5F369536">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4C072E4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Brain</w:t>
            </w:r>
          </w:p>
        </w:tc>
        <w:tc>
          <w:tcPr>
            <w:tcW w:w="625" w:type="pct"/>
            <w:vAlign w:val="center"/>
          </w:tcPr>
          <w:p w14:paraId="4A865432">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1.23 (1.19-1.27); &lt;0.001</w:t>
            </w:r>
          </w:p>
        </w:tc>
        <w:tc>
          <w:tcPr>
            <w:tcW w:w="625" w:type="pct"/>
            <w:vAlign w:val="center"/>
          </w:tcPr>
          <w:p w14:paraId="1E58E12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0.764 (0.756-0.771)</w:t>
            </w:r>
          </w:p>
        </w:tc>
        <w:tc>
          <w:tcPr>
            <w:tcW w:w="625" w:type="pct"/>
            <w:vAlign w:val="center"/>
          </w:tcPr>
          <w:p w14:paraId="52C33B1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1.23 (1.19-1.27); &lt;0.001</w:t>
            </w:r>
          </w:p>
        </w:tc>
        <w:tc>
          <w:tcPr>
            <w:tcW w:w="625" w:type="pct"/>
            <w:vAlign w:val="center"/>
          </w:tcPr>
          <w:p w14:paraId="26BF911E">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0.763 (0.756-0.771)</w:t>
            </w:r>
          </w:p>
        </w:tc>
        <w:tc>
          <w:tcPr>
            <w:tcW w:w="625" w:type="pct"/>
            <w:vAlign w:val="center"/>
          </w:tcPr>
          <w:p w14:paraId="1E2EED9D">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0.222</w:t>
            </w:r>
          </w:p>
        </w:tc>
      </w:tr>
      <w:tr w14:paraId="1501186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cantSplit/>
        </w:trPr>
        <w:tc>
          <w:tcPr>
            <w:tcW w:w="625" w:type="pct"/>
            <w:vAlign w:val="center"/>
          </w:tcPr>
          <w:p w14:paraId="046E667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MIMIC-IV</w:t>
            </w:r>
          </w:p>
        </w:tc>
        <w:tc>
          <w:tcPr>
            <w:tcW w:w="625" w:type="pct"/>
            <w:vAlign w:val="center"/>
          </w:tcPr>
          <w:p w14:paraId="1A5E1F0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Model C</w:t>
            </w:r>
          </w:p>
        </w:tc>
        <w:tc>
          <w:tcPr>
            <w:tcW w:w="625" w:type="pct"/>
            <w:vAlign w:val="center"/>
          </w:tcPr>
          <w:p w14:paraId="27D8242F">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Kidney</w:t>
            </w:r>
          </w:p>
        </w:tc>
        <w:tc>
          <w:tcPr>
            <w:tcW w:w="625" w:type="pct"/>
            <w:vAlign w:val="center"/>
          </w:tcPr>
          <w:p w14:paraId="29F0E91B">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1.44 (1.39-1.49); &lt;0.001</w:t>
            </w:r>
          </w:p>
        </w:tc>
        <w:tc>
          <w:tcPr>
            <w:tcW w:w="625" w:type="pct"/>
            <w:vAlign w:val="center"/>
          </w:tcPr>
          <w:p w14:paraId="1A2B75F8">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0.772 (0.764-0.779)</w:t>
            </w:r>
          </w:p>
        </w:tc>
        <w:tc>
          <w:tcPr>
            <w:tcW w:w="625" w:type="pct"/>
            <w:vAlign w:val="center"/>
          </w:tcPr>
          <w:p w14:paraId="105977AC">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1.48 (1.42-1.54); &lt;0.001</w:t>
            </w:r>
          </w:p>
        </w:tc>
        <w:tc>
          <w:tcPr>
            <w:tcW w:w="625" w:type="pct"/>
            <w:vAlign w:val="center"/>
          </w:tcPr>
          <w:p w14:paraId="5350CD63">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0.772 (0.764-0.779)</w:t>
            </w:r>
          </w:p>
        </w:tc>
        <w:tc>
          <w:tcPr>
            <w:tcW w:w="625" w:type="pct"/>
            <w:vAlign w:val="center"/>
          </w:tcPr>
          <w:p w14:paraId="5DE428E1">
            <w:pPr>
              <w:jc w:val="left"/>
              <w:rPr>
                <w:rFonts w:ascii="Times New Roman Regular" w:hAnsi="Times New Roman Regular" w:cs="Times New Roman Regular"/>
                <w:color w:val="auto"/>
                <w:szCs w:val="21"/>
              </w:rPr>
            </w:pPr>
            <w:r>
              <w:rPr>
                <w:rFonts w:ascii="Times New Roman Regular" w:hAnsi="Times New Roman Regular" w:eastAsia="Times New Roman" w:cs="Times New Roman Regular"/>
                <w:color w:val="auto"/>
                <w:szCs w:val="21"/>
              </w:rPr>
              <w:t>0.937</w:t>
            </w:r>
          </w:p>
        </w:tc>
      </w:tr>
    </w:tbl>
    <w:p w14:paraId="66111681">
      <w:pPr>
        <w:rPr>
          <w:rFonts w:ascii="Times New Roman" w:hAnsi="Times New Roman" w:eastAsia="宋体" w:cs="Times New Roman"/>
          <w:bCs/>
          <w:color w:val="auto"/>
          <w:sz w:val="18"/>
          <w:szCs w:val="18"/>
          <w:lang w:bidi="ar"/>
        </w:rPr>
      </w:pPr>
      <w:r>
        <w:rPr>
          <w:rFonts w:ascii="Times New Roman Bold" w:hAnsi="Times New Roman Bold" w:eastAsia="宋体" w:cs="Times New Roman Bold"/>
          <w:b/>
          <w:color w:val="auto"/>
          <w:sz w:val="18"/>
          <w:szCs w:val="18"/>
          <w:lang w:bidi="ar"/>
        </w:rPr>
        <w:t xml:space="preserve">Abbreviations: </w:t>
      </w:r>
      <w:r>
        <w:rPr>
          <w:rFonts w:hint="eastAsia" w:ascii="Times New Roman" w:hAnsi="Times New Roman" w:eastAsia="宋体" w:cs="Times New Roman"/>
          <w:bCs/>
          <w:color w:val="auto"/>
          <w:sz w:val="18"/>
          <w:szCs w:val="18"/>
          <w:lang w:bidi="ar"/>
        </w:rPr>
        <w:t>SOFA, Sequential Organ Failure Assessment; OR, odds ratio; CI, confidence interval.</w:t>
      </w:r>
    </w:p>
    <w:p w14:paraId="389947D4">
      <w:pPr>
        <w:rPr>
          <w:rFonts w:ascii="Times New Roman" w:hAnsi="Times New Roman" w:eastAsia="宋体" w:cs="Times New Roman"/>
          <w:bCs/>
          <w:color w:val="auto"/>
          <w:sz w:val="18"/>
          <w:szCs w:val="18"/>
          <w:lang w:bidi="ar"/>
        </w:rPr>
        <w:sectPr>
          <w:pgSz w:w="16838" w:h="11906" w:orient="landscape"/>
          <w:pgMar w:top="1797" w:right="1440" w:bottom="1797" w:left="1440" w:header="851" w:footer="992" w:gutter="0"/>
          <w:cols w:space="425" w:num="1"/>
          <w:docGrid w:type="lines" w:linePitch="312" w:charSpace="0"/>
        </w:sectPr>
      </w:pPr>
      <w:r>
        <w:rPr>
          <w:rFonts w:ascii="Times New Roman Bold" w:hAnsi="Times New Roman Bold" w:eastAsia="宋体" w:cs="Times New Roman Bold"/>
          <w:b/>
          <w:color w:val="auto"/>
          <w:sz w:val="18"/>
          <w:szCs w:val="18"/>
          <w:lang w:bidi="ar"/>
        </w:rPr>
        <w:t xml:space="preserve">Notes: </w:t>
      </w:r>
      <w:r>
        <w:rPr>
          <w:rFonts w:hint="eastAsia" w:ascii="Times New Roman" w:hAnsi="Times New Roman" w:eastAsia="宋体" w:cs="Times New Roman"/>
          <w:bCs/>
          <w:color w:val="auto"/>
          <w:sz w:val="18"/>
          <w:szCs w:val="18"/>
          <w:lang w:bidi="ar"/>
        </w:rPr>
        <w:t>The 28-day mortality analysis was performed in the MIMIC-IV cohort. ORs represent the change in odds of 28-day mortality per 1-point increase in the corresponding SOFA score. Model A was adjusted for age and sex. Model B was further adjusted for documented sepsis and baseline comorbidities, including cardiovascular disease, diabetes, neurological disease, chronic kidney disease, chronic obstructive pulmonary disease, malignancy, and liver disease. Model C was further adjusted for white blood cell count, hemoglobin, blood glucose, and heart rate; the corresponding units were ×10⁹/L, g/dL, mg/dL, and beats/min, respectively. P-values for C-index comparison indicate paired comparisons between SOFA-1 and SOFA-2 within the same model and score domain</w:t>
      </w:r>
    </w:p>
    <w:p w14:paraId="6B65583F">
      <w:pPr>
        <w:rPr>
          <w:rFonts w:ascii="Times New Roman" w:hAnsi="Times New Roman" w:eastAsia="宋体" w:cs="Times New Roman"/>
          <w:bCs/>
          <w:color w:val="auto"/>
          <w:sz w:val="18"/>
          <w:szCs w:val="18"/>
          <w:lang w:bidi="ar"/>
        </w:rPr>
      </w:pPr>
      <w:r>
        <w:rPr>
          <w:rFonts w:ascii="Times New Roman Bold" w:hAnsi="Times New Roman Bold" w:eastAsia="宋体" w:cs="Times New Roman Bold"/>
          <w:b/>
          <w:color w:val="auto"/>
          <w:szCs w:val="21"/>
          <w:lang w:bidi="ar"/>
        </w:rPr>
        <w:t xml:space="preserve">eTable 10. </w:t>
      </w:r>
      <w:r>
        <w:rPr>
          <w:rFonts w:hint="eastAsia" w:ascii="Times New Roman Bold" w:hAnsi="Times New Roman Bold" w:eastAsia="宋体" w:cs="Times New Roman Bold"/>
          <w:b/>
          <w:color w:val="auto"/>
          <w:szCs w:val="21"/>
          <w:lang w:bidi="ar"/>
        </w:rPr>
        <w:t>Full m</w:t>
      </w:r>
      <w:r>
        <w:rPr>
          <w:rFonts w:ascii="Times New Roman Bold" w:hAnsi="Times New Roman Bold" w:eastAsia="宋体" w:cs="Times New Roman Bold"/>
          <w:b/>
          <w:color w:val="auto"/>
          <w:szCs w:val="21"/>
          <w:lang w:bidi="ar"/>
        </w:rPr>
        <w:t>odel C covariate estimates for</w:t>
      </w:r>
      <w:r>
        <w:rPr>
          <w:rFonts w:hint="eastAsia" w:ascii="Times New Roman Bold" w:hAnsi="Times New Roman Bold" w:eastAsia="宋体" w:cs="Times New Roman Bold"/>
          <w:b/>
          <w:color w:val="auto"/>
          <w:szCs w:val="21"/>
          <w:lang w:bidi="ar"/>
        </w:rPr>
        <w:t xml:space="preserve"> </w:t>
      </w:r>
      <w:r>
        <w:rPr>
          <w:rFonts w:ascii="Times New Roman Bold" w:hAnsi="Times New Roman Bold" w:eastAsia="宋体" w:cs="Times New Roman Bold"/>
          <w:b/>
          <w:color w:val="auto"/>
          <w:szCs w:val="21"/>
          <w:lang w:bidi="ar"/>
        </w:rPr>
        <w:t>28-day mortality, presented as odds ratios with 95% confidence intervals</w:t>
      </w:r>
      <w:r>
        <w:rPr>
          <w:rFonts w:hint="eastAsia" w:ascii="Times New Roman Bold" w:hAnsi="Times New Roman Bold" w:eastAsia="宋体" w:cs="Times New Roman Bold"/>
          <w:b/>
          <w:color w:val="auto"/>
          <w:szCs w:val="21"/>
          <w:lang w:bidi="ar"/>
        </w:rPr>
        <w:t>.</w:t>
      </w:r>
    </w:p>
    <w:tbl>
      <w:tblPr>
        <w:tblStyle w:val="17"/>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2"/>
        <w:gridCol w:w="2843"/>
        <w:gridCol w:w="2843"/>
      </w:tblGrid>
      <w:tr w14:paraId="25378D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Borders>
              <w:bottom w:val="single" w:color="auto" w:sz="4" w:space="0"/>
            </w:tcBorders>
          </w:tcPr>
          <w:p w14:paraId="29F746A0">
            <w:pPr>
              <w:rPr>
                <w:rFonts w:ascii="Times New Roman Bold" w:hAnsi="Times New Roman Bold" w:cs="Times New Roman Bold"/>
                <w:b/>
                <w:color w:val="auto"/>
              </w:rPr>
            </w:pPr>
            <w:r>
              <w:rPr>
                <w:rFonts w:ascii="Times New Roman Bold" w:hAnsi="Times New Roman Bold" w:eastAsia="宋体" w:cs="Times New Roman Bold"/>
                <w:b/>
                <w:color w:val="auto"/>
                <w:sz w:val="18"/>
                <w:szCs w:val="18"/>
                <w:lang w:bidi="ar"/>
              </w:rPr>
              <w:t>Variable</w:t>
            </w:r>
          </w:p>
        </w:tc>
        <w:tc>
          <w:tcPr>
            <w:tcW w:w="1666" w:type="pct"/>
            <w:tcBorders>
              <w:bottom w:val="single" w:color="auto" w:sz="4" w:space="0"/>
            </w:tcBorders>
          </w:tcPr>
          <w:p w14:paraId="0E5D2498">
            <w:pPr>
              <w:rPr>
                <w:rFonts w:ascii="Times New Roman Bold" w:hAnsi="Times New Roman Bold" w:cs="Times New Roman Bold"/>
                <w:b/>
                <w:color w:val="auto"/>
              </w:rPr>
            </w:pPr>
            <w:r>
              <w:rPr>
                <w:rFonts w:ascii="Times New Roman Bold" w:hAnsi="Times New Roman Bold" w:eastAsia="宋体" w:cs="Times New Roman Bold"/>
                <w:b/>
                <w:color w:val="auto"/>
                <w:sz w:val="18"/>
                <w:szCs w:val="18"/>
                <w:lang w:bidi="ar"/>
              </w:rPr>
              <w:t>MIMIC-IV SOFA-1 model</w:t>
            </w:r>
          </w:p>
        </w:tc>
        <w:tc>
          <w:tcPr>
            <w:tcW w:w="1666" w:type="pct"/>
            <w:tcBorders>
              <w:bottom w:val="single" w:color="auto" w:sz="4" w:space="0"/>
            </w:tcBorders>
          </w:tcPr>
          <w:p w14:paraId="2651A51A">
            <w:pPr>
              <w:rPr>
                <w:rFonts w:ascii="Times New Roman Bold" w:hAnsi="Times New Roman Bold" w:cs="Times New Roman Bold"/>
                <w:b/>
                <w:color w:val="auto"/>
              </w:rPr>
            </w:pPr>
            <w:r>
              <w:rPr>
                <w:rFonts w:ascii="Times New Roman Bold" w:hAnsi="Times New Roman Bold" w:eastAsia="宋体" w:cs="Times New Roman Bold"/>
                <w:b/>
                <w:color w:val="auto"/>
                <w:sz w:val="18"/>
                <w:szCs w:val="18"/>
                <w:lang w:bidi="ar"/>
              </w:rPr>
              <w:t>MIMIC-IV SOFA-2 model</w:t>
            </w:r>
          </w:p>
        </w:tc>
      </w:tr>
      <w:tr w14:paraId="7A13EC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Borders>
              <w:top w:val="single" w:color="auto" w:sz="4" w:space="0"/>
            </w:tcBorders>
          </w:tcPr>
          <w:p w14:paraId="5F42ADF0">
            <w:pPr>
              <w:rPr>
                <w:color w:val="auto"/>
              </w:rPr>
            </w:pPr>
            <w:r>
              <w:rPr>
                <w:rFonts w:hint="eastAsia" w:ascii="Times New Roman" w:hAnsi="Times New Roman" w:eastAsia="宋体" w:cs="Times New Roman"/>
                <w:bCs/>
                <w:color w:val="auto"/>
                <w:sz w:val="18"/>
                <w:szCs w:val="18"/>
                <w:lang w:bidi="ar"/>
              </w:rPr>
              <w:t>SOFA score variable</w:t>
            </w:r>
          </w:p>
        </w:tc>
        <w:tc>
          <w:tcPr>
            <w:tcW w:w="1666" w:type="pct"/>
            <w:tcBorders>
              <w:top w:val="single" w:color="auto" w:sz="4" w:space="0"/>
            </w:tcBorders>
          </w:tcPr>
          <w:p w14:paraId="1C17C1B5">
            <w:pPr>
              <w:rPr>
                <w:color w:val="auto"/>
              </w:rPr>
            </w:pPr>
            <w:r>
              <w:rPr>
                <w:rFonts w:hint="eastAsia" w:ascii="Times New Roman" w:hAnsi="Times New Roman" w:eastAsia="宋体" w:cs="Times New Roman"/>
                <w:bCs/>
                <w:color w:val="auto"/>
                <w:sz w:val="18"/>
                <w:szCs w:val="18"/>
                <w:lang w:bidi="ar"/>
              </w:rPr>
              <w:t>1.18 (1.16-1.19); &lt;0.001</w:t>
            </w:r>
          </w:p>
        </w:tc>
        <w:tc>
          <w:tcPr>
            <w:tcW w:w="1666" w:type="pct"/>
            <w:tcBorders>
              <w:top w:val="single" w:color="auto" w:sz="4" w:space="0"/>
            </w:tcBorders>
          </w:tcPr>
          <w:p w14:paraId="566EF759">
            <w:pPr>
              <w:rPr>
                <w:color w:val="auto"/>
              </w:rPr>
            </w:pPr>
            <w:r>
              <w:rPr>
                <w:rFonts w:hint="eastAsia" w:ascii="Times New Roman" w:hAnsi="Times New Roman" w:eastAsia="宋体" w:cs="Times New Roman"/>
                <w:bCs/>
                <w:color w:val="auto"/>
                <w:sz w:val="18"/>
                <w:szCs w:val="18"/>
                <w:lang w:bidi="ar"/>
              </w:rPr>
              <w:t>1.21 (1.20-1.23); &lt;0.001</w:t>
            </w:r>
          </w:p>
        </w:tc>
      </w:tr>
      <w:tr w14:paraId="7B8883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697105CF">
            <w:pPr>
              <w:rPr>
                <w:color w:val="auto"/>
              </w:rPr>
            </w:pPr>
            <w:r>
              <w:rPr>
                <w:rFonts w:hint="eastAsia" w:ascii="Times New Roman" w:hAnsi="Times New Roman" w:eastAsia="宋体" w:cs="Times New Roman"/>
                <w:bCs/>
                <w:color w:val="auto"/>
                <w:sz w:val="18"/>
                <w:szCs w:val="18"/>
                <w:lang w:bidi="ar"/>
              </w:rPr>
              <w:t>Age</w:t>
            </w:r>
          </w:p>
        </w:tc>
        <w:tc>
          <w:tcPr>
            <w:tcW w:w="1666" w:type="pct"/>
          </w:tcPr>
          <w:p w14:paraId="2FF8C804">
            <w:pPr>
              <w:rPr>
                <w:color w:val="auto"/>
              </w:rPr>
            </w:pPr>
            <w:r>
              <w:rPr>
                <w:rFonts w:hint="eastAsia" w:ascii="Times New Roman" w:hAnsi="Times New Roman" w:eastAsia="宋体" w:cs="Times New Roman"/>
                <w:bCs/>
                <w:color w:val="auto"/>
                <w:sz w:val="18"/>
                <w:szCs w:val="18"/>
                <w:lang w:bidi="ar"/>
              </w:rPr>
              <w:t>1.06 (1.05-1.06); &lt;0.001</w:t>
            </w:r>
          </w:p>
        </w:tc>
        <w:tc>
          <w:tcPr>
            <w:tcW w:w="1666" w:type="pct"/>
          </w:tcPr>
          <w:p w14:paraId="761E17EB">
            <w:pPr>
              <w:rPr>
                <w:color w:val="auto"/>
              </w:rPr>
            </w:pPr>
            <w:r>
              <w:rPr>
                <w:rFonts w:hint="eastAsia" w:ascii="Times New Roman" w:hAnsi="Times New Roman" w:eastAsia="宋体" w:cs="Times New Roman"/>
                <w:bCs/>
                <w:color w:val="auto"/>
                <w:sz w:val="18"/>
                <w:szCs w:val="18"/>
                <w:lang w:bidi="ar"/>
              </w:rPr>
              <w:t>1.06 (1.05-1.06); &lt;0.001</w:t>
            </w:r>
          </w:p>
        </w:tc>
      </w:tr>
      <w:tr w14:paraId="22D944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3F32BCC2">
            <w:pPr>
              <w:rPr>
                <w:color w:val="auto"/>
              </w:rPr>
            </w:pPr>
            <w:r>
              <w:rPr>
                <w:rFonts w:hint="eastAsia" w:ascii="Times New Roman" w:hAnsi="Times New Roman" w:eastAsia="宋体" w:cs="Times New Roman"/>
                <w:bCs/>
                <w:color w:val="auto"/>
                <w:sz w:val="18"/>
                <w:szCs w:val="18"/>
                <w:lang w:bidi="ar"/>
              </w:rPr>
              <w:t>Male sex</w:t>
            </w:r>
          </w:p>
        </w:tc>
        <w:tc>
          <w:tcPr>
            <w:tcW w:w="1666" w:type="pct"/>
          </w:tcPr>
          <w:p w14:paraId="188022E4">
            <w:pPr>
              <w:rPr>
                <w:color w:val="auto"/>
              </w:rPr>
            </w:pPr>
            <w:r>
              <w:rPr>
                <w:rFonts w:hint="eastAsia" w:ascii="Times New Roman" w:hAnsi="Times New Roman" w:eastAsia="宋体" w:cs="Times New Roman"/>
                <w:bCs/>
                <w:color w:val="auto"/>
                <w:sz w:val="18"/>
                <w:szCs w:val="18"/>
                <w:lang w:bidi="ar"/>
              </w:rPr>
              <w:t>0.80 (0.74-0.86); &lt;0.001</w:t>
            </w:r>
          </w:p>
        </w:tc>
        <w:tc>
          <w:tcPr>
            <w:tcW w:w="1666" w:type="pct"/>
          </w:tcPr>
          <w:p w14:paraId="06C73217">
            <w:pPr>
              <w:rPr>
                <w:color w:val="auto"/>
              </w:rPr>
            </w:pPr>
            <w:r>
              <w:rPr>
                <w:rFonts w:hint="eastAsia" w:ascii="Times New Roman" w:hAnsi="Times New Roman" w:eastAsia="宋体" w:cs="Times New Roman"/>
                <w:bCs/>
                <w:color w:val="auto"/>
                <w:sz w:val="18"/>
                <w:szCs w:val="18"/>
                <w:lang w:bidi="ar"/>
              </w:rPr>
              <w:t>0.79 (0.74-0.85); &lt;0.001</w:t>
            </w:r>
          </w:p>
        </w:tc>
      </w:tr>
      <w:tr w14:paraId="0B00AB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042F0332">
            <w:pPr>
              <w:rPr>
                <w:color w:val="auto"/>
              </w:rPr>
            </w:pPr>
            <w:r>
              <w:rPr>
                <w:rFonts w:hint="eastAsia" w:ascii="Times New Roman" w:hAnsi="Times New Roman" w:eastAsia="宋体" w:cs="Times New Roman"/>
                <w:bCs/>
                <w:color w:val="auto"/>
                <w:sz w:val="18"/>
                <w:szCs w:val="18"/>
                <w:lang w:bidi="ar"/>
              </w:rPr>
              <w:t>Documented sepsis</w:t>
            </w:r>
          </w:p>
        </w:tc>
        <w:tc>
          <w:tcPr>
            <w:tcW w:w="1666" w:type="pct"/>
          </w:tcPr>
          <w:p w14:paraId="1A9A444C">
            <w:pPr>
              <w:rPr>
                <w:color w:val="auto"/>
              </w:rPr>
            </w:pPr>
            <w:r>
              <w:rPr>
                <w:rFonts w:hint="eastAsia" w:ascii="Times New Roman" w:hAnsi="Times New Roman" w:eastAsia="宋体" w:cs="Times New Roman"/>
                <w:bCs/>
                <w:color w:val="auto"/>
                <w:sz w:val="18"/>
                <w:szCs w:val="18"/>
                <w:lang w:bidi="ar"/>
              </w:rPr>
              <w:t>2.15 (1.98-2.34); &lt;0.001</w:t>
            </w:r>
          </w:p>
        </w:tc>
        <w:tc>
          <w:tcPr>
            <w:tcW w:w="1666" w:type="pct"/>
          </w:tcPr>
          <w:p w14:paraId="2B3AD4C1">
            <w:pPr>
              <w:rPr>
                <w:color w:val="auto"/>
              </w:rPr>
            </w:pPr>
            <w:r>
              <w:rPr>
                <w:rFonts w:hint="eastAsia" w:ascii="Times New Roman" w:hAnsi="Times New Roman" w:eastAsia="宋体" w:cs="Times New Roman"/>
                <w:bCs/>
                <w:color w:val="auto"/>
                <w:sz w:val="18"/>
                <w:szCs w:val="18"/>
                <w:lang w:bidi="ar"/>
              </w:rPr>
              <w:t>2.15 (1.97-2.33); &lt;0.001</w:t>
            </w:r>
          </w:p>
        </w:tc>
      </w:tr>
      <w:tr w14:paraId="2A69D7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33D29B0B">
            <w:pPr>
              <w:rPr>
                <w:color w:val="auto"/>
              </w:rPr>
            </w:pPr>
            <w:r>
              <w:rPr>
                <w:rFonts w:hint="eastAsia" w:ascii="Times New Roman" w:hAnsi="Times New Roman" w:eastAsia="宋体" w:cs="Times New Roman"/>
                <w:bCs/>
                <w:color w:val="auto"/>
                <w:sz w:val="18"/>
                <w:szCs w:val="18"/>
                <w:lang w:bidi="ar"/>
              </w:rPr>
              <w:t>Cardiovascular comorbidity</w:t>
            </w:r>
          </w:p>
        </w:tc>
        <w:tc>
          <w:tcPr>
            <w:tcW w:w="1666" w:type="pct"/>
          </w:tcPr>
          <w:p w14:paraId="3192CD30">
            <w:pPr>
              <w:rPr>
                <w:color w:val="auto"/>
              </w:rPr>
            </w:pPr>
            <w:r>
              <w:rPr>
                <w:rFonts w:hint="eastAsia" w:ascii="Times New Roman" w:hAnsi="Times New Roman" w:eastAsia="宋体" w:cs="Times New Roman"/>
                <w:bCs/>
                <w:color w:val="auto"/>
                <w:sz w:val="18"/>
                <w:szCs w:val="18"/>
                <w:lang w:bidi="ar"/>
              </w:rPr>
              <w:t>1.20 (1.11-1.30); &lt;0.001</w:t>
            </w:r>
          </w:p>
        </w:tc>
        <w:tc>
          <w:tcPr>
            <w:tcW w:w="1666" w:type="pct"/>
          </w:tcPr>
          <w:p w14:paraId="67D67C42">
            <w:pPr>
              <w:rPr>
                <w:color w:val="auto"/>
              </w:rPr>
            </w:pPr>
            <w:r>
              <w:rPr>
                <w:rFonts w:hint="eastAsia" w:ascii="Times New Roman" w:hAnsi="Times New Roman" w:eastAsia="宋体" w:cs="Times New Roman"/>
                <w:bCs/>
                <w:color w:val="auto"/>
                <w:sz w:val="18"/>
                <w:szCs w:val="18"/>
                <w:lang w:bidi="ar"/>
              </w:rPr>
              <w:t>1.17 (1.09-1.27); &lt;0.001</w:t>
            </w:r>
          </w:p>
        </w:tc>
      </w:tr>
      <w:tr w14:paraId="349C97B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39759152">
            <w:pPr>
              <w:rPr>
                <w:color w:val="auto"/>
              </w:rPr>
            </w:pPr>
            <w:r>
              <w:rPr>
                <w:rFonts w:hint="eastAsia" w:ascii="Times New Roman" w:hAnsi="Times New Roman" w:eastAsia="宋体" w:cs="Times New Roman"/>
                <w:bCs/>
                <w:color w:val="auto"/>
                <w:sz w:val="18"/>
                <w:szCs w:val="18"/>
                <w:lang w:bidi="ar"/>
              </w:rPr>
              <w:t>Diabetes</w:t>
            </w:r>
          </w:p>
        </w:tc>
        <w:tc>
          <w:tcPr>
            <w:tcW w:w="1666" w:type="pct"/>
          </w:tcPr>
          <w:p w14:paraId="6E54C34A">
            <w:pPr>
              <w:rPr>
                <w:color w:val="auto"/>
              </w:rPr>
            </w:pPr>
            <w:r>
              <w:rPr>
                <w:rFonts w:hint="eastAsia" w:ascii="Times New Roman" w:hAnsi="Times New Roman" w:eastAsia="宋体" w:cs="Times New Roman"/>
                <w:bCs/>
                <w:color w:val="auto"/>
                <w:sz w:val="18"/>
                <w:szCs w:val="18"/>
                <w:lang w:bidi="ar"/>
              </w:rPr>
              <w:t>0.88 (0.81-0.95); 0.002</w:t>
            </w:r>
          </w:p>
        </w:tc>
        <w:tc>
          <w:tcPr>
            <w:tcW w:w="1666" w:type="pct"/>
          </w:tcPr>
          <w:p w14:paraId="44D4D92E">
            <w:pPr>
              <w:rPr>
                <w:color w:val="auto"/>
              </w:rPr>
            </w:pPr>
            <w:r>
              <w:rPr>
                <w:rFonts w:hint="eastAsia" w:ascii="Times New Roman" w:hAnsi="Times New Roman" w:eastAsia="宋体" w:cs="Times New Roman"/>
                <w:bCs/>
                <w:color w:val="auto"/>
                <w:sz w:val="18"/>
                <w:szCs w:val="18"/>
                <w:lang w:bidi="ar"/>
              </w:rPr>
              <w:t>0.89 (0.82-0.96); 0.004</w:t>
            </w:r>
          </w:p>
        </w:tc>
      </w:tr>
      <w:tr w14:paraId="76D87C5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767652A6">
            <w:pPr>
              <w:rPr>
                <w:color w:val="auto"/>
              </w:rPr>
            </w:pPr>
            <w:r>
              <w:rPr>
                <w:rFonts w:hint="eastAsia" w:ascii="Times New Roman" w:hAnsi="Times New Roman" w:eastAsia="宋体" w:cs="Times New Roman"/>
                <w:bCs/>
                <w:color w:val="auto"/>
                <w:sz w:val="18"/>
                <w:szCs w:val="18"/>
                <w:lang w:bidi="ar"/>
              </w:rPr>
              <w:t>Neurologic comorbidity</w:t>
            </w:r>
          </w:p>
        </w:tc>
        <w:tc>
          <w:tcPr>
            <w:tcW w:w="1666" w:type="pct"/>
          </w:tcPr>
          <w:p w14:paraId="344DA976">
            <w:pPr>
              <w:rPr>
                <w:color w:val="auto"/>
              </w:rPr>
            </w:pPr>
            <w:r>
              <w:rPr>
                <w:rFonts w:hint="eastAsia" w:ascii="Times New Roman" w:hAnsi="Times New Roman" w:eastAsia="宋体" w:cs="Times New Roman"/>
                <w:bCs/>
                <w:color w:val="auto"/>
                <w:sz w:val="18"/>
                <w:szCs w:val="18"/>
                <w:lang w:bidi="ar"/>
              </w:rPr>
              <w:t>2.23 (2.05-2.42); &lt;0.001</w:t>
            </w:r>
          </w:p>
        </w:tc>
        <w:tc>
          <w:tcPr>
            <w:tcW w:w="1666" w:type="pct"/>
          </w:tcPr>
          <w:p w14:paraId="226AD0C9">
            <w:pPr>
              <w:rPr>
                <w:color w:val="auto"/>
              </w:rPr>
            </w:pPr>
            <w:r>
              <w:rPr>
                <w:rFonts w:hint="eastAsia" w:ascii="Times New Roman" w:hAnsi="Times New Roman" w:eastAsia="宋体" w:cs="Times New Roman"/>
                <w:bCs/>
                <w:color w:val="auto"/>
                <w:sz w:val="18"/>
                <w:szCs w:val="18"/>
                <w:lang w:bidi="ar"/>
              </w:rPr>
              <w:t>2.25 (2.07-2.44); &lt;0.001</w:t>
            </w:r>
          </w:p>
        </w:tc>
      </w:tr>
      <w:tr w14:paraId="0B0679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6A272730">
            <w:pPr>
              <w:rPr>
                <w:color w:val="auto"/>
              </w:rPr>
            </w:pPr>
            <w:r>
              <w:rPr>
                <w:rFonts w:hint="eastAsia" w:ascii="Times New Roman" w:hAnsi="Times New Roman" w:eastAsia="宋体" w:cs="Times New Roman"/>
                <w:bCs/>
                <w:color w:val="auto"/>
                <w:sz w:val="18"/>
                <w:szCs w:val="18"/>
                <w:lang w:bidi="ar"/>
              </w:rPr>
              <w:t>Chronic kidney disease</w:t>
            </w:r>
          </w:p>
        </w:tc>
        <w:tc>
          <w:tcPr>
            <w:tcW w:w="1666" w:type="pct"/>
          </w:tcPr>
          <w:p w14:paraId="7B1759F0">
            <w:pPr>
              <w:rPr>
                <w:color w:val="auto"/>
              </w:rPr>
            </w:pPr>
            <w:r>
              <w:rPr>
                <w:rFonts w:hint="eastAsia" w:ascii="Times New Roman" w:hAnsi="Times New Roman" w:eastAsia="宋体" w:cs="Times New Roman"/>
                <w:bCs/>
                <w:color w:val="auto"/>
                <w:sz w:val="18"/>
                <w:szCs w:val="18"/>
                <w:lang w:bidi="ar"/>
              </w:rPr>
              <w:t>1.12 (1.03-1.22); 0.010</w:t>
            </w:r>
          </w:p>
        </w:tc>
        <w:tc>
          <w:tcPr>
            <w:tcW w:w="1666" w:type="pct"/>
          </w:tcPr>
          <w:p w14:paraId="49E255E8">
            <w:pPr>
              <w:rPr>
                <w:color w:val="auto"/>
              </w:rPr>
            </w:pPr>
            <w:r>
              <w:rPr>
                <w:rFonts w:hint="eastAsia" w:ascii="Times New Roman" w:hAnsi="Times New Roman" w:eastAsia="宋体" w:cs="Times New Roman"/>
                <w:bCs/>
                <w:color w:val="auto"/>
                <w:sz w:val="18"/>
                <w:szCs w:val="18"/>
                <w:lang w:bidi="ar"/>
              </w:rPr>
              <w:t>1.12 (1.03-1.22); 0.008</w:t>
            </w:r>
          </w:p>
        </w:tc>
      </w:tr>
      <w:tr w14:paraId="3BEAFD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1278A340">
            <w:pPr>
              <w:rPr>
                <w:color w:val="auto"/>
              </w:rPr>
            </w:pPr>
            <w:r>
              <w:rPr>
                <w:rFonts w:hint="eastAsia" w:ascii="Times New Roman" w:hAnsi="Times New Roman" w:eastAsia="宋体" w:cs="Times New Roman"/>
                <w:bCs/>
                <w:color w:val="auto"/>
                <w:sz w:val="18"/>
                <w:szCs w:val="18"/>
                <w:lang w:bidi="ar"/>
              </w:rPr>
              <w:t>COPD</w:t>
            </w:r>
          </w:p>
        </w:tc>
        <w:tc>
          <w:tcPr>
            <w:tcW w:w="1666" w:type="pct"/>
          </w:tcPr>
          <w:p w14:paraId="391B7716">
            <w:pPr>
              <w:rPr>
                <w:color w:val="auto"/>
              </w:rPr>
            </w:pPr>
            <w:r>
              <w:rPr>
                <w:rFonts w:hint="eastAsia" w:ascii="Times New Roman" w:hAnsi="Times New Roman" w:eastAsia="宋体" w:cs="Times New Roman"/>
                <w:bCs/>
                <w:color w:val="auto"/>
                <w:sz w:val="18"/>
                <w:szCs w:val="18"/>
                <w:lang w:bidi="ar"/>
              </w:rPr>
              <w:t>1.29 (1.18-1.40); &lt;0.001</w:t>
            </w:r>
          </w:p>
        </w:tc>
        <w:tc>
          <w:tcPr>
            <w:tcW w:w="1666" w:type="pct"/>
          </w:tcPr>
          <w:p w14:paraId="6DB4609B">
            <w:pPr>
              <w:rPr>
                <w:color w:val="auto"/>
              </w:rPr>
            </w:pPr>
            <w:r>
              <w:rPr>
                <w:rFonts w:hint="eastAsia" w:ascii="Times New Roman" w:hAnsi="Times New Roman" w:eastAsia="宋体" w:cs="Times New Roman"/>
                <w:bCs/>
                <w:color w:val="auto"/>
                <w:sz w:val="18"/>
                <w:szCs w:val="18"/>
                <w:lang w:bidi="ar"/>
              </w:rPr>
              <w:t>1.28 (1.18-1.40); &lt;0.001</w:t>
            </w:r>
          </w:p>
        </w:tc>
      </w:tr>
      <w:tr w14:paraId="74558D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41099784">
            <w:pPr>
              <w:rPr>
                <w:color w:val="auto"/>
              </w:rPr>
            </w:pPr>
            <w:r>
              <w:rPr>
                <w:rFonts w:hint="eastAsia" w:ascii="Times New Roman" w:hAnsi="Times New Roman" w:eastAsia="宋体" w:cs="Times New Roman"/>
                <w:bCs/>
                <w:color w:val="auto"/>
                <w:sz w:val="18"/>
                <w:szCs w:val="18"/>
                <w:lang w:bidi="ar"/>
              </w:rPr>
              <w:t>Malignancy</w:t>
            </w:r>
          </w:p>
        </w:tc>
        <w:tc>
          <w:tcPr>
            <w:tcW w:w="1666" w:type="pct"/>
          </w:tcPr>
          <w:p w14:paraId="28067706">
            <w:pPr>
              <w:rPr>
                <w:color w:val="auto"/>
              </w:rPr>
            </w:pPr>
            <w:r>
              <w:rPr>
                <w:rFonts w:hint="eastAsia" w:ascii="Times New Roman" w:hAnsi="Times New Roman" w:eastAsia="宋体" w:cs="Times New Roman"/>
                <w:bCs/>
                <w:color w:val="auto"/>
                <w:sz w:val="18"/>
                <w:szCs w:val="18"/>
                <w:lang w:bidi="ar"/>
              </w:rPr>
              <w:t>2.67 (2.44-2.91); &lt;0.001</w:t>
            </w:r>
          </w:p>
        </w:tc>
        <w:tc>
          <w:tcPr>
            <w:tcW w:w="1666" w:type="pct"/>
          </w:tcPr>
          <w:p w14:paraId="1B10F361">
            <w:pPr>
              <w:rPr>
                <w:color w:val="auto"/>
              </w:rPr>
            </w:pPr>
            <w:r>
              <w:rPr>
                <w:rFonts w:hint="eastAsia" w:ascii="Times New Roman" w:hAnsi="Times New Roman" w:eastAsia="宋体" w:cs="Times New Roman"/>
                <w:bCs/>
                <w:color w:val="auto"/>
                <w:sz w:val="18"/>
                <w:szCs w:val="18"/>
                <w:lang w:bidi="ar"/>
              </w:rPr>
              <w:t>2.70 (2.47-2.95); &lt;0.001</w:t>
            </w:r>
          </w:p>
        </w:tc>
      </w:tr>
      <w:tr w14:paraId="5C59C6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112923F5">
            <w:pPr>
              <w:rPr>
                <w:color w:val="auto"/>
              </w:rPr>
            </w:pPr>
            <w:r>
              <w:rPr>
                <w:rFonts w:hint="eastAsia" w:ascii="Times New Roman" w:hAnsi="Times New Roman" w:eastAsia="宋体" w:cs="Times New Roman"/>
                <w:bCs/>
                <w:color w:val="auto"/>
                <w:sz w:val="18"/>
                <w:szCs w:val="18"/>
                <w:lang w:bidi="ar"/>
              </w:rPr>
              <w:t>Chronic liver disease</w:t>
            </w:r>
          </w:p>
        </w:tc>
        <w:tc>
          <w:tcPr>
            <w:tcW w:w="1666" w:type="pct"/>
          </w:tcPr>
          <w:p w14:paraId="72551616">
            <w:pPr>
              <w:rPr>
                <w:color w:val="auto"/>
              </w:rPr>
            </w:pPr>
            <w:r>
              <w:rPr>
                <w:rFonts w:hint="eastAsia" w:ascii="Times New Roman" w:hAnsi="Times New Roman" w:eastAsia="宋体" w:cs="Times New Roman"/>
                <w:bCs/>
                <w:color w:val="auto"/>
                <w:sz w:val="18"/>
                <w:szCs w:val="18"/>
                <w:lang w:bidi="ar"/>
              </w:rPr>
              <w:t>2.10 (1.87-2.36); &lt;0.001</w:t>
            </w:r>
          </w:p>
        </w:tc>
        <w:tc>
          <w:tcPr>
            <w:tcW w:w="1666" w:type="pct"/>
          </w:tcPr>
          <w:p w14:paraId="453D5103">
            <w:pPr>
              <w:rPr>
                <w:color w:val="auto"/>
              </w:rPr>
            </w:pPr>
            <w:r>
              <w:rPr>
                <w:rFonts w:hint="eastAsia" w:ascii="Times New Roman" w:hAnsi="Times New Roman" w:eastAsia="宋体" w:cs="Times New Roman"/>
                <w:bCs/>
                <w:color w:val="auto"/>
                <w:sz w:val="18"/>
                <w:szCs w:val="18"/>
                <w:lang w:bidi="ar"/>
              </w:rPr>
              <w:t>1.97 (1.75-2.22); &lt;0.001</w:t>
            </w:r>
          </w:p>
        </w:tc>
      </w:tr>
      <w:tr w14:paraId="6330B46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7B161BEC">
            <w:pPr>
              <w:rPr>
                <w:color w:val="auto"/>
              </w:rPr>
            </w:pPr>
            <w:r>
              <w:rPr>
                <w:rFonts w:hint="eastAsia" w:ascii="Times New Roman" w:hAnsi="Times New Roman" w:eastAsia="宋体" w:cs="Times New Roman"/>
                <w:bCs/>
                <w:color w:val="auto"/>
                <w:sz w:val="18"/>
                <w:szCs w:val="18"/>
                <w:lang w:bidi="ar"/>
              </w:rPr>
              <w:t>White blood cell count</w:t>
            </w:r>
          </w:p>
        </w:tc>
        <w:tc>
          <w:tcPr>
            <w:tcW w:w="1666" w:type="pct"/>
          </w:tcPr>
          <w:p w14:paraId="1A3A14D0">
            <w:pPr>
              <w:rPr>
                <w:color w:val="auto"/>
              </w:rPr>
            </w:pPr>
            <w:r>
              <w:rPr>
                <w:rFonts w:hint="eastAsia" w:ascii="Times New Roman" w:hAnsi="Times New Roman" w:eastAsia="宋体" w:cs="Times New Roman"/>
                <w:bCs/>
                <w:color w:val="auto"/>
                <w:sz w:val="18"/>
                <w:szCs w:val="18"/>
                <w:lang w:bidi="ar"/>
              </w:rPr>
              <w:t>1.004 (1.001-1.007); 0.003</w:t>
            </w:r>
          </w:p>
        </w:tc>
        <w:tc>
          <w:tcPr>
            <w:tcW w:w="1666" w:type="pct"/>
          </w:tcPr>
          <w:p w14:paraId="413D2E94">
            <w:pPr>
              <w:rPr>
                <w:color w:val="auto"/>
              </w:rPr>
            </w:pPr>
            <w:r>
              <w:rPr>
                <w:rFonts w:hint="eastAsia" w:ascii="Times New Roman" w:hAnsi="Times New Roman" w:eastAsia="宋体" w:cs="Times New Roman"/>
                <w:bCs/>
                <w:color w:val="auto"/>
                <w:sz w:val="18"/>
                <w:szCs w:val="18"/>
                <w:lang w:bidi="ar"/>
              </w:rPr>
              <w:t>1.003 (1.001-1.006); 0.012</w:t>
            </w:r>
          </w:p>
        </w:tc>
      </w:tr>
      <w:tr w14:paraId="1100FCD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5E8524E3">
            <w:pPr>
              <w:rPr>
                <w:color w:val="auto"/>
              </w:rPr>
            </w:pPr>
            <w:r>
              <w:rPr>
                <w:rFonts w:hint="eastAsia" w:ascii="Times New Roman" w:hAnsi="Times New Roman" w:eastAsia="宋体" w:cs="Times New Roman"/>
                <w:bCs/>
                <w:color w:val="auto"/>
                <w:sz w:val="18"/>
                <w:szCs w:val="18"/>
                <w:lang w:bidi="ar"/>
              </w:rPr>
              <w:t>Hemoglobin</w:t>
            </w:r>
          </w:p>
        </w:tc>
        <w:tc>
          <w:tcPr>
            <w:tcW w:w="1666" w:type="pct"/>
          </w:tcPr>
          <w:p w14:paraId="34E4FA06">
            <w:pPr>
              <w:rPr>
                <w:color w:val="auto"/>
              </w:rPr>
            </w:pPr>
            <w:r>
              <w:rPr>
                <w:rFonts w:hint="eastAsia" w:ascii="Times New Roman" w:hAnsi="Times New Roman" w:eastAsia="宋体" w:cs="Times New Roman"/>
                <w:bCs/>
                <w:color w:val="auto"/>
                <w:sz w:val="18"/>
                <w:szCs w:val="18"/>
                <w:lang w:bidi="ar"/>
              </w:rPr>
              <w:t>1.07 (1.05-1.09); &lt;0.001</w:t>
            </w:r>
          </w:p>
        </w:tc>
        <w:tc>
          <w:tcPr>
            <w:tcW w:w="1666" w:type="pct"/>
          </w:tcPr>
          <w:p w14:paraId="4F587EB0">
            <w:pPr>
              <w:rPr>
                <w:color w:val="auto"/>
              </w:rPr>
            </w:pPr>
            <w:r>
              <w:rPr>
                <w:rFonts w:hint="eastAsia" w:ascii="Times New Roman" w:hAnsi="Times New Roman" w:eastAsia="宋体" w:cs="Times New Roman"/>
                <w:bCs/>
                <w:color w:val="auto"/>
                <w:sz w:val="18"/>
                <w:szCs w:val="18"/>
                <w:lang w:bidi="ar"/>
              </w:rPr>
              <w:t>1.08 (1.06-1.10); &lt;0.001</w:t>
            </w:r>
          </w:p>
        </w:tc>
      </w:tr>
      <w:tr w14:paraId="6AF321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6DF12C02">
            <w:pPr>
              <w:rPr>
                <w:color w:val="auto"/>
              </w:rPr>
            </w:pPr>
            <w:r>
              <w:rPr>
                <w:rFonts w:hint="eastAsia" w:ascii="Times New Roman" w:hAnsi="Times New Roman" w:eastAsia="宋体" w:cs="Times New Roman"/>
                <w:bCs/>
                <w:color w:val="auto"/>
                <w:sz w:val="18"/>
                <w:szCs w:val="18"/>
                <w:lang w:bidi="ar"/>
              </w:rPr>
              <w:t>Glucose</w:t>
            </w:r>
          </w:p>
        </w:tc>
        <w:tc>
          <w:tcPr>
            <w:tcW w:w="1666" w:type="pct"/>
          </w:tcPr>
          <w:p w14:paraId="58322962">
            <w:pPr>
              <w:rPr>
                <w:color w:val="auto"/>
              </w:rPr>
            </w:pPr>
            <w:r>
              <w:rPr>
                <w:rFonts w:hint="eastAsia" w:ascii="Times New Roman" w:hAnsi="Times New Roman" w:eastAsia="宋体" w:cs="Times New Roman"/>
                <w:bCs/>
                <w:color w:val="auto"/>
                <w:sz w:val="18"/>
                <w:szCs w:val="18"/>
                <w:lang w:bidi="ar"/>
              </w:rPr>
              <w:t>1.001 (1.001-1.001); &lt;0.001</w:t>
            </w:r>
          </w:p>
        </w:tc>
        <w:tc>
          <w:tcPr>
            <w:tcW w:w="1666" w:type="pct"/>
          </w:tcPr>
          <w:p w14:paraId="176A7ABB">
            <w:pPr>
              <w:rPr>
                <w:color w:val="auto"/>
              </w:rPr>
            </w:pPr>
            <w:r>
              <w:rPr>
                <w:rFonts w:hint="eastAsia" w:ascii="Times New Roman" w:hAnsi="Times New Roman" w:eastAsia="宋体" w:cs="Times New Roman"/>
                <w:bCs/>
                <w:color w:val="auto"/>
                <w:sz w:val="18"/>
                <w:szCs w:val="18"/>
                <w:lang w:bidi="ar"/>
              </w:rPr>
              <w:t>1.001 (1.001-1.001); &lt;0.001</w:t>
            </w:r>
          </w:p>
        </w:tc>
      </w:tr>
      <w:tr w14:paraId="459676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666" w:type="pct"/>
          </w:tcPr>
          <w:p w14:paraId="0C5986AB">
            <w:pPr>
              <w:rPr>
                <w:color w:val="auto"/>
              </w:rPr>
            </w:pPr>
            <w:r>
              <w:rPr>
                <w:rFonts w:hint="eastAsia" w:ascii="Times New Roman" w:hAnsi="Times New Roman" w:eastAsia="宋体" w:cs="Times New Roman"/>
                <w:bCs/>
                <w:color w:val="auto"/>
                <w:sz w:val="18"/>
                <w:szCs w:val="18"/>
                <w:lang w:bidi="ar"/>
              </w:rPr>
              <w:t>Heart rate</w:t>
            </w:r>
          </w:p>
        </w:tc>
        <w:tc>
          <w:tcPr>
            <w:tcW w:w="1666" w:type="pct"/>
          </w:tcPr>
          <w:p w14:paraId="61900D22">
            <w:pPr>
              <w:rPr>
                <w:color w:val="auto"/>
              </w:rPr>
            </w:pPr>
            <w:r>
              <w:rPr>
                <w:rFonts w:hint="eastAsia" w:ascii="Times New Roman" w:hAnsi="Times New Roman" w:eastAsia="宋体" w:cs="Times New Roman"/>
                <w:bCs/>
                <w:color w:val="auto"/>
                <w:sz w:val="18"/>
                <w:szCs w:val="18"/>
                <w:lang w:bidi="ar"/>
              </w:rPr>
              <w:t>1.009 (1.007-1.010); &lt;0.001</w:t>
            </w:r>
          </w:p>
        </w:tc>
        <w:tc>
          <w:tcPr>
            <w:tcW w:w="1666" w:type="pct"/>
          </w:tcPr>
          <w:p w14:paraId="6E54C856">
            <w:pPr>
              <w:rPr>
                <w:color w:val="auto"/>
              </w:rPr>
            </w:pPr>
            <w:r>
              <w:rPr>
                <w:rFonts w:hint="eastAsia" w:ascii="Times New Roman" w:hAnsi="Times New Roman" w:eastAsia="宋体" w:cs="Times New Roman"/>
                <w:bCs/>
                <w:color w:val="auto"/>
                <w:sz w:val="18"/>
                <w:szCs w:val="18"/>
                <w:lang w:bidi="ar"/>
              </w:rPr>
              <w:t>1.008 (1.006-1.010); &lt;0.001</w:t>
            </w:r>
          </w:p>
        </w:tc>
      </w:tr>
    </w:tbl>
    <w:p w14:paraId="38400AE4">
      <w:pPr>
        <w:rPr>
          <w:rFonts w:ascii="Times New Roman" w:hAnsi="Times New Roman" w:eastAsia="宋体" w:cs="Times New Roman"/>
          <w:bCs/>
          <w:color w:val="auto"/>
          <w:sz w:val="18"/>
          <w:szCs w:val="18"/>
          <w:lang w:bidi="ar"/>
        </w:rPr>
      </w:pPr>
      <w:r>
        <w:rPr>
          <w:rFonts w:ascii="Times New Roman Bold" w:hAnsi="Times New Roman Bold" w:eastAsia="宋体" w:cs="Times New Roman Bold"/>
          <w:b/>
          <w:color w:val="auto"/>
          <w:sz w:val="18"/>
          <w:szCs w:val="18"/>
          <w:lang w:bidi="ar"/>
        </w:rPr>
        <w:t xml:space="preserve">Abbreviations: </w:t>
      </w:r>
      <w:r>
        <w:rPr>
          <w:rFonts w:hint="eastAsia" w:ascii="Times New Roman" w:hAnsi="Times New Roman" w:eastAsia="宋体" w:cs="Times New Roman"/>
          <w:bCs/>
          <w:color w:val="auto"/>
          <w:sz w:val="18"/>
          <w:szCs w:val="18"/>
          <w:lang w:bidi="ar"/>
        </w:rPr>
        <w:t>SOFA, Sequential Organ Failure Assessment; OR, odds ratio; CI, confidence interval; COPD, chronic obstructive pulmonary disease.</w:t>
      </w:r>
    </w:p>
    <w:p w14:paraId="0BEE9A4F">
      <w:pPr>
        <w:rPr>
          <w:rFonts w:ascii="Times New Roman" w:hAnsi="Times New Roman" w:eastAsia="宋体" w:cs="Times New Roman"/>
          <w:bCs/>
          <w:color w:val="auto"/>
          <w:sz w:val="18"/>
          <w:szCs w:val="18"/>
          <w:lang w:bidi="ar"/>
        </w:rPr>
        <w:sectPr>
          <w:pgSz w:w="11906" w:h="16838"/>
          <w:pgMar w:top="1440" w:right="1797" w:bottom="1440" w:left="1797" w:header="851" w:footer="992" w:gutter="0"/>
          <w:cols w:space="425" w:num="1"/>
          <w:docGrid w:type="lines" w:linePitch="312" w:charSpace="0"/>
        </w:sectPr>
      </w:pPr>
      <w:r>
        <w:rPr>
          <w:rFonts w:ascii="Times New Roman Bold" w:hAnsi="Times New Roman Bold" w:eastAsia="宋体" w:cs="Times New Roman Bold"/>
          <w:b/>
          <w:color w:val="auto"/>
          <w:sz w:val="18"/>
          <w:szCs w:val="18"/>
          <w:lang w:bidi="ar"/>
        </w:rPr>
        <w:t xml:space="preserve">Notes: </w:t>
      </w:r>
      <w:r>
        <w:rPr>
          <w:rFonts w:hint="eastAsia" w:ascii="Times New Roman" w:hAnsi="Times New Roman" w:eastAsia="宋体" w:cs="Times New Roman"/>
          <w:bCs/>
          <w:color w:val="auto"/>
          <w:sz w:val="18"/>
          <w:szCs w:val="18"/>
          <w:lang w:bidi="ar"/>
        </w:rPr>
        <w:t>Values are presented as OR (95% CI); P-value. The 28-day mortality analysis was performed in the MIMIC-IV cohort. This simplified table presents Model C covariate estimates for the total SOFA score models. Model C included the corresponding total SOFA score, age, sex, documented sepsis, baseline comorbidities, white blood cell count, hemoglobin, blood glucose, and heart rate. ORs for SOFA scores represent the change in odds of 28-day mortality per 1-point increase in the corresponding total SOFA score.</w:t>
      </w:r>
      <w:r>
        <w:rPr>
          <w:color w:val="auto"/>
        </w:rPr>
        <w:t xml:space="preserve"> </w:t>
      </w:r>
      <w:r>
        <w:rPr>
          <w:rFonts w:ascii="Times New Roman" w:hAnsi="Times New Roman" w:eastAsia="宋体" w:cs="Times New Roman"/>
          <w:bCs/>
          <w:color w:val="auto"/>
          <w:sz w:val="18"/>
          <w:szCs w:val="18"/>
          <w:lang w:bidi="ar"/>
        </w:rPr>
        <w:t>Odds ratios for continuous variables were calculated per 1-unit increase in the original measurement unit: age per 1-year, total SOFA score per 1</w:t>
      </w:r>
      <w:r>
        <w:rPr>
          <w:rFonts w:hint="eastAsia" w:ascii="Times New Roman" w:hAnsi="Times New Roman" w:eastAsia="宋体" w:cs="Times New Roman"/>
          <w:bCs/>
          <w:color w:val="auto"/>
          <w:sz w:val="18"/>
          <w:szCs w:val="18"/>
          <w:lang w:bidi="ar"/>
        </w:rPr>
        <w:t>-</w:t>
      </w:r>
      <w:r>
        <w:rPr>
          <w:rFonts w:ascii="Times New Roman" w:hAnsi="Times New Roman" w:eastAsia="宋体" w:cs="Times New Roman"/>
          <w:bCs/>
          <w:color w:val="auto"/>
          <w:sz w:val="18"/>
          <w:szCs w:val="18"/>
          <w:lang w:bidi="ar"/>
        </w:rPr>
        <w:t>point, white blood cell count per 1 × 10⁹/L, hemoglobin per 1 g/dL, blood glucose per 1 mg/dL, and heart rate per 1 beat/min.</w:t>
      </w:r>
    </w:p>
    <w:p w14:paraId="5BA27521">
      <w:pPr>
        <w:rPr>
          <w:rFonts w:ascii="Times New Roman Bold" w:hAnsi="Times New Roman Bold" w:cs="Times New Roman Bold"/>
          <w:b/>
          <w:bCs/>
          <w:color w:val="auto"/>
          <w:szCs w:val="21"/>
        </w:rPr>
      </w:pPr>
      <w:r>
        <w:rPr>
          <w:rFonts w:ascii="Times New Roman Bold" w:hAnsi="Times New Roman Bold" w:cs="Times New Roman Bold"/>
          <w:b/>
          <w:bCs/>
          <w:color w:val="auto"/>
          <w:szCs w:val="21"/>
        </w:rPr>
        <w:t>eTable 11. Variance inflation factors for variables included in Model C for 28-day mortality</w:t>
      </w:r>
    </w:p>
    <w:tbl>
      <w:tblPr>
        <w:tblStyle w:val="17"/>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0"/>
        <w:gridCol w:w="2130"/>
        <w:gridCol w:w="2131"/>
        <w:gridCol w:w="2131"/>
      </w:tblGrid>
      <w:tr w14:paraId="4775DD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Borders>
              <w:bottom w:val="single" w:color="auto" w:sz="4" w:space="0"/>
            </w:tcBorders>
          </w:tcPr>
          <w:p w14:paraId="0274682E">
            <w:pPr>
              <w:rPr>
                <w:color w:val="auto"/>
              </w:rPr>
            </w:pPr>
            <w:r>
              <w:rPr>
                <w:rFonts w:ascii="Times New Roman Bold" w:hAnsi="Times New Roman Bold" w:cs="Times New Roman Bold"/>
                <w:b/>
                <w:bCs/>
                <w:color w:val="auto"/>
                <w:sz w:val="18"/>
                <w:szCs w:val="18"/>
              </w:rPr>
              <w:t>Variable</w:t>
            </w:r>
          </w:p>
        </w:tc>
        <w:tc>
          <w:tcPr>
            <w:tcW w:w="2130" w:type="dxa"/>
            <w:tcBorders>
              <w:bottom w:val="single" w:color="auto" w:sz="4" w:space="0"/>
            </w:tcBorders>
          </w:tcPr>
          <w:p w14:paraId="46CD637C">
            <w:pPr>
              <w:rPr>
                <w:color w:val="auto"/>
              </w:rPr>
            </w:pPr>
            <w:r>
              <w:rPr>
                <w:rFonts w:ascii="Times New Roman Bold" w:hAnsi="Times New Roman Bold" w:cs="Times New Roman Bold"/>
                <w:b/>
                <w:bCs/>
                <w:color w:val="auto"/>
                <w:sz w:val="18"/>
                <w:szCs w:val="18"/>
              </w:rPr>
              <w:t>MIMIC-IV SOFA-1 total model</w:t>
            </w:r>
          </w:p>
        </w:tc>
        <w:tc>
          <w:tcPr>
            <w:tcW w:w="2131" w:type="dxa"/>
            <w:tcBorders>
              <w:bottom w:val="single" w:color="auto" w:sz="4" w:space="0"/>
            </w:tcBorders>
          </w:tcPr>
          <w:p w14:paraId="506E5D6C">
            <w:pPr>
              <w:rPr>
                <w:color w:val="auto"/>
              </w:rPr>
            </w:pPr>
            <w:r>
              <w:rPr>
                <w:rFonts w:ascii="Times New Roman Bold" w:hAnsi="Times New Roman Bold" w:cs="Times New Roman Bold"/>
                <w:b/>
                <w:bCs/>
                <w:color w:val="auto"/>
                <w:sz w:val="18"/>
                <w:szCs w:val="18"/>
              </w:rPr>
              <w:t>MIMIC-IV SOFA-2 total model</w:t>
            </w:r>
          </w:p>
        </w:tc>
        <w:tc>
          <w:tcPr>
            <w:tcW w:w="2131" w:type="dxa"/>
            <w:tcBorders>
              <w:bottom w:val="single" w:color="auto" w:sz="4" w:space="0"/>
            </w:tcBorders>
          </w:tcPr>
          <w:p w14:paraId="3502CCC1">
            <w:pPr>
              <w:rPr>
                <w:color w:val="auto"/>
              </w:rPr>
            </w:pPr>
            <w:r>
              <w:rPr>
                <w:rFonts w:ascii="Times New Roman Bold" w:hAnsi="Times New Roman Bold" w:cs="Times New Roman Bold"/>
                <w:b/>
                <w:bCs/>
                <w:color w:val="auto"/>
                <w:sz w:val="18"/>
                <w:szCs w:val="18"/>
              </w:rPr>
              <w:t>Maximum VIF across total and organ-specific Model C models</w:t>
            </w:r>
          </w:p>
        </w:tc>
      </w:tr>
      <w:tr w14:paraId="48E6B1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Borders>
              <w:top w:val="single" w:color="auto" w:sz="4" w:space="0"/>
            </w:tcBorders>
          </w:tcPr>
          <w:p w14:paraId="0FC9268F">
            <w:pPr>
              <w:rPr>
                <w:color w:val="auto"/>
              </w:rPr>
            </w:pPr>
            <w:r>
              <w:rPr>
                <w:rFonts w:ascii="Times New Roman" w:hAnsi="Times New Roman" w:cs="Times New Roman"/>
                <w:color w:val="auto"/>
                <w:sz w:val="18"/>
                <w:szCs w:val="18"/>
              </w:rPr>
              <w:t>SOFA score variable</w:t>
            </w:r>
          </w:p>
        </w:tc>
        <w:tc>
          <w:tcPr>
            <w:tcW w:w="2130" w:type="dxa"/>
            <w:tcBorders>
              <w:top w:val="single" w:color="auto" w:sz="4" w:space="0"/>
            </w:tcBorders>
          </w:tcPr>
          <w:p w14:paraId="32D8EF93">
            <w:pPr>
              <w:rPr>
                <w:color w:val="auto"/>
              </w:rPr>
            </w:pPr>
            <w:r>
              <w:rPr>
                <w:rFonts w:ascii="Times New Roman" w:hAnsi="Times New Roman" w:cs="Times New Roman"/>
                <w:color w:val="auto"/>
                <w:sz w:val="18"/>
                <w:szCs w:val="18"/>
              </w:rPr>
              <w:t>1.36</w:t>
            </w:r>
          </w:p>
        </w:tc>
        <w:tc>
          <w:tcPr>
            <w:tcW w:w="2131" w:type="dxa"/>
            <w:tcBorders>
              <w:top w:val="single" w:color="auto" w:sz="4" w:space="0"/>
            </w:tcBorders>
          </w:tcPr>
          <w:p w14:paraId="476BBA03">
            <w:pPr>
              <w:rPr>
                <w:color w:val="auto"/>
              </w:rPr>
            </w:pPr>
            <w:r>
              <w:rPr>
                <w:rFonts w:ascii="Times New Roman" w:hAnsi="Times New Roman" w:cs="Times New Roman"/>
                <w:color w:val="auto"/>
                <w:sz w:val="18"/>
                <w:szCs w:val="18"/>
              </w:rPr>
              <w:t>1.33</w:t>
            </w:r>
          </w:p>
        </w:tc>
        <w:tc>
          <w:tcPr>
            <w:tcW w:w="2131" w:type="dxa"/>
            <w:tcBorders>
              <w:top w:val="single" w:color="auto" w:sz="4" w:space="0"/>
            </w:tcBorders>
          </w:tcPr>
          <w:p w14:paraId="0ACBD63E">
            <w:pPr>
              <w:rPr>
                <w:color w:val="auto"/>
              </w:rPr>
            </w:pPr>
            <w:r>
              <w:rPr>
                <w:rFonts w:ascii="Times New Roman" w:hAnsi="Times New Roman" w:cs="Times New Roman"/>
                <w:color w:val="auto"/>
                <w:sz w:val="18"/>
                <w:szCs w:val="18"/>
              </w:rPr>
              <w:t>1.53</w:t>
            </w:r>
          </w:p>
        </w:tc>
      </w:tr>
      <w:tr w14:paraId="131C1B9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5526506C">
            <w:pPr>
              <w:rPr>
                <w:color w:val="auto"/>
              </w:rPr>
            </w:pPr>
            <w:r>
              <w:rPr>
                <w:rFonts w:ascii="Times New Roman" w:hAnsi="Times New Roman" w:cs="Times New Roman"/>
                <w:color w:val="auto"/>
                <w:sz w:val="18"/>
                <w:szCs w:val="18"/>
              </w:rPr>
              <w:t>Age</w:t>
            </w:r>
          </w:p>
        </w:tc>
        <w:tc>
          <w:tcPr>
            <w:tcW w:w="2130" w:type="dxa"/>
          </w:tcPr>
          <w:p w14:paraId="39E82EBA">
            <w:pPr>
              <w:rPr>
                <w:color w:val="auto"/>
              </w:rPr>
            </w:pPr>
            <w:r>
              <w:rPr>
                <w:rFonts w:ascii="Times New Roman" w:hAnsi="Times New Roman" w:cs="Times New Roman"/>
                <w:color w:val="auto"/>
                <w:sz w:val="18"/>
                <w:szCs w:val="18"/>
              </w:rPr>
              <w:t>1.07</w:t>
            </w:r>
          </w:p>
        </w:tc>
        <w:tc>
          <w:tcPr>
            <w:tcW w:w="2131" w:type="dxa"/>
          </w:tcPr>
          <w:p w14:paraId="1B557A34">
            <w:pPr>
              <w:rPr>
                <w:color w:val="auto"/>
              </w:rPr>
            </w:pPr>
            <w:r>
              <w:rPr>
                <w:rFonts w:ascii="Times New Roman" w:hAnsi="Times New Roman" w:cs="Times New Roman"/>
                <w:color w:val="auto"/>
                <w:sz w:val="18"/>
                <w:szCs w:val="18"/>
              </w:rPr>
              <w:t>1.07</w:t>
            </w:r>
          </w:p>
        </w:tc>
        <w:tc>
          <w:tcPr>
            <w:tcW w:w="2131" w:type="dxa"/>
          </w:tcPr>
          <w:p w14:paraId="393DCE32">
            <w:pPr>
              <w:rPr>
                <w:color w:val="auto"/>
              </w:rPr>
            </w:pPr>
            <w:r>
              <w:rPr>
                <w:rFonts w:ascii="Times New Roman" w:hAnsi="Times New Roman" w:cs="Times New Roman"/>
                <w:color w:val="auto"/>
                <w:sz w:val="18"/>
                <w:szCs w:val="18"/>
              </w:rPr>
              <w:t>1.08</w:t>
            </w:r>
          </w:p>
        </w:tc>
      </w:tr>
      <w:tr w14:paraId="33A4FC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385A8DDA">
            <w:pPr>
              <w:rPr>
                <w:color w:val="auto"/>
              </w:rPr>
            </w:pPr>
            <w:r>
              <w:rPr>
                <w:rFonts w:ascii="Times New Roman" w:hAnsi="Times New Roman" w:cs="Times New Roman"/>
                <w:color w:val="auto"/>
                <w:sz w:val="18"/>
                <w:szCs w:val="18"/>
              </w:rPr>
              <w:t>Male sex</w:t>
            </w:r>
          </w:p>
        </w:tc>
        <w:tc>
          <w:tcPr>
            <w:tcW w:w="2130" w:type="dxa"/>
          </w:tcPr>
          <w:p w14:paraId="0500A78F">
            <w:pPr>
              <w:rPr>
                <w:color w:val="auto"/>
              </w:rPr>
            </w:pPr>
            <w:r>
              <w:rPr>
                <w:rFonts w:ascii="Times New Roman" w:hAnsi="Times New Roman" w:cs="Times New Roman"/>
                <w:color w:val="auto"/>
                <w:sz w:val="18"/>
                <w:szCs w:val="18"/>
              </w:rPr>
              <w:t>1.06</w:t>
            </w:r>
          </w:p>
        </w:tc>
        <w:tc>
          <w:tcPr>
            <w:tcW w:w="2131" w:type="dxa"/>
          </w:tcPr>
          <w:p w14:paraId="0528D7BE">
            <w:pPr>
              <w:rPr>
                <w:color w:val="auto"/>
              </w:rPr>
            </w:pPr>
            <w:r>
              <w:rPr>
                <w:rFonts w:ascii="Times New Roman" w:hAnsi="Times New Roman" w:cs="Times New Roman"/>
                <w:color w:val="auto"/>
                <w:sz w:val="18"/>
                <w:szCs w:val="18"/>
              </w:rPr>
              <w:t>1.05</w:t>
            </w:r>
          </w:p>
        </w:tc>
        <w:tc>
          <w:tcPr>
            <w:tcW w:w="2131" w:type="dxa"/>
          </w:tcPr>
          <w:p w14:paraId="0AE94FBF">
            <w:pPr>
              <w:rPr>
                <w:color w:val="auto"/>
              </w:rPr>
            </w:pPr>
            <w:r>
              <w:rPr>
                <w:rFonts w:ascii="Times New Roman" w:hAnsi="Times New Roman" w:cs="Times New Roman"/>
                <w:color w:val="auto"/>
                <w:sz w:val="18"/>
                <w:szCs w:val="18"/>
              </w:rPr>
              <w:t>1.06</w:t>
            </w:r>
          </w:p>
        </w:tc>
      </w:tr>
      <w:tr w14:paraId="4F1D94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5B88B058">
            <w:pPr>
              <w:rPr>
                <w:color w:val="auto"/>
              </w:rPr>
            </w:pPr>
            <w:r>
              <w:rPr>
                <w:rFonts w:ascii="Times New Roman" w:hAnsi="Times New Roman" w:cs="Times New Roman"/>
                <w:color w:val="auto"/>
                <w:sz w:val="18"/>
                <w:szCs w:val="18"/>
              </w:rPr>
              <w:t>Documented sepsis</w:t>
            </w:r>
          </w:p>
        </w:tc>
        <w:tc>
          <w:tcPr>
            <w:tcW w:w="2130" w:type="dxa"/>
          </w:tcPr>
          <w:p w14:paraId="25E21768">
            <w:pPr>
              <w:rPr>
                <w:color w:val="auto"/>
              </w:rPr>
            </w:pPr>
            <w:r>
              <w:rPr>
                <w:rFonts w:ascii="Times New Roman" w:hAnsi="Times New Roman" w:cs="Times New Roman"/>
                <w:color w:val="auto"/>
                <w:sz w:val="18"/>
                <w:szCs w:val="18"/>
              </w:rPr>
              <w:t>1.13</w:t>
            </w:r>
          </w:p>
        </w:tc>
        <w:tc>
          <w:tcPr>
            <w:tcW w:w="2131" w:type="dxa"/>
          </w:tcPr>
          <w:p w14:paraId="6DA8B8C9">
            <w:pPr>
              <w:rPr>
                <w:color w:val="auto"/>
              </w:rPr>
            </w:pPr>
            <w:r>
              <w:rPr>
                <w:rFonts w:ascii="Times New Roman" w:hAnsi="Times New Roman" w:cs="Times New Roman"/>
                <w:color w:val="auto"/>
                <w:sz w:val="18"/>
                <w:szCs w:val="18"/>
              </w:rPr>
              <w:t>1.12</w:t>
            </w:r>
          </w:p>
        </w:tc>
        <w:tc>
          <w:tcPr>
            <w:tcW w:w="2131" w:type="dxa"/>
          </w:tcPr>
          <w:p w14:paraId="7CC5E636">
            <w:pPr>
              <w:rPr>
                <w:color w:val="auto"/>
              </w:rPr>
            </w:pPr>
            <w:r>
              <w:rPr>
                <w:rFonts w:ascii="Times New Roman" w:hAnsi="Times New Roman" w:cs="Times New Roman"/>
                <w:color w:val="auto"/>
                <w:sz w:val="18"/>
                <w:szCs w:val="18"/>
              </w:rPr>
              <w:t>1.15</w:t>
            </w:r>
          </w:p>
        </w:tc>
      </w:tr>
      <w:tr w14:paraId="73E0D0F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3CDFD886">
            <w:pPr>
              <w:rPr>
                <w:color w:val="auto"/>
              </w:rPr>
            </w:pPr>
            <w:r>
              <w:rPr>
                <w:rFonts w:ascii="Times New Roman" w:hAnsi="Times New Roman" w:cs="Times New Roman"/>
                <w:color w:val="auto"/>
                <w:sz w:val="18"/>
                <w:szCs w:val="18"/>
              </w:rPr>
              <w:t>Cardiovascular comorbidity</w:t>
            </w:r>
          </w:p>
        </w:tc>
        <w:tc>
          <w:tcPr>
            <w:tcW w:w="2130" w:type="dxa"/>
          </w:tcPr>
          <w:p w14:paraId="7282598E">
            <w:pPr>
              <w:rPr>
                <w:color w:val="auto"/>
              </w:rPr>
            </w:pPr>
            <w:r>
              <w:rPr>
                <w:rFonts w:ascii="Times New Roman" w:hAnsi="Times New Roman" w:cs="Times New Roman"/>
                <w:color w:val="auto"/>
                <w:sz w:val="18"/>
                <w:szCs w:val="18"/>
              </w:rPr>
              <w:t>1.12</w:t>
            </w:r>
          </w:p>
        </w:tc>
        <w:tc>
          <w:tcPr>
            <w:tcW w:w="2131" w:type="dxa"/>
          </w:tcPr>
          <w:p w14:paraId="0DB2845D">
            <w:pPr>
              <w:rPr>
                <w:color w:val="auto"/>
              </w:rPr>
            </w:pPr>
            <w:r>
              <w:rPr>
                <w:rFonts w:ascii="Times New Roman" w:hAnsi="Times New Roman" w:cs="Times New Roman"/>
                <w:color w:val="auto"/>
                <w:sz w:val="18"/>
                <w:szCs w:val="18"/>
              </w:rPr>
              <w:t>1.13</w:t>
            </w:r>
          </w:p>
        </w:tc>
        <w:tc>
          <w:tcPr>
            <w:tcW w:w="2131" w:type="dxa"/>
          </w:tcPr>
          <w:p w14:paraId="148CAD4B">
            <w:pPr>
              <w:rPr>
                <w:color w:val="auto"/>
              </w:rPr>
            </w:pPr>
            <w:r>
              <w:rPr>
                <w:rFonts w:ascii="Times New Roman" w:hAnsi="Times New Roman" w:cs="Times New Roman"/>
                <w:color w:val="auto"/>
                <w:sz w:val="18"/>
                <w:szCs w:val="18"/>
              </w:rPr>
              <w:t>1.14</w:t>
            </w:r>
          </w:p>
        </w:tc>
      </w:tr>
      <w:tr w14:paraId="3F643B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12BE6356">
            <w:pPr>
              <w:rPr>
                <w:color w:val="auto"/>
              </w:rPr>
            </w:pPr>
            <w:r>
              <w:rPr>
                <w:rFonts w:ascii="Times New Roman" w:hAnsi="Times New Roman" w:cs="Times New Roman"/>
                <w:color w:val="auto"/>
                <w:sz w:val="18"/>
                <w:szCs w:val="18"/>
              </w:rPr>
              <w:t>Diabetes</w:t>
            </w:r>
          </w:p>
        </w:tc>
        <w:tc>
          <w:tcPr>
            <w:tcW w:w="2130" w:type="dxa"/>
          </w:tcPr>
          <w:p w14:paraId="2CF5A399">
            <w:pPr>
              <w:rPr>
                <w:color w:val="auto"/>
              </w:rPr>
            </w:pPr>
            <w:r>
              <w:rPr>
                <w:rFonts w:ascii="Times New Roman" w:hAnsi="Times New Roman" w:cs="Times New Roman"/>
                <w:color w:val="auto"/>
                <w:sz w:val="18"/>
                <w:szCs w:val="18"/>
              </w:rPr>
              <w:t>1.17</w:t>
            </w:r>
          </w:p>
        </w:tc>
        <w:tc>
          <w:tcPr>
            <w:tcW w:w="2131" w:type="dxa"/>
          </w:tcPr>
          <w:p w14:paraId="6691F7C0">
            <w:pPr>
              <w:rPr>
                <w:color w:val="auto"/>
              </w:rPr>
            </w:pPr>
            <w:r>
              <w:rPr>
                <w:rFonts w:ascii="Times New Roman" w:hAnsi="Times New Roman" w:cs="Times New Roman"/>
                <w:color w:val="auto"/>
                <w:sz w:val="18"/>
                <w:szCs w:val="18"/>
              </w:rPr>
              <w:t>1.17</w:t>
            </w:r>
          </w:p>
        </w:tc>
        <w:tc>
          <w:tcPr>
            <w:tcW w:w="2131" w:type="dxa"/>
          </w:tcPr>
          <w:p w14:paraId="08DA726B">
            <w:pPr>
              <w:rPr>
                <w:color w:val="auto"/>
              </w:rPr>
            </w:pPr>
            <w:r>
              <w:rPr>
                <w:rFonts w:ascii="Times New Roman" w:hAnsi="Times New Roman" w:cs="Times New Roman"/>
                <w:color w:val="auto"/>
                <w:sz w:val="18"/>
                <w:szCs w:val="18"/>
              </w:rPr>
              <w:t>1.17</w:t>
            </w:r>
          </w:p>
        </w:tc>
      </w:tr>
      <w:tr w14:paraId="3E6CBA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0347B1AB">
            <w:pPr>
              <w:rPr>
                <w:color w:val="auto"/>
              </w:rPr>
            </w:pPr>
            <w:r>
              <w:rPr>
                <w:rFonts w:ascii="Times New Roman" w:hAnsi="Times New Roman" w:cs="Times New Roman"/>
                <w:color w:val="auto"/>
                <w:sz w:val="18"/>
                <w:szCs w:val="18"/>
              </w:rPr>
              <w:t>Neurologic comorbidity</w:t>
            </w:r>
          </w:p>
        </w:tc>
        <w:tc>
          <w:tcPr>
            <w:tcW w:w="2130" w:type="dxa"/>
          </w:tcPr>
          <w:p w14:paraId="70779907">
            <w:pPr>
              <w:rPr>
                <w:color w:val="auto"/>
              </w:rPr>
            </w:pPr>
            <w:r>
              <w:rPr>
                <w:rFonts w:ascii="Times New Roman" w:hAnsi="Times New Roman" w:cs="Times New Roman"/>
                <w:color w:val="auto"/>
                <w:sz w:val="18"/>
                <w:szCs w:val="18"/>
              </w:rPr>
              <w:t>1.07</w:t>
            </w:r>
          </w:p>
        </w:tc>
        <w:tc>
          <w:tcPr>
            <w:tcW w:w="2131" w:type="dxa"/>
          </w:tcPr>
          <w:p w14:paraId="37368C52">
            <w:pPr>
              <w:rPr>
                <w:color w:val="auto"/>
              </w:rPr>
            </w:pPr>
            <w:r>
              <w:rPr>
                <w:rFonts w:ascii="Times New Roman" w:hAnsi="Times New Roman" w:cs="Times New Roman"/>
                <w:color w:val="auto"/>
                <w:sz w:val="18"/>
                <w:szCs w:val="18"/>
              </w:rPr>
              <w:t>1.07</w:t>
            </w:r>
          </w:p>
        </w:tc>
        <w:tc>
          <w:tcPr>
            <w:tcW w:w="2131" w:type="dxa"/>
          </w:tcPr>
          <w:p w14:paraId="42B1EA0D">
            <w:pPr>
              <w:rPr>
                <w:color w:val="auto"/>
              </w:rPr>
            </w:pPr>
            <w:r>
              <w:rPr>
                <w:rFonts w:ascii="Times New Roman" w:hAnsi="Times New Roman" w:cs="Times New Roman"/>
                <w:color w:val="auto"/>
                <w:sz w:val="18"/>
                <w:szCs w:val="18"/>
              </w:rPr>
              <w:t>1.10</w:t>
            </w:r>
          </w:p>
        </w:tc>
      </w:tr>
      <w:tr w14:paraId="7234A2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6C37FEC5">
            <w:pPr>
              <w:rPr>
                <w:color w:val="auto"/>
              </w:rPr>
            </w:pPr>
            <w:r>
              <w:rPr>
                <w:rFonts w:ascii="Times New Roman" w:hAnsi="Times New Roman" w:cs="Times New Roman"/>
                <w:color w:val="auto"/>
                <w:sz w:val="18"/>
                <w:szCs w:val="18"/>
              </w:rPr>
              <w:t>Chronic kidney disease</w:t>
            </w:r>
          </w:p>
        </w:tc>
        <w:tc>
          <w:tcPr>
            <w:tcW w:w="2130" w:type="dxa"/>
          </w:tcPr>
          <w:p w14:paraId="3B35C759">
            <w:pPr>
              <w:rPr>
                <w:color w:val="auto"/>
              </w:rPr>
            </w:pPr>
            <w:r>
              <w:rPr>
                <w:rFonts w:ascii="Times New Roman" w:hAnsi="Times New Roman" w:cs="Times New Roman"/>
                <w:color w:val="auto"/>
                <w:sz w:val="18"/>
                <w:szCs w:val="18"/>
              </w:rPr>
              <w:t>1.17</w:t>
            </w:r>
          </w:p>
        </w:tc>
        <w:tc>
          <w:tcPr>
            <w:tcW w:w="2131" w:type="dxa"/>
          </w:tcPr>
          <w:p w14:paraId="192D7DDF">
            <w:pPr>
              <w:rPr>
                <w:color w:val="auto"/>
              </w:rPr>
            </w:pPr>
            <w:r>
              <w:rPr>
                <w:rFonts w:ascii="Times New Roman" w:hAnsi="Times New Roman" w:cs="Times New Roman"/>
                <w:color w:val="auto"/>
                <w:sz w:val="18"/>
                <w:szCs w:val="18"/>
              </w:rPr>
              <w:t>1.16</w:t>
            </w:r>
          </w:p>
        </w:tc>
        <w:tc>
          <w:tcPr>
            <w:tcW w:w="2131" w:type="dxa"/>
          </w:tcPr>
          <w:p w14:paraId="01429401">
            <w:pPr>
              <w:rPr>
                <w:color w:val="auto"/>
              </w:rPr>
            </w:pPr>
            <w:r>
              <w:rPr>
                <w:rFonts w:ascii="Times New Roman" w:hAnsi="Times New Roman" w:cs="Times New Roman"/>
                <w:color w:val="auto"/>
                <w:sz w:val="18"/>
                <w:szCs w:val="18"/>
              </w:rPr>
              <w:t>1.47</w:t>
            </w:r>
          </w:p>
        </w:tc>
      </w:tr>
      <w:tr w14:paraId="1FCA6C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684A4AC2">
            <w:pPr>
              <w:rPr>
                <w:color w:val="auto"/>
              </w:rPr>
            </w:pPr>
            <w:r>
              <w:rPr>
                <w:rFonts w:ascii="Times New Roman" w:hAnsi="Times New Roman" w:cs="Times New Roman"/>
                <w:color w:val="auto"/>
                <w:sz w:val="18"/>
                <w:szCs w:val="18"/>
              </w:rPr>
              <w:t>COPD</w:t>
            </w:r>
          </w:p>
        </w:tc>
        <w:tc>
          <w:tcPr>
            <w:tcW w:w="2130" w:type="dxa"/>
          </w:tcPr>
          <w:p w14:paraId="0522E672">
            <w:pPr>
              <w:rPr>
                <w:color w:val="auto"/>
              </w:rPr>
            </w:pPr>
            <w:r>
              <w:rPr>
                <w:rFonts w:ascii="Times New Roman" w:hAnsi="Times New Roman" w:cs="Times New Roman"/>
                <w:color w:val="auto"/>
                <w:sz w:val="18"/>
                <w:szCs w:val="18"/>
              </w:rPr>
              <w:t>1.02</w:t>
            </w:r>
          </w:p>
        </w:tc>
        <w:tc>
          <w:tcPr>
            <w:tcW w:w="2131" w:type="dxa"/>
          </w:tcPr>
          <w:p w14:paraId="26EF6175">
            <w:pPr>
              <w:rPr>
                <w:color w:val="auto"/>
              </w:rPr>
            </w:pPr>
            <w:r>
              <w:rPr>
                <w:rFonts w:ascii="Times New Roman" w:hAnsi="Times New Roman" w:cs="Times New Roman"/>
                <w:color w:val="auto"/>
                <w:sz w:val="18"/>
                <w:szCs w:val="18"/>
              </w:rPr>
              <w:t>1.02</w:t>
            </w:r>
          </w:p>
        </w:tc>
        <w:tc>
          <w:tcPr>
            <w:tcW w:w="2131" w:type="dxa"/>
          </w:tcPr>
          <w:p w14:paraId="487A8844">
            <w:pPr>
              <w:rPr>
                <w:color w:val="auto"/>
              </w:rPr>
            </w:pPr>
            <w:r>
              <w:rPr>
                <w:rFonts w:ascii="Times New Roman" w:hAnsi="Times New Roman" w:cs="Times New Roman"/>
                <w:color w:val="auto"/>
                <w:sz w:val="18"/>
                <w:szCs w:val="18"/>
              </w:rPr>
              <w:t>1.03</w:t>
            </w:r>
          </w:p>
        </w:tc>
      </w:tr>
      <w:tr w14:paraId="3504E8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33B03AA5">
            <w:pPr>
              <w:rPr>
                <w:color w:val="auto"/>
              </w:rPr>
            </w:pPr>
            <w:r>
              <w:rPr>
                <w:rFonts w:ascii="Times New Roman" w:hAnsi="Times New Roman" w:cs="Times New Roman"/>
                <w:color w:val="auto"/>
                <w:sz w:val="18"/>
                <w:szCs w:val="18"/>
              </w:rPr>
              <w:t>Malignancy</w:t>
            </w:r>
          </w:p>
        </w:tc>
        <w:tc>
          <w:tcPr>
            <w:tcW w:w="2130" w:type="dxa"/>
          </w:tcPr>
          <w:p w14:paraId="0AC699DF">
            <w:pPr>
              <w:rPr>
                <w:color w:val="auto"/>
              </w:rPr>
            </w:pPr>
            <w:r>
              <w:rPr>
                <w:rFonts w:ascii="Times New Roman" w:hAnsi="Times New Roman" w:cs="Times New Roman"/>
                <w:color w:val="auto"/>
                <w:sz w:val="18"/>
                <w:szCs w:val="18"/>
              </w:rPr>
              <w:t>1.05</w:t>
            </w:r>
          </w:p>
        </w:tc>
        <w:tc>
          <w:tcPr>
            <w:tcW w:w="2131" w:type="dxa"/>
          </w:tcPr>
          <w:p w14:paraId="0009AFE5">
            <w:pPr>
              <w:rPr>
                <w:color w:val="auto"/>
              </w:rPr>
            </w:pPr>
            <w:r>
              <w:rPr>
                <w:rFonts w:ascii="Times New Roman" w:hAnsi="Times New Roman" w:cs="Times New Roman"/>
                <w:color w:val="auto"/>
                <w:sz w:val="18"/>
                <w:szCs w:val="18"/>
              </w:rPr>
              <w:t>1.04</w:t>
            </w:r>
          </w:p>
        </w:tc>
        <w:tc>
          <w:tcPr>
            <w:tcW w:w="2131" w:type="dxa"/>
          </w:tcPr>
          <w:p w14:paraId="0EAD9A4B">
            <w:pPr>
              <w:rPr>
                <w:color w:val="auto"/>
              </w:rPr>
            </w:pPr>
            <w:r>
              <w:rPr>
                <w:rFonts w:ascii="Times New Roman" w:hAnsi="Times New Roman" w:cs="Times New Roman"/>
                <w:color w:val="auto"/>
                <w:sz w:val="18"/>
                <w:szCs w:val="18"/>
              </w:rPr>
              <w:t>1.06</w:t>
            </w:r>
          </w:p>
        </w:tc>
      </w:tr>
      <w:tr w14:paraId="60DD4C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184F68F8">
            <w:pPr>
              <w:rPr>
                <w:color w:val="auto"/>
              </w:rPr>
            </w:pPr>
            <w:r>
              <w:rPr>
                <w:rFonts w:ascii="Times New Roman" w:hAnsi="Times New Roman" w:cs="Times New Roman"/>
                <w:color w:val="auto"/>
                <w:sz w:val="18"/>
                <w:szCs w:val="18"/>
              </w:rPr>
              <w:t>Chronic liver disease</w:t>
            </w:r>
          </w:p>
        </w:tc>
        <w:tc>
          <w:tcPr>
            <w:tcW w:w="2130" w:type="dxa"/>
          </w:tcPr>
          <w:p w14:paraId="397AA173">
            <w:pPr>
              <w:rPr>
                <w:color w:val="auto"/>
              </w:rPr>
            </w:pPr>
            <w:r>
              <w:rPr>
                <w:rFonts w:ascii="Times New Roman" w:hAnsi="Times New Roman" w:cs="Times New Roman"/>
                <w:color w:val="auto"/>
                <w:sz w:val="18"/>
                <w:szCs w:val="18"/>
              </w:rPr>
              <w:t>1.07</w:t>
            </w:r>
          </w:p>
        </w:tc>
        <w:tc>
          <w:tcPr>
            <w:tcW w:w="2131" w:type="dxa"/>
          </w:tcPr>
          <w:p w14:paraId="30908AD3">
            <w:pPr>
              <w:rPr>
                <w:color w:val="auto"/>
              </w:rPr>
            </w:pPr>
            <w:r>
              <w:rPr>
                <w:rFonts w:ascii="Times New Roman" w:hAnsi="Times New Roman" w:cs="Times New Roman"/>
                <w:color w:val="auto"/>
                <w:sz w:val="18"/>
                <w:szCs w:val="18"/>
              </w:rPr>
              <w:t>1.07</w:t>
            </w:r>
          </w:p>
        </w:tc>
        <w:tc>
          <w:tcPr>
            <w:tcW w:w="2131" w:type="dxa"/>
          </w:tcPr>
          <w:p w14:paraId="342A9685">
            <w:pPr>
              <w:rPr>
                <w:color w:val="auto"/>
              </w:rPr>
            </w:pPr>
            <w:r>
              <w:rPr>
                <w:rFonts w:ascii="Times New Roman" w:hAnsi="Times New Roman" w:cs="Times New Roman"/>
                <w:color w:val="auto"/>
                <w:sz w:val="18"/>
                <w:szCs w:val="18"/>
              </w:rPr>
              <w:t>1.16</w:t>
            </w:r>
          </w:p>
        </w:tc>
      </w:tr>
      <w:tr w14:paraId="11ACB6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24C4F39A">
            <w:pPr>
              <w:rPr>
                <w:color w:val="auto"/>
              </w:rPr>
            </w:pPr>
            <w:r>
              <w:rPr>
                <w:rFonts w:ascii="Times New Roman" w:hAnsi="Times New Roman" w:cs="Times New Roman"/>
                <w:color w:val="auto"/>
                <w:sz w:val="18"/>
                <w:szCs w:val="18"/>
              </w:rPr>
              <w:t>White blood cell count</w:t>
            </w:r>
          </w:p>
        </w:tc>
        <w:tc>
          <w:tcPr>
            <w:tcW w:w="2130" w:type="dxa"/>
          </w:tcPr>
          <w:p w14:paraId="32C21551">
            <w:pPr>
              <w:rPr>
                <w:color w:val="auto"/>
              </w:rPr>
            </w:pPr>
            <w:r>
              <w:rPr>
                <w:rFonts w:ascii="Times New Roman" w:hAnsi="Times New Roman" w:cs="Times New Roman"/>
                <w:color w:val="auto"/>
                <w:sz w:val="18"/>
                <w:szCs w:val="18"/>
              </w:rPr>
              <w:t>1.06</w:t>
            </w:r>
          </w:p>
        </w:tc>
        <w:tc>
          <w:tcPr>
            <w:tcW w:w="2131" w:type="dxa"/>
          </w:tcPr>
          <w:p w14:paraId="5AB88B02">
            <w:pPr>
              <w:rPr>
                <w:color w:val="auto"/>
              </w:rPr>
            </w:pPr>
            <w:r>
              <w:rPr>
                <w:rFonts w:ascii="Times New Roman" w:hAnsi="Times New Roman" w:cs="Times New Roman"/>
                <w:color w:val="auto"/>
                <w:sz w:val="18"/>
                <w:szCs w:val="18"/>
              </w:rPr>
              <w:t>1.06</w:t>
            </w:r>
          </w:p>
        </w:tc>
        <w:tc>
          <w:tcPr>
            <w:tcW w:w="2131" w:type="dxa"/>
          </w:tcPr>
          <w:p w14:paraId="74B9A99C">
            <w:pPr>
              <w:rPr>
                <w:color w:val="auto"/>
              </w:rPr>
            </w:pPr>
            <w:r>
              <w:rPr>
                <w:rFonts w:ascii="Times New Roman" w:hAnsi="Times New Roman" w:cs="Times New Roman"/>
                <w:color w:val="auto"/>
                <w:sz w:val="18"/>
                <w:szCs w:val="18"/>
              </w:rPr>
              <w:t>1.06</w:t>
            </w:r>
          </w:p>
        </w:tc>
      </w:tr>
      <w:tr w14:paraId="6F2F8B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29DCEED2">
            <w:pPr>
              <w:rPr>
                <w:color w:val="auto"/>
              </w:rPr>
            </w:pPr>
            <w:r>
              <w:rPr>
                <w:rFonts w:ascii="Times New Roman" w:hAnsi="Times New Roman" w:cs="Times New Roman"/>
                <w:color w:val="auto"/>
                <w:sz w:val="18"/>
                <w:szCs w:val="18"/>
              </w:rPr>
              <w:t>Hemoglobin</w:t>
            </w:r>
          </w:p>
        </w:tc>
        <w:tc>
          <w:tcPr>
            <w:tcW w:w="2130" w:type="dxa"/>
          </w:tcPr>
          <w:p w14:paraId="1BC2AA62">
            <w:pPr>
              <w:rPr>
                <w:color w:val="auto"/>
              </w:rPr>
            </w:pPr>
            <w:r>
              <w:rPr>
                <w:rFonts w:ascii="Times New Roman" w:hAnsi="Times New Roman" w:cs="Times New Roman"/>
                <w:color w:val="auto"/>
                <w:sz w:val="18"/>
                <w:szCs w:val="18"/>
              </w:rPr>
              <w:t>1.20</w:t>
            </w:r>
          </w:p>
        </w:tc>
        <w:tc>
          <w:tcPr>
            <w:tcW w:w="2131" w:type="dxa"/>
          </w:tcPr>
          <w:p w14:paraId="160F3F01">
            <w:pPr>
              <w:rPr>
                <w:color w:val="auto"/>
              </w:rPr>
            </w:pPr>
            <w:r>
              <w:rPr>
                <w:rFonts w:ascii="Times New Roman" w:hAnsi="Times New Roman" w:cs="Times New Roman"/>
                <w:color w:val="auto"/>
                <w:sz w:val="18"/>
                <w:szCs w:val="18"/>
              </w:rPr>
              <w:t>1.19</w:t>
            </w:r>
          </w:p>
        </w:tc>
        <w:tc>
          <w:tcPr>
            <w:tcW w:w="2131" w:type="dxa"/>
          </w:tcPr>
          <w:p w14:paraId="61F0D530">
            <w:pPr>
              <w:rPr>
                <w:color w:val="auto"/>
              </w:rPr>
            </w:pPr>
            <w:r>
              <w:rPr>
                <w:rFonts w:ascii="Times New Roman" w:hAnsi="Times New Roman" w:cs="Times New Roman"/>
                <w:color w:val="auto"/>
                <w:sz w:val="18"/>
                <w:szCs w:val="18"/>
              </w:rPr>
              <w:t>1.21</w:t>
            </w:r>
          </w:p>
        </w:tc>
      </w:tr>
      <w:tr w14:paraId="0D67BB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0E10FB27">
            <w:pPr>
              <w:rPr>
                <w:color w:val="auto"/>
              </w:rPr>
            </w:pPr>
            <w:r>
              <w:rPr>
                <w:rFonts w:ascii="Times New Roman" w:hAnsi="Times New Roman" w:cs="Times New Roman"/>
                <w:color w:val="auto"/>
                <w:sz w:val="18"/>
                <w:szCs w:val="18"/>
              </w:rPr>
              <w:t>Glucose</w:t>
            </w:r>
          </w:p>
        </w:tc>
        <w:tc>
          <w:tcPr>
            <w:tcW w:w="2130" w:type="dxa"/>
          </w:tcPr>
          <w:p w14:paraId="3C7FB5D9">
            <w:pPr>
              <w:rPr>
                <w:color w:val="auto"/>
              </w:rPr>
            </w:pPr>
            <w:r>
              <w:rPr>
                <w:rFonts w:ascii="Times New Roman" w:hAnsi="Times New Roman" w:cs="Times New Roman"/>
                <w:color w:val="auto"/>
                <w:sz w:val="18"/>
                <w:szCs w:val="18"/>
              </w:rPr>
              <w:t>1.14</w:t>
            </w:r>
          </w:p>
        </w:tc>
        <w:tc>
          <w:tcPr>
            <w:tcW w:w="2131" w:type="dxa"/>
          </w:tcPr>
          <w:p w14:paraId="0A7025E5">
            <w:pPr>
              <w:rPr>
                <w:color w:val="auto"/>
              </w:rPr>
            </w:pPr>
            <w:r>
              <w:rPr>
                <w:rFonts w:ascii="Times New Roman" w:hAnsi="Times New Roman" w:cs="Times New Roman"/>
                <w:color w:val="auto"/>
                <w:sz w:val="18"/>
                <w:szCs w:val="18"/>
              </w:rPr>
              <w:t>1.14</w:t>
            </w:r>
          </w:p>
        </w:tc>
        <w:tc>
          <w:tcPr>
            <w:tcW w:w="2131" w:type="dxa"/>
          </w:tcPr>
          <w:p w14:paraId="0B6A706D">
            <w:pPr>
              <w:rPr>
                <w:color w:val="auto"/>
              </w:rPr>
            </w:pPr>
            <w:r>
              <w:rPr>
                <w:rFonts w:ascii="Times New Roman" w:hAnsi="Times New Roman" w:cs="Times New Roman"/>
                <w:color w:val="auto"/>
                <w:sz w:val="18"/>
                <w:szCs w:val="18"/>
              </w:rPr>
              <w:t>1.14</w:t>
            </w:r>
          </w:p>
        </w:tc>
      </w:tr>
      <w:tr w14:paraId="06FDEB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2130" w:type="dxa"/>
          </w:tcPr>
          <w:p w14:paraId="5F9E3ACA">
            <w:pPr>
              <w:rPr>
                <w:color w:val="auto"/>
              </w:rPr>
            </w:pPr>
            <w:r>
              <w:rPr>
                <w:rFonts w:ascii="Times New Roman" w:hAnsi="Times New Roman" w:cs="Times New Roman"/>
                <w:color w:val="auto"/>
                <w:sz w:val="18"/>
                <w:szCs w:val="18"/>
              </w:rPr>
              <w:t>Heart rate</w:t>
            </w:r>
          </w:p>
        </w:tc>
        <w:tc>
          <w:tcPr>
            <w:tcW w:w="2130" w:type="dxa"/>
          </w:tcPr>
          <w:p w14:paraId="544231BF">
            <w:pPr>
              <w:rPr>
                <w:color w:val="auto"/>
              </w:rPr>
            </w:pPr>
            <w:r>
              <w:rPr>
                <w:rFonts w:ascii="Times New Roman" w:hAnsi="Times New Roman" w:cs="Times New Roman"/>
                <w:color w:val="auto"/>
                <w:sz w:val="18"/>
                <w:szCs w:val="18"/>
              </w:rPr>
              <w:t>1.02</w:t>
            </w:r>
          </w:p>
        </w:tc>
        <w:tc>
          <w:tcPr>
            <w:tcW w:w="2131" w:type="dxa"/>
          </w:tcPr>
          <w:p w14:paraId="0A7B487A">
            <w:pPr>
              <w:rPr>
                <w:color w:val="auto"/>
              </w:rPr>
            </w:pPr>
            <w:r>
              <w:rPr>
                <w:rFonts w:ascii="Times New Roman" w:hAnsi="Times New Roman" w:cs="Times New Roman"/>
                <w:color w:val="auto"/>
                <w:sz w:val="18"/>
                <w:szCs w:val="18"/>
              </w:rPr>
              <w:t>1.02</w:t>
            </w:r>
          </w:p>
        </w:tc>
        <w:tc>
          <w:tcPr>
            <w:tcW w:w="2131" w:type="dxa"/>
          </w:tcPr>
          <w:p w14:paraId="36982CDD">
            <w:pPr>
              <w:rPr>
                <w:color w:val="auto"/>
              </w:rPr>
            </w:pPr>
            <w:r>
              <w:rPr>
                <w:rFonts w:ascii="Times New Roman" w:hAnsi="Times New Roman" w:cs="Times New Roman"/>
                <w:color w:val="auto"/>
                <w:sz w:val="18"/>
                <w:szCs w:val="18"/>
              </w:rPr>
              <w:t>1.02</w:t>
            </w:r>
          </w:p>
        </w:tc>
      </w:tr>
    </w:tbl>
    <w:p w14:paraId="563250D1">
      <w:pPr>
        <w:rPr>
          <w:rFonts w:ascii="Times New Roman" w:hAnsi="Times New Roman" w:cs="Times New Roman"/>
          <w:color w:val="auto"/>
          <w:sz w:val="18"/>
          <w:szCs w:val="18"/>
        </w:rPr>
      </w:pPr>
      <w:r>
        <w:rPr>
          <w:rFonts w:ascii="Times New Roman Bold" w:hAnsi="Times New Roman Bold" w:cs="Times New Roman Bold"/>
          <w:b/>
          <w:bCs/>
          <w:color w:val="auto"/>
          <w:sz w:val="18"/>
          <w:szCs w:val="18"/>
        </w:rPr>
        <w:t xml:space="preserve">Abbreviations: </w:t>
      </w:r>
      <w:r>
        <w:rPr>
          <w:rFonts w:ascii="Times New Roman" w:hAnsi="Times New Roman" w:cs="Times New Roman"/>
          <w:color w:val="auto"/>
          <w:sz w:val="18"/>
          <w:szCs w:val="18"/>
        </w:rPr>
        <w:t>SOFA, Sequential Organ Failure Assessment; VIF, variance inflation factor; COPD, chronic obstructive pulmonary disease.</w:t>
      </w:r>
    </w:p>
    <w:p w14:paraId="6353371E">
      <w:pPr>
        <w:rPr>
          <w:rFonts w:ascii="Times New Roman" w:hAnsi="Times New Roman" w:cs="Times New Roman"/>
          <w:color w:val="auto"/>
          <w:sz w:val="18"/>
          <w:szCs w:val="18"/>
        </w:rPr>
        <w:sectPr>
          <w:pgSz w:w="11906" w:h="16838"/>
          <w:pgMar w:top="1440" w:right="1800" w:bottom="1440" w:left="1800" w:header="851" w:footer="992" w:gutter="0"/>
          <w:cols w:space="425" w:num="1"/>
          <w:docGrid w:type="lines" w:linePitch="312" w:charSpace="0"/>
        </w:sectPr>
      </w:pPr>
      <w:r>
        <w:rPr>
          <w:rFonts w:ascii="Times New Roman Bold" w:hAnsi="Times New Roman Bold" w:cs="Times New Roman Bold"/>
          <w:b/>
          <w:bCs/>
          <w:color w:val="auto"/>
          <w:sz w:val="18"/>
          <w:szCs w:val="18"/>
        </w:rPr>
        <w:t xml:space="preserve">Notes: </w:t>
      </w:r>
      <w:r>
        <w:rPr>
          <w:rFonts w:ascii="Times New Roman" w:hAnsi="Times New Roman" w:cs="Times New Roman"/>
          <w:color w:val="auto"/>
          <w:sz w:val="18"/>
          <w:szCs w:val="18"/>
        </w:rPr>
        <w:t>The 28-day mortality analysis was performed in the MIMIC-IV cohort.</w:t>
      </w:r>
      <w:r>
        <w:rPr>
          <w:rFonts w:hint="eastAsia" w:ascii="Times New Roman" w:hAnsi="Times New Roman" w:cs="Times New Roman"/>
          <w:color w:val="auto"/>
          <w:sz w:val="18"/>
          <w:szCs w:val="18"/>
        </w:rPr>
        <w:t xml:space="preserve"> </w:t>
      </w:r>
      <w:r>
        <w:rPr>
          <w:rFonts w:ascii="Times New Roman" w:hAnsi="Times New Roman" w:cs="Times New Roman"/>
          <w:color w:val="auto"/>
          <w:sz w:val="18"/>
          <w:szCs w:val="18"/>
        </w:rPr>
        <w:t>VIF values are dimensionless and are shown for all variables included in the total SOFA score models in Model C, including the SOFA score variable and adjustment variables. SOFA scores are measured in points. Units for continuous adjustment variables were as follows: age, years; white blood cell count, ×10⁹/L; hemoglobin, g/dL; blood glucose, mg/dL; and heart rate, beats/min. The final column presents the maximum VIF observed for each variable across all Model C models, including total and organ-specific SOFA score models. All VIF values were below 5, suggesting no evidence of serious multicollinearity.</w:t>
      </w:r>
    </w:p>
    <w:p w14:paraId="0A7667E6">
      <w:pPr>
        <w:rPr>
          <w:rFonts w:ascii="Times New Roman Bold" w:hAnsi="Times New Roman Bold" w:cs="Times New Roman Bold"/>
          <w:b/>
          <w:bCs/>
          <w:color w:val="auto"/>
          <w:szCs w:val="21"/>
        </w:rPr>
      </w:pPr>
      <w:r>
        <w:rPr>
          <w:rFonts w:ascii="Times New Roman Bold" w:hAnsi="Times New Roman Bold" w:cs="Times New Roman Bold"/>
          <w:b/>
          <w:bCs/>
          <w:color w:val="auto"/>
          <w:szCs w:val="21"/>
        </w:rPr>
        <w:t>eTable 1</w:t>
      </w:r>
      <w:r>
        <w:rPr>
          <w:rFonts w:hint="eastAsia" w:ascii="Times New Roman Bold" w:hAnsi="Times New Roman Bold" w:cs="Times New Roman Bold"/>
          <w:b/>
          <w:bCs/>
          <w:color w:val="auto"/>
          <w:szCs w:val="21"/>
        </w:rPr>
        <w:t>2</w:t>
      </w:r>
      <w:r>
        <w:rPr>
          <w:rFonts w:ascii="Times New Roman Bold" w:hAnsi="Times New Roman Bold" w:cs="Times New Roman Bold"/>
          <w:b/>
          <w:bCs/>
          <w:color w:val="auto"/>
          <w:szCs w:val="21"/>
        </w:rPr>
        <w:t>.</w:t>
      </w:r>
      <w:r>
        <w:rPr>
          <w:rFonts w:hint="eastAsia" w:ascii="Times New Roman Bold" w:hAnsi="Times New Roman Bold" w:cs="Times New Roman Bold"/>
          <w:b/>
          <w:bCs/>
          <w:color w:val="auto"/>
          <w:szCs w:val="21"/>
        </w:rPr>
        <w:t xml:space="preserve"> Distribution of SOFA-2 respiratory component scores using the primary and PaO₂/FiO₂-only scoring approaches</w:t>
      </w:r>
    </w:p>
    <w:tbl>
      <w:tblPr>
        <w:tblStyle w:val="16"/>
        <w:tblW w:w="0" w:type="auto"/>
        <w:tblCellSpacing w:w="15" w:type="dxa"/>
        <w:tblInd w:w="0" w:type="dxa"/>
        <w:tblLayout w:type="autofit"/>
        <w:tblCellMar>
          <w:top w:w="15" w:type="dxa"/>
          <w:left w:w="15" w:type="dxa"/>
          <w:bottom w:w="15" w:type="dxa"/>
          <w:right w:w="15" w:type="dxa"/>
        </w:tblCellMar>
      </w:tblPr>
      <w:tblGrid>
        <w:gridCol w:w="1802"/>
        <w:gridCol w:w="3777"/>
        <w:gridCol w:w="2325"/>
      </w:tblGrid>
      <w:tr w14:paraId="4BC7C513">
        <w:trPr>
          <w:tblHeader/>
          <w:tblCellSpacing w:w="15" w:type="dxa"/>
        </w:trPr>
        <w:tc>
          <w:tcPr>
            <w:tcW w:w="0" w:type="auto"/>
            <w:tcBorders>
              <w:top w:val="single" w:color="auto" w:sz="4" w:space="0"/>
              <w:bottom w:val="single" w:color="auto" w:sz="4" w:space="0"/>
            </w:tcBorders>
            <w:vAlign w:val="center"/>
          </w:tcPr>
          <w:p w14:paraId="7B7C888A">
            <w:pPr>
              <w:widowControl/>
              <w:jc w:val="left"/>
              <w:rPr>
                <w:rFonts w:ascii="Times New Roman Bold" w:hAnsi="Times New Roman Bold" w:cs="Times New Roman Bold"/>
                <w:b/>
                <w:color w:val="auto"/>
                <w:sz w:val="18"/>
                <w:szCs w:val="18"/>
              </w:rPr>
            </w:pPr>
            <w:r>
              <w:rPr>
                <w:rFonts w:ascii="Times New Roman Bold" w:hAnsi="Times New Roman Bold" w:eastAsia="宋体" w:cs="Times New Roman Bold"/>
                <w:b/>
                <w:color w:val="auto"/>
                <w:kern w:val="0"/>
                <w:sz w:val="18"/>
                <w:szCs w:val="18"/>
                <w:lang w:bidi="ar"/>
              </w:rPr>
              <w:t>Respiratory score</w:t>
            </w:r>
          </w:p>
        </w:tc>
        <w:tc>
          <w:tcPr>
            <w:tcW w:w="0" w:type="auto"/>
            <w:tcBorders>
              <w:top w:val="single" w:color="auto" w:sz="4" w:space="0"/>
              <w:bottom w:val="single" w:color="auto" w:sz="4" w:space="0"/>
            </w:tcBorders>
            <w:vAlign w:val="center"/>
          </w:tcPr>
          <w:p w14:paraId="738F19DB">
            <w:pPr>
              <w:widowControl/>
              <w:jc w:val="left"/>
              <w:rPr>
                <w:rFonts w:ascii="Times New Roman Bold" w:hAnsi="Times New Roman Bold" w:cs="Times New Roman Bold"/>
                <w:b/>
                <w:color w:val="auto"/>
                <w:sz w:val="18"/>
                <w:szCs w:val="18"/>
              </w:rPr>
            </w:pPr>
            <w:r>
              <w:rPr>
                <w:rFonts w:ascii="Times New Roman Bold" w:hAnsi="Times New Roman Bold" w:eastAsia="宋体" w:cs="Times New Roman Bold"/>
                <w:b/>
                <w:color w:val="auto"/>
                <w:kern w:val="0"/>
                <w:sz w:val="18"/>
                <w:szCs w:val="18"/>
                <w:lang w:bidi="ar"/>
              </w:rPr>
              <w:t>Primary SOFA-2 respiratory, P/F + S/F fallback</w:t>
            </w:r>
          </w:p>
        </w:tc>
        <w:tc>
          <w:tcPr>
            <w:tcW w:w="0" w:type="auto"/>
            <w:tcBorders>
              <w:top w:val="single" w:color="auto" w:sz="4" w:space="0"/>
              <w:bottom w:val="single" w:color="auto" w:sz="4" w:space="0"/>
            </w:tcBorders>
            <w:vAlign w:val="center"/>
          </w:tcPr>
          <w:p w14:paraId="53DFCCFC">
            <w:pPr>
              <w:widowControl/>
              <w:jc w:val="left"/>
              <w:rPr>
                <w:rFonts w:ascii="Times New Roman Bold" w:hAnsi="Times New Roman Bold" w:cs="Times New Roman Bold"/>
                <w:b/>
                <w:color w:val="auto"/>
                <w:sz w:val="18"/>
                <w:szCs w:val="18"/>
              </w:rPr>
            </w:pPr>
            <w:r>
              <w:rPr>
                <w:rFonts w:ascii="Times New Roman Bold" w:hAnsi="Times New Roman Bold" w:eastAsia="宋体" w:cs="Times New Roman Bold"/>
                <w:b/>
                <w:color w:val="auto"/>
                <w:kern w:val="0"/>
                <w:sz w:val="18"/>
                <w:szCs w:val="18"/>
                <w:lang w:bidi="ar"/>
              </w:rPr>
              <w:t>P/F-only SOFA-2 respiratory</w:t>
            </w:r>
          </w:p>
        </w:tc>
      </w:tr>
      <w:tr w14:paraId="09DCBB17">
        <w:trPr>
          <w:tblCellSpacing w:w="15" w:type="dxa"/>
        </w:trPr>
        <w:tc>
          <w:tcPr>
            <w:tcW w:w="0" w:type="auto"/>
            <w:vAlign w:val="center"/>
          </w:tcPr>
          <w:p w14:paraId="49E04876">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0</w:t>
            </w:r>
          </w:p>
        </w:tc>
        <w:tc>
          <w:tcPr>
            <w:tcW w:w="0" w:type="auto"/>
            <w:vAlign w:val="center"/>
          </w:tcPr>
          <w:p w14:paraId="3C48B98C">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2312 (8.9%)</w:t>
            </w:r>
          </w:p>
        </w:tc>
        <w:tc>
          <w:tcPr>
            <w:tcW w:w="0" w:type="auto"/>
            <w:vAlign w:val="center"/>
          </w:tcPr>
          <w:p w14:paraId="4D03122A">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2274 (8.7%)</w:t>
            </w:r>
          </w:p>
        </w:tc>
      </w:tr>
      <w:tr w14:paraId="641BCC04">
        <w:trPr>
          <w:tblCellSpacing w:w="15" w:type="dxa"/>
        </w:trPr>
        <w:tc>
          <w:tcPr>
            <w:tcW w:w="0" w:type="auto"/>
            <w:vAlign w:val="center"/>
          </w:tcPr>
          <w:p w14:paraId="74020F0F">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w:t>
            </w:r>
          </w:p>
        </w:tc>
        <w:tc>
          <w:tcPr>
            <w:tcW w:w="0" w:type="auto"/>
            <w:vAlign w:val="center"/>
          </w:tcPr>
          <w:p w14:paraId="0E08AB03">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2396 (9.2%)</w:t>
            </w:r>
          </w:p>
        </w:tc>
        <w:tc>
          <w:tcPr>
            <w:tcW w:w="0" w:type="auto"/>
            <w:vAlign w:val="center"/>
          </w:tcPr>
          <w:p w14:paraId="7D954F9A">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2257 (8.6%)</w:t>
            </w:r>
          </w:p>
        </w:tc>
      </w:tr>
      <w:tr w14:paraId="3EB8DDB5">
        <w:trPr>
          <w:tblCellSpacing w:w="15" w:type="dxa"/>
        </w:trPr>
        <w:tc>
          <w:tcPr>
            <w:tcW w:w="0" w:type="auto"/>
            <w:vAlign w:val="center"/>
          </w:tcPr>
          <w:p w14:paraId="196EA613">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2</w:t>
            </w:r>
          </w:p>
        </w:tc>
        <w:tc>
          <w:tcPr>
            <w:tcW w:w="0" w:type="auto"/>
            <w:vAlign w:val="center"/>
          </w:tcPr>
          <w:p w14:paraId="44E5DA9A">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4794 (18.3%)</w:t>
            </w:r>
          </w:p>
        </w:tc>
        <w:tc>
          <w:tcPr>
            <w:tcW w:w="0" w:type="auto"/>
            <w:vAlign w:val="center"/>
          </w:tcPr>
          <w:p w14:paraId="41002C86">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3818 (14.6%)</w:t>
            </w:r>
          </w:p>
        </w:tc>
      </w:tr>
      <w:tr w14:paraId="59576C2E">
        <w:trPr>
          <w:tblCellSpacing w:w="15" w:type="dxa"/>
        </w:trPr>
        <w:tc>
          <w:tcPr>
            <w:tcW w:w="0" w:type="auto"/>
            <w:vAlign w:val="center"/>
          </w:tcPr>
          <w:p w14:paraId="551E381A">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3</w:t>
            </w:r>
          </w:p>
        </w:tc>
        <w:tc>
          <w:tcPr>
            <w:tcW w:w="0" w:type="auto"/>
            <w:vAlign w:val="center"/>
          </w:tcPr>
          <w:p w14:paraId="035B2500">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3299 (12.6%)</w:t>
            </w:r>
          </w:p>
        </w:tc>
        <w:tc>
          <w:tcPr>
            <w:tcW w:w="0" w:type="auto"/>
            <w:vAlign w:val="center"/>
          </w:tcPr>
          <w:p w14:paraId="5AA72586">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2990 (11.4%)</w:t>
            </w:r>
          </w:p>
        </w:tc>
      </w:tr>
      <w:tr w14:paraId="4365FAA4">
        <w:trPr>
          <w:tblCellSpacing w:w="15" w:type="dxa"/>
        </w:trPr>
        <w:tc>
          <w:tcPr>
            <w:tcW w:w="0" w:type="auto"/>
            <w:vAlign w:val="center"/>
          </w:tcPr>
          <w:p w14:paraId="09DE0D23">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4</w:t>
            </w:r>
          </w:p>
        </w:tc>
        <w:tc>
          <w:tcPr>
            <w:tcW w:w="0" w:type="auto"/>
            <w:vAlign w:val="center"/>
          </w:tcPr>
          <w:p w14:paraId="26AAA4D3">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1653 (6.3%)</w:t>
            </w:r>
          </w:p>
        </w:tc>
        <w:tc>
          <w:tcPr>
            <w:tcW w:w="0" w:type="auto"/>
            <w:vAlign w:val="center"/>
          </w:tcPr>
          <w:p w14:paraId="7B81F376">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1421 (5.4%)</w:t>
            </w:r>
          </w:p>
        </w:tc>
      </w:tr>
      <w:tr w14:paraId="3C26C2E7">
        <w:trPr>
          <w:tblCellSpacing w:w="15" w:type="dxa"/>
        </w:trPr>
        <w:tc>
          <w:tcPr>
            <w:tcW w:w="0" w:type="auto"/>
            <w:vAlign w:val="center"/>
          </w:tcPr>
          <w:p w14:paraId="3A4D3A53">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Missing</w:t>
            </w:r>
          </w:p>
        </w:tc>
        <w:tc>
          <w:tcPr>
            <w:tcW w:w="0" w:type="auto"/>
            <w:vAlign w:val="center"/>
          </w:tcPr>
          <w:p w14:paraId="3FC34656">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11683 (44.7%)</w:t>
            </w:r>
          </w:p>
        </w:tc>
        <w:tc>
          <w:tcPr>
            <w:tcW w:w="0" w:type="auto"/>
            <w:vAlign w:val="center"/>
          </w:tcPr>
          <w:p w14:paraId="416E3652">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13377 (51.2%)</w:t>
            </w:r>
          </w:p>
        </w:tc>
      </w:tr>
      <w:tr w14:paraId="612E7769">
        <w:trPr>
          <w:tblCellSpacing w:w="15" w:type="dxa"/>
        </w:trPr>
        <w:tc>
          <w:tcPr>
            <w:tcW w:w="0" w:type="auto"/>
            <w:tcBorders>
              <w:bottom w:val="single" w:color="auto" w:sz="4" w:space="0"/>
            </w:tcBorders>
            <w:vAlign w:val="center"/>
          </w:tcPr>
          <w:p w14:paraId="360FECF6">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0 + Missing treated as 0</w:t>
            </w:r>
          </w:p>
        </w:tc>
        <w:tc>
          <w:tcPr>
            <w:tcW w:w="0" w:type="auto"/>
            <w:tcBorders>
              <w:bottom w:val="single" w:color="auto" w:sz="4" w:space="0"/>
            </w:tcBorders>
            <w:vAlign w:val="center"/>
          </w:tcPr>
          <w:p w14:paraId="1C02796E">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13995 (53.5%)</w:t>
            </w:r>
          </w:p>
        </w:tc>
        <w:tc>
          <w:tcPr>
            <w:tcW w:w="0" w:type="auto"/>
            <w:tcBorders>
              <w:bottom w:val="single" w:color="auto" w:sz="4" w:space="0"/>
            </w:tcBorders>
            <w:vAlign w:val="center"/>
          </w:tcPr>
          <w:p w14:paraId="25F91F32">
            <w:pPr>
              <w:widowControl/>
              <w:jc w:val="left"/>
              <w:rPr>
                <w:rFonts w:ascii="Times New Roman" w:hAnsi="Times New Roman" w:cs="Times New Roman"/>
                <w:color w:val="auto"/>
                <w:sz w:val="18"/>
                <w:szCs w:val="18"/>
              </w:rPr>
            </w:pPr>
            <w:r>
              <w:rPr>
                <w:rFonts w:ascii="Times New Roman" w:hAnsi="Times New Roman" w:eastAsia="宋体" w:cs="Times New Roman"/>
                <w:color w:val="auto"/>
                <w:kern w:val="0"/>
                <w:sz w:val="18"/>
                <w:szCs w:val="18"/>
                <w:lang w:bidi="ar"/>
              </w:rPr>
              <w:t>15651 (59.9%)</w:t>
            </w:r>
          </w:p>
        </w:tc>
      </w:tr>
    </w:tbl>
    <w:p w14:paraId="41FB8850">
      <w:pPr>
        <w:widowControl/>
        <w:jc w:val="left"/>
        <w:rPr>
          <w:rFonts w:ascii="Times New Roman Bold" w:hAnsi="Times New Roman Bold" w:cs="Times New Roman Bold"/>
          <w:b/>
          <w:bCs/>
          <w:color w:val="auto"/>
          <w:szCs w:val="21"/>
        </w:rPr>
      </w:pPr>
      <w:r>
        <w:rPr>
          <w:rFonts w:ascii="Times New Roman Bold" w:hAnsi="Times New Roman Bold" w:cs="Times New Roman Bold"/>
          <w:b/>
          <w:bCs/>
          <w:color w:val="auto"/>
          <w:szCs w:val="21"/>
        </w:rPr>
        <w:br w:type="page"/>
      </w:r>
    </w:p>
    <w:p w14:paraId="718B0A09">
      <w:pPr>
        <w:rPr>
          <w:rFonts w:ascii="Times New Roman" w:hAnsi="Times New Roman" w:cs="Times New Roman"/>
          <w:b/>
          <w:bCs/>
          <w:color w:val="auto"/>
          <w:sz w:val="18"/>
          <w:szCs w:val="18"/>
        </w:rPr>
      </w:pPr>
      <w:r>
        <w:rPr>
          <w:rFonts w:ascii="Times New Roman" w:hAnsi="Times New Roman" w:cs="Times New Roman"/>
          <w:b/>
          <w:bCs/>
          <w:color w:val="auto"/>
          <w:sz w:val="18"/>
          <w:szCs w:val="18"/>
        </w:rPr>
        <w:t>eTable 13. Data quality-control rules and missing-data handling for major variables used in descriptive and multivariable analyses</w:t>
      </w:r>
    </w:p>
    <w:p w14:paraId="7E0CDE06">
      <w:pPr>
        <w:rPr>
          <w:rFonts w:ascii="Times New Roman" w:hAnsi="Times New Roman" w:cs="Times New Roman"/>
          <w:b/>
          <w:bCs/>
          <w:color w:val="auto"/>
          <w:sz w:val="18"/>
          <w:szCs w:val="18"/>
        </w:rPr>
      </w:pPr>
      <w:r>
        <w:rPr>
          <w:rFonts w:ascii="Times New Roman" w:hAnsi="Times New Roman" w:cs="Times New Roman"/>
          <w:b/>
          <w:bCs/>
          <w:color w:val="auto"/>
          <w:sz w:val="18"/>
          <w:szCs w:val="18"/>
        </w:rPr>
        <w:t>Panel A. Data quality-control rules for implausible vital-sign values</w:t>
      </w:r>
    </w:p>
    <w:tbl>
      <w:tblPr>
        <w:tblStyle w:val="17"/>
        <w:tblW w:w="0" w:type="auto"/>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10"/>
        <w:gridCol w:w="1767"/>
        <w:gridCol w:w="1081"/>
        <w:gridCol w:w="1081"/>
        <w:gridCol w:w="1071"/>
        <w:gridCol w:w="1071"/>
        <w:gridCol w:w="1041"/>
      </w:tblGrid>
      <w:tr w14:paraId="670B56F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Borders>
              <w:top w:val="single" w:color="000000" w:themeColor="text1" w:sz="4" w:space="0"/>
              <w:bottom w:val="single" w:color="000000" w:themeColor="text1" w:sz="4" w:space="0"/>
            </w:tcBorders>
          </w:tcPr>
          <w:p w14:paraId="4EAE759A">
            <w:pPr>
              <w:rPr>
                <w:rFonts w:ascii="Times New Roman" w:hAnsi="Times New Roman" w:cs="Times New Roman"/>
                <w:b/>
                <w:bCs/>
                <w:color w:val="auto"/>
                <w:sz w:val="18"/>
                <w:szCs w:val="18"/>
              </w:rPr>
            </w:pPr>
            <w:r>
              <w:rPr>
                <w:rFonts w:ascii="Times New Roman" w:hAnsi="Times New Roman" w:cs="Times New Roman"/>
                <w:b/>
                <w:bCs/>
                <w:color w:val="auto"/>
                <w:sz w:val="18"/>
                <w:szCs w:val="18"/>
              </w:rPr>
              <w:t>Variable</w:t>
            </w:r>
          </w:p>
        </w:tc>
        <w:tc>
          <w:tcPr>
            <w:tcW w:w="0" w:type="auto"/>
            <w:tcBorders>
              <w:top w:val="single" w:color="000000" w:themeColor="text1" w:sz="4" w:space="0"/>
              <w:bottom w:val="single" w:color="000000" w:themeColor="text1" w:sz="4" w:space="0"/>
            </w:tcBorders>
          </w:tcPr>
          <w:p w14:paraId="15E284AB">
            <w:pPr>
              <w:rPr>
                <w:rFonts w:ascii="Times New Roman" w:hAnsi="Times New Roman" w:cs="Times New Roman"/>
                <w:b/>
                <w:bCs/>
                <w:color w:val="auto"/>
                <w:sz w:val="18"/>
                <w:szCs w:val="18"/>
              </w:rPr>
            </w:pPr>
            <w:r>
              <w:rPr>
                <w:rFonts w:ascii="Times New Roman" w:hAnsi="Times New Roman" w:cs="Times New Roman"/>
                <w:b/>
                <w:bCs/>
                <w:color w:val="auto"/>
                <w:sz w:val="18"/>
                <w:szCs w:val="18"/>
              </w:rPr>
              <w:t>Plausible range / data-cleaning rule</w:t>
            </w:r>
          </w:p>
        </w:tc>
        <w:tc>
          <w:tcPr>
            <w:tcW w:w="0" w:type="auto"/>
            <w:tcBorders>
              <w:top w:val="single" w:color="000000" w:themeColor="text1" w:sz="4" w:space="0"/>
              <w:bottom w:val="single" w:color="000000" w:themeColor="text1" w:sz="4" w:space="0"/>
            </w:tcBorders>
          </w:tcPr>
          <w:p w14:paraId="2E0840EE">
            <w:pPr>
              <w:rPr>
                <w:rFonts w:ascii="Times New Roman" w:hAnsi="Times New Roman" w:cs="Times New Roman"/>
                <w:b/>
                <w:bCs/>
                <w:color w:val="auto"/>
                <w:sz w:val="18"/>
                <w:szCs w:val="18"/>
              </w:rPr>
            </w:pPr>
            <w:r>
              <w:rPr>
                <w:rFonts w:ascii="Times New Roman" w:hAnsi="Times New Roman" w:cs="Times New Roman"/>
                <w:b/>
                <w:bCs/>
                <w:color w:val="auto"/>
                <w:sz w:val="18"/>
                <w:szCs w:val="18"/>
              </w:rPr>
              <w:t>MIMIC-IV values set to missing by QC, n (%)</w:t>
            </w:r>
          </w:p>
        </w:tc>
        <w:tc>
          <w:tcPr>
            <w:tcW w:w="0" w:type="auto"/>
            <w:tcBorders>
              <w:top w:val="single" w:color="000000" w:themeColor="text1" w:sz="4" w:space="0"/>
              <w:bottom w:val="single" w:color="000000" w:themeColor="text1" w:sz="4" w:space="0"/>
            </w:tcBorders>
          </w:tcPr>
          <w:p w14:paraId="0DAFB5C4">
            <w:pPr>
              <w:rPr>
                <w:rFonts w:ascii="Times New Roman" w:hAnsi="Times New Roman" w:cs="Times New Roman"/>
                <w:b/>
                <w:bCs/>
                <w:color w:val="auto"/>
                <w:sz w:val="18"/>
                <w:szCs w:val="18"/>
              </w:rPr>
            </w:pPr>
            <w:r>
              <w:rPr>
                <w:rFonts w:ascii="Times New Roman" w:hAnsi="Times New Roman" w:cs="Times New Roman"/>
                <w:b/>
                <w:bCs/>
                <w:color w:val="auto"/>
                <w:sz w:val="18"/>
                <w:szCs w:val="18"/>
              </w:rPr>
              <w:t>MIMIC-IV available n; missing n (%)</w:t>
            </w:r>
          </w:p>
        </w:tc>
        <w:tc>
          <w:tcPr>
            <w:tcW w:w="0" w:type="auto"/>
            <w:tcBorders>
              <w:top w:val="single" w:color="000000" w:themeColor="text1" w:sz="4" w:space="0"/>
              <w:bottom w:val="single" w:color="000000" w:themeColor="text1" w:sz="4" w:space="0"/>
            </w:tcBorders>
          </w:tcPr>
          <w:p w14:paraId="28DCE8BC">
            <w:pPr>
              <w:rPr>
                <w:rFonts w:ascii="Times New Roman" w:hAnsi="Times New Roman" w:cs="Times New Roman"/>
                <w:b/>
                <w:bCs/>
                <w:color w:val="auto"/>
                <w:sz w:val="18"/>
                <w:szCs w:val="18"/>
              </w:rPr>
            </w:pPr>
            <w:r>
              <w:rPr>
                <w:rFonts w:ascii="Times New Roman" w:hAnsi="Times New Roman" w:cs="Times New Roman"/>
                <w:b/>
                <w:bCs/>
                <w:color w:val="auto"/>
                <w:sz w:val="18"/>
                <w:szCs w:val="18"/>
              </w:rPr>
              <w:t>eICU-CRD values set to missing by QC, n (%)</w:t>
            </w:r>
          </w:p>
        </w:tc>
        <w:tc>
          <w:tcPr>
            <w:tcW w:w="0" w:type="auto"/>
            <w:tcBorders>
              <w:top w:val="single" w:color="000000" w:themeColor="text1" w:sz="4" w:space="0"/>
              <w:bottom w:val="single" w:color="000000" w:themeColor="text1" w:sz="4" w:space="0"/>
            </w:tcBorders>
          </w:tcPr>
          <w:p w14:paraId="3DD9478B">
            <w:pPr>
              <w:rPr>
                <w:rFonts w:ascii="Times New Roman" w:hAnsi="Times New Roman" w:cs="Times New Roman"/>
                <w:b/>
                <w:bCs/>
                <w:color w:val="auto"/>
                <w:sz w:val="18"/>
                <w:szCs w:val="18"/>
              </w:rPr>
            </w:pPr>
            <w:r>
              <w:rPr>
                <w:rFonts w:ascii="Times New Roman" w:hAnsi="Times New Roman" w:cs="Times New Roman"/>
                <w:b/>
                <w:bCs/>
                <w:color w:val="auto"/>
                <w:sz w:val="18"/>
                <w:szCs w:val="18"/>
              </w:rPr>
              <w:t>eICU-CRD available n; missing n (%)</w:t>
            </w:r>
          </w:p>
        </w:tc>
        <w:tc>
          <w:tcPr>
            <w:tcW w:w="0" w:type="auto"/>
            <w:tcBorders>
              <w:top w:val="single" w:color="000000" w:themeColor="text1" w:sz="4" w:space="0"/>
              <w:bottom w:val="single" w:color="000000" w:themeColor="text1" w:sz="4" w:space="0"/>
            </w:tcBorders>
          </w:tcPr>
          <w:p w14:paraId="539A71C4">
            <w:pPr>
              <w:rPr>
                <w:rFonts w:ascii="Times New Roman" w:hAnsi="Times New Roman" w:cs="Times New Roman"/>
                <w:b/>
                <w:bCs/>
                <w:color w:val="auto"/>
                <w:sz w:val="18"/>
                <w:szCs w:val="18"/>
              </w:rPr>
            </w:pPr>
            <w:r>
              <w:rPr>
                <w:rFonts w:ascii="Times New Roman" w:hAnsi="Times New Roman" w:cs="Times New Roman"/>
                <w:b/>
                <w:bCs/>
                <w:color w:val="auto"/>
                <w:sz w:val="18"/>
                <w:szCs w:val="18"/>
              </w:rPr>
              <w:t>Applied analyses</w:t>
            </w:r>
          </w:p>
        </w:tc>
      </w:tr>
      <w:tr w14:paraId="7010F7A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Borders>
              <w:top w:val="single" w:color="000000" w:themeColor="text1" w:sz="4" w:space="0"/>
            </w:tcBorders>
          </w:tcPr>
          <w:p w14:paraId="39148871">
            <w:pPr>
              <w:rPr>
                <w:rFonts w:ascii="Times New Roman" w:hAnsi="Times New Roman" w:cs="Times New Roman"/>
                <w:color w:val="auto"/>
                <w:sz w:val="18"/>
                <w:szCs w:val="18"/>
              </w:rPr>
            </w:pPr>
            <w:r>
              <w:rPr>
                <w:rFonts w:ascii="Times New Roman" w:hAnsi="Times New Roman" w:cs="Times New Roman"/>
                <w:color w:val="auto"/>
                <w:sz w:val="18"/>
                <w:szCs w:val="18"/>
              </w:rPr>
              <w:t>Heart rate, beats/min (max)</w:t>
            </w:r>
          </w:p>
        </w:tc>
        <w:tc>
          <w:tcPr>
            <w:tcW w:w="0" w:type="auto"/>
            <w:tcBorders>
              <w:top w:val="single" w:color="000000" w:themeColor="text1" w:sz="4" w:space="0"/>
            </w:tcBorders>
          </w:tcPr>
          <w:p w14:paraId="63C325CC">
            <w:pPr>
              <w:rPr>
                <w:rFonts w:ascii="Times New Roman" w:hAnsi="Times New Roman" w:cs="Times New Roman"/>
                <w:color w:val="auto"/>
                <w:sz w:val="18"/>
                <w:szCs w:val="18"/>
              </w:rPr>
            </w:pPr>
            <w:r>
              <w:rPr>
                <w:rFonts w:ascii="Times New Roman" w:hAnsi="Times New Roman" w:cs="Times New Roman"/>
                <w:color w:val="auto"/>
                <w:sz w:val="18"/>
                <w:szCs w:val="18"/>
              </w:rPr>
              <w:t>20-250 beats/min; values outside the range were set to missing</w:t>
            </w:r>
          </w:p>
        </w:tc>
        <w:tc>
          <w:tcPr>
            <w:tcW w:w="0" w:type="auto"/>
            <w:tcBorders>
              <w:top w:val="single" w:color="000000" w:themeColor="text1" w:sz="4" w:space="0"/>
            </w:tcBorders>
          </w:tcPr>
          <w:p w14:paraId="508DFFA4">
            <w:pPr>
              <w:rPr>
                <w:rFonts w:ascii="Times New Roman" w:hAnsi="Times New Roman" w:cs="Times New Roman"/>
                <w:color w:val="auto"/>
                <w:sz w:val="18"/>
                <w:szCs w:val="18"/>
              </w:rPr>
            </w:pPr>
            <w:r>
              <w:rPr>
                <w:rFonts w:ascii="Times New Roman" w:hAnsi="Times New Roman" w:cs="Times New Roman"/>
                <w:color w:val="auto"/>
                <w:sz w:val="18"/>
                <w:szCs w:val="18"/>
              </w:rPr>
              <w:t>3 (0.01%)</w:t>
            </w:r>
          </w:p>
        </w:tc>
        <w:tc>
          <w:tcPr>
            <w:tcW w:w="0" w:type="auto"/>
            <w:tcBorders>
              <w:top w:val="single" w:color="000000" w:themeColor="text1" w:sz="4" w:space="0"/>
            </w:tcBorders>
          </w:tcPr>
          <w:p w14:paraId="72950C12">
            <w:pPr>
              <w:rPr>
                <w:rFonts w:ascii="Times New Roman" w:hAnsi="Times New Roman" w:cs="Times New Roman"/>
                <w:color w:val="auto"/>
                <w:sz w:val="18"/>
                <w:szCs w:val="18"/>
              </w:rPr>
            </w:pPr>
            <w:r>
              <w:rPr>
                <w:rFonts w:ascii="Times New Roman" w:hAnsi="Times New Roman" w:cs="Times New Roman"/>
                <w:color w:val="auto"/>
                <w:sz w:val="18"/>
                <w:szCs w:val="18"/>
              </w:rPr>
              <w:t>26,101; 3 (0.01%)</w:t>
            </w:r>
          </w:p>
        </w:tc>
        <w:tc>
          <w:tcPr>
            <w:tcW w:w="0" w:type="auto"/>
            <w:tcBorders>
              <w:top w:val="single" w:color="000000" w:themeColor="text1" w:sz="4" w:space="0"/>
            </w:tcBorders>
          </w:tcPr>
          <w:p w14:paraId="5AFCF20B">
            <w:pPr>
              <w:rPr>
                <w:rFonts w:ascii="Times New Roman" w:hAnsi="Times New Roman" w:cs="Times New Roman"/>
                <w:color w:val="auto"/>
                <w:sz w:val="18"/>
                <w:szCs w:val="18"/>
              </w:rPr>
            </w:pPr>
            <w:r>
              <w:rPr>
                <w:rFonts w:ascii="Times New Roman" w:hAnsi="Times New Roman" w:cs="Times New Roman"/>
                <w:color w:val="auto"/>
                <w:sz w:val="18"/>
                <w:szCs w:val="18"/>
              </w:rPr>
              <w:t>0 (0.00%)</w:t>
            </w:r>
          </w:p>
        </w:tc>
        <w:tc>
          <w:tcPr>
            <w:tcW w:w="0" w:type="auto"/>
            <w:tcBorders>
              <w:top w:val="single" w:color="000000" w:themeColor="text1" w:sz="4" w:space="0"/>
            </w:tcBorders>
          </w:tcPr>
          <w:p w14:paraId="34DE723A">
            <w:pPr>
              <w:rPr>
                <w:rFonts w:ascii="Times New Roman" w:hAnsi="Times New Roman" w:cs="Times New Roman"/>
                <w:color w:val="auto"/>
                <w:sz w:val="18"/>
                <w:szCs w:val="18"/>
              </w:rPr>
            </w:pPr>
            <w:r>
              <w:rPr>
                <w:rFonts w:ascii="Times New Roman" w:hAnsi="Times New Roman" w:cs="Times New Roman"/>
                <w:color w:val="auto"/>
                <w:sz w:val="18"/>
                <w:szCs w:val="18"/>
              </w:rPr>
              <w:t>49,893; 3,804 (7.08%)</w:t>
            </w:r>
          </w:p>
        </w:tc>
        <w:tc>
          <w:tcPr>
            <w:tcW w:w="0" w:type="auto"/>
            <w:tcBorders>
              <w:top w:val="single" w:color="000000" w:themeColor="text1" w:sz="4" w:space="0"/>
            </w:tcBorders>
          </w:tcPr>
          <w:p w14:paraId="54D0F9EE">
            <w:pPr>
              <w:rPr>
                <w:rFonts w:ascii="Times New Roman" w:hAnsi="Times New Roman" w:cs="Times New Roman"/>
                <w:color w:val="auto"/>
                <w:sz w:val="18"/>
                <w:szCs w:val="18"/>
              </w:rPr>
            </w:pPr>
            <w:r>
              <w:rPr>
                <w:rFonts w:ascii="Times New Roman" w:hAnsi="Times New Roman" w:cs="Times New Roman"/>
                <w:color w:val="auto"/>
                <w:sz w:val="18"/>
                <w:szCs w:val="18"/>
              </w:rPr>
              <w:t>Descriptive analyses and Model C covariate</w:t>
            </w:r>
          </w:p>
        </w:tc>
      </w:tr>
      <w:tr w14:paraId="21D9C64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55F9937D">
            <w:pPr>
              <w:rPr>
                <w:rFonts w:ascii="Times New Roman" w:hAnsi="Times New Roman" w:cs="Times New Roman"/>
                <w:color w:val="auto"/>
                <w:sz w:val="18"/>
                <w:szCs w:val="18"/>
              </w:rPr>
            </w:pPr>
            <w:r>
              <w:rPr>
                <w:rFonts w:ascii="Times New Roman" w:hAnsi="Times New Roman" w:cs="Times New Roman"/>
                <w:color w:val="auto"/>
                <w:sz w:val="18"/>
                <w:szCs w:val="18"/>
              </w:rPr>
              <w:t>Respiratory rate, breaths/min (max)</w:t>
            </w:r>
          </w:p>
        </w:tc>
        <w:tc>
          <w:tcPr>
            <w:tcW w:w="0" w:type="auto"/>
          </w:tcPr>
          <w:p w14:paraId="629C09BC">
            <w:pPr>
              <w:rPr>
                <w:rFonts w:ascii="Times New Roman" w:hAnsi="Times New Roman" w:cs="Times New Roman"/>
                <w:color w:val="auto"/>
                <w:sz w:val="18"/>
                <w:szCs w:val="18"/>
              </w:rPr>
            </w:pPr>
            <w:r>
              <w:rPr>
                <w:rFonts w:ascii="Times New Roman" w:hAnsi="Times New Roman" w:cs="Times New Roman"/>
                <w:color w:val="auto"/>
                <w:sz w:val="18"/>
                <w:szCs w:val="18"/>
              </w:rPr>
              <w:t>3-80 breaths/min; values outside the range were set to missing</w:t>
            </w:r>
          </w:p>
        </w:tc>
        <w:tc>
          <w:tcPr>
            <w:tcW w:w="0" w:type="auto"/>
          </w:tcPr>
          <w:p w14:paraId="172E5DA5">
            <w:pPr>
              <w:rPr>
                <w:rFonts w:ascii="Times New Roman" w:hAnsi="Times New Roman" w:cs="Times New Roman"/>
                <w:color w:val="auto"/>
                <w:sz w:val="18"/>
                <w:szCs w:val="18"/>
              </w:rPr>
            </w:pPr>
            <w:r>
              <w:rPr>
                <w:rFonts w:ascii="Times New Roman" w:hAnsi="Times New Roman" w:cs="Times New Roman"/>
                <w:color w:val="auto"/>
                <w:sz w:val="18"/>
                <w:szCs w:val="18"/>
              </w:rPr>
              <w:t>43 (0.16%)</w:t>
            </w:r>
          </w:p>
        </w:tc>
        <w:tc>
          <w:tcPr>
            <w:tcW w:w="0" w:type="auto"/>
          </w:tcPr>
          <w:p w14:paraId="68CB4F71">
            <w:pPr>
              <w:rPr>
                <w:rFonts w:ascii="Times New Roman" w:hAnsi="Times New Roman" w:cs="Times New Roman"/>
                <w:color w:val="auto"/>
                <w:sz w:val="18"/>
                <w:szCs w:val="18"/>
              </w:rPr>
            </w:pPr>
            <w:r>
              <w:rPr>
                <w:rFonts w:ascii="Times New Roman" w:hAnsi="Times New Roman" w:cs="Times New Roman"/>
                <w:color w:val="auto"/>
                <w:sz w:val="18"/>
                <w:szCs w:val="18"/>
              </w:rPr>
              <w:t>26,017; 87 (0.33%)</w:t>
            </w:r>
          </w:p>
        </w:tc>
        <w:tc>
          <w:tcPr>
            <w:tcW w:w="0" w:type="auto"/>
          </w:tcPr>
          <w:p w14:paraId="5AB38D59">
            <w:pPr>
              <w:rPr>
                <w:rFonts w:ascii="Times New Roman" w:hAnsi="Times New Roman" w:cs="Times New Roman"/>
                <w:color w:val="auto"/>
                <w:sz w:val="18"/>
                <w:szCs w:val="18"/>
              </w:rPr>
            </w:pPr>
            <w:r>
              <w:rPr>
                <w:rFonts w:ascii="Times New Roman" w:hAnsi="Times New Roman" w:cs="Times New Roman"/>
                <w:color w:val="auto"/>
                <w:sz w:val="18"/>
                <w:szCs w:val="18"/>
              </w:rPr>
              <w:t>6 (0.01%)</w:t>
            </w:r>
          </w:p>
        </w:tc>
        <w:tc>
          <w:tcPr>
            <w:tcW w:w="0" w:type="auto"/>
          </w:tcPr>
          <w:p w14:paraId="35426D5E">
            <w:pPr>
              <w:rPr>
                <w:rFonts w:ascii="Times New Roman" w:hAnsi="Times New Roman" w:cs="Times New Roman"/>
                <w:color w:val="auto"/>
                <w:sz w:val="18"/>
                <w:szCs w:val="18"/>
              </w:rPr>
            </w:pPr>
            <w:r>
              <w:rPr>
                <w:rFonts w:ascii="Times New Roman" w:hAnsi="Times New Roman" w:cs="Times New Roman"/>
                <w:color w:val="auto"/>
                <w:sz w:val="18"/>
                <w:szCs w:val="18"/>
              </w:rPr>
              <w:t>48,283; 5,414 (10.08%)</w:t>
            </w:r>
          </w:p>
        </w:tc>
        <w:tc>
          <w:tcPr>
            <w:tcW w:w="0" w:type="auto"/>
          </w:tcPr>
          <w:p w14:paraId="506A876A">
            <w:pPr>
              <w:rPr>
                <w:rFonts w:ascii="Times New Roman" w:hAnsi="Times New Roman" w:cs="Times New Roman"/>
                <w:color w:val="auto"/>
                <w:sz w:val="18"/>
                <w:szCs w:val="18"/>
              </w:rPr>
            </w:pPr>
            <w:r>
              <w:rPr>
                <w:rFonts w:ascii="Times New Roman" w:hAnsi="Times New Roman" w:cs="Times New Roman"/>
                <w:color w:val="auto"/>
                <w:sz w:val="18"/>
                <w:szCs w:val="18"/>
              </w:rPr>
              <w:t>Descriptive analyses</w:t>
            </w:r>
          </w:p>
        </w:tc>
      </w:tr>
      <w:tr w14:paraId="29A3645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3A9934D1">
            <w:pPr>
              <w:rPr>
                <w:rFonts w:ascii="Times New Roman" w:hAnsi="Times New Roman" w:cs="Times New Roman"/>
                <w:color w:val="auto"/>
                <w:sz w:val="18"/>
                <w:szCs w:val="18"/>
              </w:rPr>
            </w:pPr>
            <w:r>
              <w:rPr>
                <w:rFonts w:ascii="Times New Roman" w:hAnsi="Times New Roman" w:cs="Times New Roman"/>
                <w:color w:val="auto"/>
                <w:sz w:val="18"/>
                <w:szCs w:val="18"/>
              </w:rPr>
              <w:t>Mean arterial pressure, mmHg (min)</w:t>
            </w:r>
          </w:p>
        </w:tc>
        <w:tc>
          <w:tcPr>
            <w:tcW w:w="0" w:type="auto"/>
          </w:tcPr>
          <w:p w14:paraId="228BFC49">
            <w:pPr>
              <w:rPr>
                <w:rFonts w:ascii="Times New Roman" w:hAnsi="Times New Roman" w:cs="Times New Roman"/>
                <w:color w:val="auto"/>
                <w:sz w:val="18"/>
                <w:szCs w:val="18"/>
              </w:rPr>
            </w:pPr>
            <w:r>
              <w:rPr>
                <w:rFonts w:ascii="Times New Roman" w:hAnsi="Times New Roman" w:cs="Times New Roman"/>
                <w:color w:val="auto"/>
                <w:sz w:val="18"/>
                <w:szCs w:val="18"/>
              </w:rPr>
              <w:t>20-250 mmHg; values outside the range were set to missing; eICU-CRD sentinel values of -1 and 9999 were also set to missing</w:t>
            </w:r>
          </w:p>
        </w:tc>
        <w:tc>
          <w:tcPr>
            <w:tcW w:w="0" w:type="auto"/>
          </w:tcPr>
          <w:p w14:paraId="6F5A457F">
            <w:pPr>
              <w:rPr>
                <w:rFonts w:ascii="Times New Roman" w:hAnsi="Times New Roman" w:cs="Times New Roman"/>
                <w:color w:val="auto"/>
                <w:sz w:val="18"/>
                <w:szCs w:val="18"/>
              </w:rPr>
            </w:pPr>
            <w:r>
              <w:rPr>
                <w:rFonts w:ascii="Times New Roman" w:hAnsi="Times New Roman" w:cs="Times New Roman"/>
                <w:color w:val="auto"/>
                <w:sz w:val="18"/>
                <w:szCs w:val="18"/>
              </w:rPr>
              <w:t>595 (2.28%)</w:t>
            </w:r>
          </w:p>
        </w:tc>
        <w:tc>
          <w:tcPr>
            <w:tcW w:w="0" w:type="auto"/>
          </w:tcPr>
          <w:p w14:paraId="75291630">
            <w:pPr>
              <w:rPr>
                <w:rFonts w:ascii="Times New Roman" w:hAnsi="Times New Roman" w:cs="Times New Roman"/>
                <w:color w:val="auto"/>
                <w:sz w:val="18"/>
                <w:szCs w:val="18"/>
              </w:rPr>
            </w:pPr>
            <w:r>
              <w:rPr>
                <w:rFonts w:ascii="Times New Roman" w:hAnsi="Times New Roman" w:cs="Times New Roman"/>
                <w:color w:val="auto"/>
                <w:sz w:val="18"/>
                <w:szCs w:val="18"/>
              </w:rPr>
              <w:t>25,506; 598 (2.29%)</w:t>
            </w:r>
          </w:p>
        </w:tc>
        <w:tc>
          <w:tcPr>
            <w:tcW w:w="0" w:type="auto"/>
          </w:tcPr>
          <w:p w14:paraId="444535C9">
            <w:pPr>
              <w:rPr>
                <w:rFonts w:ascii="Times New Roman" w:hAnsi="Times New Roman" w:cs="Times New Roman"/>
                <w:color w:val="auto"/>
                <w:sz w:val="18"/>
                <w:szCs w:val="18"/>
              </w:rPr>
            </w:pPr>
            <w:r>
              <w:rPr>
                <w:rFonts w:ascii="Times New Roman" w:hAnsi="Times New Roman" w:cs="Times New Roman"/>
                <w:color w:val="auto"/>
                <w:sz w:val="18"/>
                <w:szCs w:val="18"/>
              </w:rPr>
              <w:t>4,205 (7.83%)</w:t>
            </w:r>
          </w:p>
        </w:tc>
        <w:tc>
          <w:tcPr>
            <w:tcW w:w="0" w:type="auto"/>
          </w:tcPr>
          <w:p w14:paraId="2E2D2DB9">
            <w:pPr>
              <w:rPr>
                <w:rFonts w:ascii="Times New Roman" w:hAnsi="Times New Roman" w:cs="Times New Roman"/>
                <w:color w:val="auto"/>
                <w:sz w:val="18"/>
                <w:szCs w:val="18"/>
              </w:rPr>
            </w:pPr>
            <w:r>
              <w:rPr>
                <w:rFonts w:ascii="Times New Roman" w:hAnsi="Times New Roman" w:cs="Times New Roman"/>
                <w:color w:val="auto"/>
                <w:sz w:val="18"/>
                <w:szCs w:val="18"/>
              </w:rPr>
              <w:t>49,492; 4,205 (7.83%)</w:t>
            </w:r>
          </w:p>
        </w:tc>
        <w:tc>
          <w:tcPr>
            <w:tcW w:w="0" w:type="auto"/>
          </w:tcPr>
          <w:p w14:paraId="163FD38C">
            <w:pPr>
              <w:rPr>
                <w:rFonts w:ascii="Times New Roman" w:hAnsi="Times New Roman" w:cs="Times New Roman"/>
                <w:color w:val="auto"/>
                <w:sz w:val="18"/>
                <w:szCs w:val="18"/>
              </w:rPr>
            </w:pPr>
            <w:r>
              <w:rPr>
                <w:rFonts w:ascii="Times New Roman" w:hAnsi="Times New Roman" w:cs="Times New Roman"/>
                <w:color w:val="auto"/>
                <w:sz w:val="18"/>
                <w:szCs w:val="18"/>
              </w:rPr>
              <w:t>Descriptive analyses</w:t>
            </w:r>
          </w:p>
        </w:tc>
      </w:tr>
      <w:tr w14:paraId="53A3CA0E">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7C4C7C0C">
            <w:pPr>
              <w:rPr>
                <w:rFonts w:ascii="Times New Roman" w:hAnsi="Times New Roman" w:cs="Times New Roman"/>
                <w:color w:val="auto"/>
                <w:sz w:val="18"/>
                <w:szCs w:val="18"/>
              </w:rPr>
            </w:pPr>
            <w:r>
              <w:rPr>
                <w:rFonts w:ascii="Times New Roman" w:hAnsi="Times New Roman" w:cs="Times New Roman"/>
                <w:color w:val="auto"/>
                <w:sz w:val="18"/>
                <w:szCs w:val="18"/>
              </w:rPr>
              <w:t>Temperature, °C (max)</w:t>
            </w:r>
          </w:p>
        </w:tc>
        <w:tc>
          <w:tcPr>
            <w:tcW w:w="0" w:type="auto"/>
          </w:tcPr>
          <w:p w14:paraId="1D3FC588">
            <w:pPr>
              <w:rPr>
                <w:rFonts w:ascii="Times New Roman" w:hAnsi="Times New Roman" w:cs="Times New Roman"/>
                <w:color w:val="auto"/>
                <w:sz w:val="18"/>
                <w:szCs w:val="18"/>
              </w:rPr>
            </w:pPr>
            <w:r>
              <w:rPr>
                <w:rFonts w:ascii="Times New Roman" w:hAnsi="Times New Roman" w:cs="Times New Roman"/>
                <w:color w:val="auto"/>
                <w:sz w:val="18"/>
                <w:szCs w:val="18"/>
              </w:rPr>
              <w:t>25-45 °C; values outside the range were set to missing after Fahrenheit-to-Celsius conversion where applicable</w:t>
            </w:r>
          </w:p>
        </w:tc>
        <w:tc>
          <w:tcPr>
            <w:tcW w:w="0" w:type="auto"/>
          </w:tcPr>
          <w:p w14:paraId="3289BEE9">
            <w:pPr>
              <w:rPr>
                <w:rFonts w:ascii="Times New Roman" w:hAnsi="Times New Roman" w:cs="Times New Roman"/>
                <w:color w:val="auto"/>
                <w:sz w:val="18"/>
                <w:szCs w:val="18"/>
              </w:rPr>
            </w:pPr>
            <w:r>
              <w:rPr>
                <w:rFonts w:ascii="Times New Roman" w:hAnsi="Times New Roman" w:cs="Times New Roman"/>
                <w:color w:val="auto"/>
                <w:sz w:val="18"/>
                <w:szCs w:val="18"/>
              </w:rPr>
              <w:t>47 (0.18%)</w:t>
            </w:r>
          </w:p>
        </w:tc>
        <w:tc>
          <w:tcPr>
            <w:tcW w:w="0" w:type="auto"/>
          </w:tcPr>
          <w:p w14:paraId="696DB594">
            <w:pPr>
              <w:rPr>
                <w:rFonts w:ascii="Times New Roman" w:hAnsi="Times New Roman" w:cs="Times New Roman"/>
                <w:color w:val="auto"/>
                <w:sz w:val="18"/>
                <w:szCs w:val="18"/>
              </w:rPr>
            </w:pPr>
            <w:r>
              <w:rPr>
                <w:rFonts w:ascii="Times New Roman" w:hAnsi="Times New Roman" w:cs="Times New Roman"/>
                <w:color w:val="auto"/>
                <w:sz w:val="18"/>
                <w:szCs w:val="18"/>
              </w:rPr>
              <w:t>25,110; 994 (3.81%)</w:t>
            </w:r>
          </w:p>
        </w:tc>
        <w:tc>
          <w:tcPr>
            <w:tcW w:w="0" w:type="auto"/>
          </w:tcPr>
          <w:p w14:paraId="30DBCCCD">
            <w:pPr>
              <w:rPr>
                <w:rFonts w:ascii="Times New Roman" w:hAnsi="Times New Roman" w:cs="Times New Roman"/>
                <w:color w:val="auto"/>
                <w:sz w:val="18"/>
                <w:szCs w:val="18"/>
              </w:rPr>
            </w:pPr>
            <w:r>
              <w:rPr>
                <w:rFonts w:ascii="Times New Roman" w:hAnsi="Times New Roman" w:cs="Times New Roman"/>
                <w:color w:val="auto"/>
                <w:sz w:val="18"/>
                <w:szCs w:val="18"/>
              </w:rPr>
              <w:t>0 (0.00%)</w:t>
            </w:r>
          </w:p>
        </w:tc>
        <w:tc>
          <w:tcPr>
            <w:tcW w:w="0" w:type="auto"/>
          </w:tcPr>
          <w:p w14:paraId="7B4CACBC">
            <w:pPr>
              <w:rPr>
                <w:rFonts w:ascii="Times New Roman" w:hAnsi="Times New Roman" w:cs="Times New Roman"/>
                <w:color w:val="auto"/>
                <w:sz w:val="18"/>
                <w:szCs w:val="18"/>
              </w:rPr>
            </w:pPr>
            <w:r>
              <w:rPr>
                <w:rFonts w:ascii="Times New Roman" w:hAnsi="Times New Roman" w:cs="Times New Roman"/>
                <w:color w:val="auto"/>
                <w:sz w:val="18"/>
                <w:szCs w:val="18"/>
              </w:rPr>
              <w:t>51,707; 1,990 (3.71%)</w:t>
            </w:r>
          </w:p>
        </w:tc>
        <w:tc>
          <w:tcPr>
            <w:tcW w:w="0" w:type="auto"/>
          </w:tcPr>
          <w:p w14:paraId="478BA773">
            <w:pPr>
              <w:rPr>
                <w:rFonts w:ascii="Times New Roman" w:hAnsi="Times New Roman" w:cs="Times New Roman"/>
                <w:color w:val="auto"/>
                <w:sz w:val="18"/>
                <w:szCs w:val="18"/>
              </w:rPr>
            </w:pPr>
            <w:r>
              <w:rPr>
                <w:rFonts w:ascii="Times New Roman" w:hAnsi="Times New Roman" w:cs="Times New Roman"/>
                <w:color w:val="auto"/>
                <w:sz w:val="18"/>
                <w:szCs w:val="18"/>
              </w:rPr>
              <w:t>Descriptive analyses</w:t>
            </w:r>
          </w:p>
        </w:tc>
      </w:tr>
    </w:tbl>
    <w:p w14:paraId="4D8B6EC6">
      <w:pPr>
        <w:rPr>
          <w:rFonts w:ascii="Times New Roman" w:hAnsi="Times New Roman" w:cs="Times New Roman"/>
          <w:b/>
          <w:bCs/>
          <w:color w:val="auto"/>
          <w:sz w:val="18"/>
          <w:szCs w:val="18"/>
        </w:rPr>
      </w:pPr>
      <w:r>
        <w:rPr>
          <w:rFonts w:ascii="Times New Roman" w:hAnsi="Times New Roman" w:cs="Times New Roman"/>
          <w:b/>
          <w:bCs/>
          <w:color w:val="auto"/>
          <w:sz w:val="18"/>
          <w:szCs w:val="18"/>
        </w:rPr>
        <w:t>Panel B. Missingness and handling of major Model C covariates and lactate</w:t>
      </w:r>
    </w:p>
    <w:tbl>
      <w:tblPr>
        <w:tblStyle w:val="17"/>
        <w:tblW w:w="0" w:type="auto"/>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07"/>
        <w:gridCol w:w="1228"/>
        <w:gridCol w:w="1463"/>
        <w:gridCol w:w="1453"/>
        <w:gridCol w:w="2871"/>
      </w:tblGrid>
      <w:tr w14:paraId="541F791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Borders>
              <w:top w:val="single" w:color="000000" w:themeColor="text1" w:sz="4" w:space="0"/>
              <w:bottom w:val="single" w:color="000000" w:themeColor="text1" w:sz="4" w:space="0"/>
            </w:tcBorders>
          </w:tcPr>
          <w:p w14:paraId="79258D26">
            <w:pPr>
              <w:rPr>
                <w:rFonts w:ascii="Times New Roman" w:hAnsi="Times New Roman" w:cs="Times New Roman"/>
                <w:b/>
                <w:bCs/>
                <w:color w:val="auto"/>
                <w:sz w:val="18"/>
                <w:szCs w:val="18"/>
              </w:rPr>
            </w:pPr>
            <w:r>
              <w:rPr>
                <w:rFonts w:ascii="Times New Roman" w:hAnsi="Times New Roman" w:cs="Times New Roman"/>
                <w:b/>
                <w:bCs/>
                <w:color w:val="auto"/>
                <w:sz w:val="18"/>
                <w:szCs w:val="18"/>
              </w:rPr>
              <w:t>Variable</w:t>
            </w:r>
          </w:p>
        </w:tc>
        <w:tc>
          <w:tcPr>
            <w:tcW w:w="0" w:type="auto"/>
            <w:tcBorders>
              <w:top w:val="single" w:color="000000" w:themeColor="text1" w:sz="4" w:space="0"/>
              <w:bottom w:val="single" w:color="000000" w:themeColor="text1" w:sz="4" w:space="0"/>
            </w:tcBorders>
          </w:tcPr>
          <w:p w14:paraId="30A4E83C">
            <w:pPr>
              <w:rPr>
                <w:rFonts w:ascii="Times New Roman" w:hAnsi="Times New Roman" w:cs="Times New Roman"/>
                <w:b/>
                <w:bCs/>
                <w:color w:val="auto"/>
                <w:sz w:val="18"/>
                <w:szCs w:val="18"/>
              </w:rPr>
            </w:pPr>
            <w:r>
              <w:rPr>
                <w:rFonts w:ascii="Times New Roman" w:hAnsi="Times New Roman" w:cs="Times New Roman"/>
                <w:b/>
                <w:bCs/>
                <w:color w:val="auto"/>
                <w:sz w:val="18"/>
                <w:szCs w:val="18"/>
              </w:rPr>
              <w:t>Role in analysis</w:t>
            </w:r>
          </w:p>
        </w:tc>
        <w:tc>
          <w:tcPr>
            <w:tcW w:w="0" w:type="auto"/>
            <w:tcBorders>
              <w:top w:val="single" w:color="000000" w:themeColor="text1" w:sz="4" w:space="0"/>
              <w:bottom w:val="single" w:color="000000" w:themeColor="text1" w:sz="4" w:space="0"/>
            </w:tcBorders>
          </w:tcPr>
          <w:p w14:paraId="416E2255">
            <w:pPr>
              <w:rPr>
                <w:rFonts w:ascii="Times New Roman" w:hAnsi="Times New Roman" w:cs="Times New Roman"/>
                <w:b/>
                <w:bCs/>
                <w:color w:val="auto"/>
                <w:sz w:val="18"/>
                <w:szCs w:val="18"/>
              </w:rPr>
            </w:pPr>
            <w:r>
              <w:rPr>
                <w:rFonts w:ascii="Times New Roman" w:hAnsi="Times New Roman" w:cs="Times New Roman"/>
                <w:b/>
                <w:bCs/>
                <w:color w:val="auto"/>
                <w:sz w:val="18"/>
                <w:szCs w:val="18"/>
              </w:rPr>
              <w:t>MIMIC-IV available n; missing n (%)</w:t>
            </w:r>
          </w:p>
        </w:tc>
        <w:tc>
          <w:tcPr>
            <w:tcW w:w="0" w:type="auto"/>
            <w:tcBorders>
              <w:top w:val="single" w:color="000000" w:themeColor="text1" w:sz="4" w:space="0"/>
              <w:bottom w:val="single" w:color="000000" w:themeColor="text1" w:sz="4" w:space="0"/>
            </w:tcBorders>
          </w:tcPr>
          <w:p w14:paraId="3927FD3B">
            <w:pPr>
              <w:rPr>
                <w:rFonts w:ascii="Times New Roman" w:hAnsi="Times New Roman" w:cs="Times New Roman"/>
                <w:b/>
                <w:bCs/>
                <w:color w:val="auto"/>
                <w:sz w:val="18"/>
                <w:szCs w:val="18"/>
              </w:rPr>
            </w:pPr>
            <w:r>
              <w:rPr>
                <w:rFonts w:ascii="Times New Roman" w:hAnsi="Times New Roman" w:cs="Times New Roman"/>
                <w:b/>
                <w:bCs/>
                <w:color w:val="auto"/>
                <w:sz w:val="18"/>
                <w:szCs w:val="18"/>
              </w:rPr>
              <w:t>eICU-CRD available n; missing n (%)</w:t>
            </w:r>
          </w:p>
        </w:tc>
        <w:tc>
          <w:tcPr>
            <w:tcW w:w="0" w:type="auto"/>
            <w:tcBorders>
              <w:top w:val="single" w:color="000000" w:themeColor="text1" w:sz="4" w:space="0"/>
              <w:bottom w:val="single" w:color="000000" w:themeColor="text1" w:sz="4" w:space="0"/>
            </w:tcBorders>
          </w:tcPr>
          <w:p w14:paraId="4E2A9EEB">
            <w:pPr>
              <w:rPr>
                <w:rFonts w:ascii="Times New Roman" w:hAnsi="Times New Roman" w:cs="Times New Roman"/>
                <w:b/>
                <w:bCs/>
                <w:color w:val="auto"/>
                <w:sz w:val="18"/>
                <w:szCs w:val="18"/>
              </w:rPr>
            </w:pPr>
            <w:r>
              <w:rPr>
                <w:rFonts w:ascii="Times New Roman" w:hAnsi="Times New Roman" w:cs="Times New Roman"/>
                <w:b/>
                <w:bCs/>
                <w:color w:val="auto"/>
                <w:sz w:val="18"/>
                <w:szCs w:val="18"/>
              </w:rPr>
              <w:t>Handling in analysis</w:t>
            </w:r>
          </w:p>
        </w:tc>
      </w:tr>
      <w:tr w14:paraId="6FD65061">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Borders>
              <w:top w:val="single" w:color="000000" w:themeColor="text1" w:sz="4" w:space="0"/>
            </w:tcBorders>
          </w:tcPr>
          <w:p w14:paraId="5675010E">
            <w:pPr>
              <w:rPr>
                <w:rFonts w:ascii="Times New Roman" w:hAnsi="Times New Roman" w:cs="Times New Roman"/>
                <w:color w:val="auto"/>
                <w:sz w:val="18"/>
                <w:szCs w:val="18"/>
              </w:rPr>
            </w:pPr>
            <w:r>
              <w:rPr>
                <w:rFonts w:ascii="Times New Roman" w:hAnsi="Times New Roman" w:cs="Times New Roman"/>
                <w:color w:val="auto"/>
                <w:sz w:val="18"/>
                <w:szCs w:val="18"/>
              </w:rPr>
              <w:t>White blood cell count, ×10⁹/L (max)</w:t>
            </w:r>
          </w:p>
        </w:tc>
        <w:tc>
          <w:tcPr>
            <w:tcW w:w="0" w:type="auto"/>
            <w:tcBorders>
              <w:top w:val="single" w:color="000000" w:themeColor="text1" w:sz="4" w:space="0"/>
            </w:tcBorders>
          </w:tcPr>
          <w:p w14:paraId="61B65B8A">
            <w:pPr>
              <w:rPr>
                <w:rFonts w:ascii="Times New Roman" w:hAnsi="Times New Roman" w:cs="Times New Roman"/>
                <w:color w:val="auto"/>
                <w:sz w:val="18"/>
                <w:szCs w:val="18"/>
              </w:rPr>
            </w:pPr>
            <w:r>
              <w:rPr>
                <w:rFonts w:ascii="Times New Roman" w:hAnsi="Times New Roman" w:cs="Times New Roman"/>
                <w:color w:val="auto"/>
                <w:sz w:val="18"/>
                <w:szCs w:val="18"/>
              </w:rPr>
              <w:t>Model C covariate</w:t>
            </w:r>
          </w:p>
        </w:tc>
        <w:tc>
          <w:tcPr>
            <w:tcW w:w="0" w:type="auto"/>
            <w:tcBorders>
              <w:top w:val="single" w:color="000000" w:themeColor="text1" w:sz="4" w:space="0"/>
            </w:tcBorders>
          </w:tcPr>
          <w:p w14:paraId="2BE294BA">
            <w:pPr>
              <w:rPr>
                <w:rFonts w:ascii="Times New Roman" w:hAnsi="Times New Roman" w:cs="Times New Roman"/>
                <w:color w:val="auto"/>
                <w:sz w:val="18"/>
                <w:szCs w:val="18"/>
              </w:rPr>
            </w:pPr>
            <w:r>
              <w:rPr>
                <w:rFonts w:ascii="Times New Roman" w:hAnsi="Times New Roman" w:cs="Times New Roman"/>
                <w:color w:val="auto"/>
                <w:sz w:val="18"/>
                <w:szCs w:val="18"/>
              </w:rPr>
              <w:t>25,950; 154 (0.59%)</w:t>
            </w:r>
          </w:p>
        </w:tc>
        <w:tc>
          <w:tcPr>
            <w:tcW w:w="0" w:type="auto"/>
            <w:tcBorders>
              <w:top w:val="single" w:color="000000" w:themeColor="text1" w:sz="4" w:space="0"/>
            </w:tcBorders>
          </w:tcPr>
          <w:p w14:paraId="2E706403">
            <w:pPr>
              <w:rPr>
                <w:rFonts w:ascii="Times New Roman" w:hAnsi="Times New Roman" w:cs="Times New Roman"/>
                <w:color w:val="auto"/>
                <w:sz w:val="18"/>
                <w:szCs w:val="18"/>
              </w:rPr>
            </w:pPr>
            <w:r>
              <w:rPr>
                <w:rFonts w:ascii="Times New Roman" w:hAnsi="Times New Roman" w:cs="Times New Roman"/>
                <w:color w:val="auto"/>
                <w:sz w:val="18"/>
                <w:szCs w:val="18"/>
              </w:rPr>
              <w:t>51,107; 2,590 (4.82%)</w:t>
            </w:r>
          </w:p>
        </w:tc>
        <w:tc>
          <w:tcPr>
            <w:tcW w:w="0" w:type="auto"/>
            <w:tcBorders>
              <w:top w:val="single" w:color="000000" w:themeColor="text1" w:sz="4" w:space="0"/>
            </w:tcBorders>
          </w:tcPr>
          <w:p w14:paraId="28B982A9">
            <w:pPr>
              <w:rPr>
                <w:rFonts w:ascii="Times New Roman" w:hAnsi="Times New Roman" w:cs="Times New Roman"/>
                <w:color w:val="auto"/>
                <w:sz w:val="18"/>
                <w:szCs w:val="18"/>
              </w:rPr>
            </w:pPr>
            <w:r>
              <w:rPr>
                <w:rFonts w:ascii="Times New Roman" w:hAnsi="Times New Roman" w:cs="Times New Roman"/>
                <w:color w:val="auto"/>
                <w:sz w:val="18"/>
                <w:szCs w:val="18"/>
              </w:rPr>
              <w:t>Imputed using MICE</w:t>
            </w:r>
          </w:p>
        </w:tc>
      </w:tr>
      <w:tr w14:paraId="20BAA53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0BD681EB">
            <w:pPr>
              <w:rPr>
                <w:rFonts w:ascii="Times New Roman" w:hAnsi="Times New Roman" w:cs="Times New Roman"/>
                <w:color w:val="auto"/>
                <w:sz w:val="18"/>
                <w:szCs w:val="18"/>
              </w:rPr>
            </w:pPr>
            <w:r>
              <w:rPr>
                <w:rFonts w:ascii="Times New Roman" w:hAnsi="Times New Roman" w:cs="Times New Roman"/>
                <w:color w:val="auto"/>
                <w:sz w:val="18"/>
                <w:szCs w:val="18"/>
              </w:rPr>
              <w:t>Hemoglobin, g/dL (min)</w:t>
            </w:r>
          </w:p>
        </w:tc>
        <w:tc>
          <w:tcPr>
            <w:tcW w:w="0" w:type="auto"/>
          </w:tcPr>
          <w:p w14:paraId="3F42BE68">
            <w:pPr>
              <w:rPr>
                <w:rFonts w:ascii="Times New Roman" w:hAnsi="Times New Roman" w:cs="Times New Roman"/>
                <w:color w:val="auto"/>
                <w:sz w:val="18"/>
                <w:szCs w:val="18"/>
              </w:rPr>
            </w:pPr>
            <w:r>
              <w:rPr>
                <w:rFonts w:ascii="Times New Roman" w:hAnsi="Times New Roman" w:cs="Times New Roman"/>
                <w:color w:val="auto"/>
                <w:sz w:val="18"/>
                <w:szCs w:val="18"/>
              </w:rPr>
              <w:t>Model C covariate</w:t>
            </w:r>
          </w:p>
        </w:tc>
        <w:tc>
          <w:tcPr>
            <w:tcW w:w="0" w:type="auto"/>
          </w:tcPr>
          <w:p w14:paraId="7E8F71CC">
            <w:pPr>
              <w:rPr>
                <w:rFonts w:ascii="Times New Roman" w:hAnsi="Times New Roman" w:cs="Times New Roman"/>
                <w:color w:val="auto"/>
                <w:sz w:val="18"/>
                <w:szCs w:val="18"/>
              </w:rPr>
            </w:pPr>
            <w:r>
              <w:rPr>
                <w:rFonts w:ascii="Times New Roman" w:hAnsi="Times New Roman" w:cs="Times New Roman"/>
                <w:color w:val="auto"/>
                <w:sz w:val="18"/>
                <w:szCs w:val="18"/>
              </w:rPr>
              <w:t>25,955; 149 (0.57%)</w:t>
            </w:r>
          </w:p>
        </w:tc>
        <w:tc>
          <w:tcPr>
            <w:tcW w:w="0" w:type="auto"/>
          </w:tcPr>
          <w:p w14:paraId="600D8D07">
            <w:pPr>
              <w:rPr>
                <w:rFonts w:ascii="Times New Roman" w:hAnsi="Times New Roman" w:cs="Times New Roman"/>
                <w:color w:val="auto"/>
                <w:sz w:val="18"/>
                <w:szCs w:val="18"/>
              </w:rPr>
            </w:pPr>
            <w:r>
              <w:rPr>
                <w:rFonts w:ascii="Times New Roman" w:hAnsi="Times New Roman" w:cs="Times New Roman"/>
                <w:color w:val="auto"/>
                <w:sz w:val="18"/>
                <w:szCs w:val="18"/>
              </w:rPr>
              <w:t>51,369; 2,328 (4.34%)</w:t>
            </w:r>
          </w:p>
        </w:tc>
        <w:tc>
          <w:tcPr>
            <w:tcW w:w="0" w:type="auto"/>
          </w:tcPr>
          <w:p w14:paraId="02E8315E">
            <w:pPr>
              <w:rPr>
                <w:rFonts w:ascii="Times New Roman" w:hAnsi="Times New Roman" w:cs="Times New Roman"/>
                <w:color w:val="auto"/>
                <w:sz w:val="18"/>
                <w:szCs w:val="18"/>
              </w:rPr>
            </w:pPr>
            <w:r>
              <w:rPr>
                <w:rFonts w:ascii="Times New Roman" w:hAnsi="Times New Roman" w:cs="Times New Roman"/>
                <w:color w:val="auto"/>
                <w:sz w:val="18"/>
                <w:szCs w:val="18"/>
              </w:rPr>
              <w:t>Imputed using MICE</w:t>
            </w:r>
          </w:p>
        </w:tc>
      </w:tr>
      <w:tr w14:paraId="6D414224">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3361D095">
            <w:pPr>
              <w:rPr>
                <w:rFonts w:ascii="Times New Roman" w:hAnsi="Times New Roman" w:cs="Times New Roman"/>
                <w:color w:val="auto"/>
                <w:sz w:val="18"/>
                <w:szCs w:val="18"/>
              </w:rPr>
            </w:pPr>
            <w:r>
              <w:rPr>
                <w:rFonts w:ascii="Times New Roman" w:hAnsi="Times New Roman" w:cs="Times New Roman"/>
                <w:color w:val="auto"/>
                <w:sz w:val="18"/>
                <w:szCs w:val="18"/>
              </w:rPr>
              <w:t>Blood glucose, mg/dL (max)</w:t>
            </w:r>
          </w:p>
        </w:tc>
        <w:tc>
          <w:tcPr>
            <w:tcW w:w="0" w:type="auto"/>
          </w:tcPr>
          <w:p w14:paraId="4A8BB02E">
            <w:pPr>
              <w:rPr>
                <w:rFonts w:ascii="Times New Roman" w:hAnsi="Times New Roman" w:cs="Times New Roman"/>
                <w:color w:val="auto"/>
                <w:sz w:val="18"/>
                <w:szCs w:val="18"/>
              </w:rPr>
            </w:pPr>
            <w:r>
              <w:rPr>
                <w:rFonts w:ascii="Times New Roman" w:hAnsi="Times New Roman" w:cs="Times New Roman"/>
                <w:color w:val="auto"/>
                <w:sz w:val="18"/>
                <w:szCs w:val="18"/>
              </w:rPr>
              <w:t>Model C covariate</w:t>
            </w:r>
          </w:p>
        </w:tc>
        <w:tc>
          <w:tcPr>
            <w:tcW w:w="0" w:type="auto"/>
          </w:tcPr>
          <w:p w14:paraId="6BF2BC8F">
            <w:pPr>
              <w:rPr>
                <w:rFonts w:ascii="Times New Roman" w:hAnsi="Times New Roman" w:cs="Times New Roman"/>
                <w:color w:val="auto"/>
                <w:sz w:val="18"/>
                <w:szCs w:val="18"/>
              </w:rPr>
            </w:pPr>
            <w:r>
              <w:rPr>
                <w:rFonts w:ascii="Times New Roman" w:hAnsi="Times New Roman" w:cs="Times New Roman"/>
                <w:color w:val="auto"/>
                <w:sz w:val="18"/>
                <w:szCs w:val="18"/>
              </w:rPr>
              <w:t>25,979; 125 (0.48%)</w:t>
            </w:r>
          </w:p>
        </w:tc>
        <w:tc>
          <w:tcPr>
            <w:tcW w:w="0" w:type="auto"/>
          </w:tcPr>
          <w:p w14:paraId="5A38B0B6">
            <w:pPr>
              <w:rPr>
                <w:rFonts w:ascii="Times New Roman" w:hAnsi="Times New Roman" w:cs="Times New Roman"/>
                <w:color w:val="auto"/>
                <w:sz w:val="18"/>
                <w:szCs w:val="18"/>
              </w:rPr>
            </w:pPr>
            <w:r>
              <w:rPr>
                <w:rFonts w:ascii="Times New Roman" w:hAnsi="Times New Roman" w:cs="Times New Roman"/>
                <w:color w:val="auto"/>
                <w:sz w:val="18"/>
                <w:szCs w:val="18"/>
              </w:rPr>
              <w:t>52,599; 1,098 (2.04%)</w:t>
            </w:r>
          </w:p>
        </w:tc>
        <w:tc>
          <w:tcPr>
            <w:tcW w:w="0" w:type="auto"/>
          </w:tcPr>
          <w:p w14:paraId="4BE00C36">
            <w:pPr>
              <w:rPr>
                <w:rFonts w:ascii="Times New Roman" w:hAnsi="Times New Roman" w:cs="Times New Roman"/>
                <w:color w:val="auto"/>
                <w:sz w:val="18"/>
                <w:szCs w:val="18"/>
              </w:rPr>
            </w:pPr>
            <w:r>
              <w:rPr>
                <w:rFonts w:ascii="Times New Roman" w:hAnsi="Times New Roman" w:cs="Times New Roman"/>
                <w:color w:val="auto"/>
                <w:sz w:val="18"/>
                <w:szCs w:val="18"/>
              </w:rPr>
              <w:t>Imputed using MICE</w:t>
            </w:r>
          </w:p>
        </w:tc>
      </w:tr>
      <w:tr w14:paraId="509B78FF">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7B9346B3">
            <w:pPr>
              <w:rPr>
                <w:rFonts w:ascii="Times New Roman" w:hAnsi="Times New Roman" w:cs="Times New Roman"/>
                <w:color w:val="auto"/>
                <w:sz w:val="18"/>
                <w:szCs w:val="18"/>
              </w:rPr>
            </w:pPr>
            <w:r>
              <w:rPr>
                <w:rFonts w:ascii="Times New Roman" w:hAnsi="Times New Roman" w:cs="Times New Roman"/>
                <w:color w:val="auto"/>
                <w:sz w:val="18"/>
                <w:szCs w:val="18"/>
              </w:rPr>
              <w:t>Heart rate, beats/min (max)</w:t>
            </w:r>
          </w:p>
        </w:tc>
        <w:tc>
          <w:tcPr>
            <w:tcW w:w="0" w:type="auto"/>
          </w:tcPr>
          <w:p w14:paraId="5C0C4952">
            <w:pPr>
              <w:rPr>
                <w:rFonts w:ascii="Times New Roman" w:hAnsi="Times New Roman" w:cs="Times New Roman"/>
                <w:color w:val="auto"/>
                <w:sz w:val="18"/>
                <w:szCs w:val="18"/>
              </w:rPr>
            </w:pPr>
            <w:r>
              <w:rPr>
                <w:rFonts w:ascii="Times New Roman" w:hAnsi="Times New Roman" w:cs="Times New Roman"/>
                <w:color w:val="auto"/>
                <w:sz w:val="18"/>
                <w:szCs w:val="18"/>
              </w:rPr>
              <w:t>Model C covariate</w:t>
            </w:r>
          </w:p>
        </w:tc>
        <w:tc>
          <w:tcPr>
            <w:tcW w:w="0" w:type="auto"/>
          </w:tcPr>
          <w:p w14:paraId="5E65B836">
            <w:pPr>
              <w:rPr>
                <w:rFonts w:ascii="Times New Roman" w:hAnsi="Times New Roman" w:cs="Times New Roman"/>
                <w:color w:val="auto"/>
                <w:sz w:val="18"/>
                <w:szCs w:val="18"/>
              </w:rPr>
            </w:pPr>
            <w:r>
              <w:rPr>
                <w:rFonts w:ascii="Times New Roman" w:hAnsi="Times New Roman" w:cs="Times New Roman"/>
                <w:color w:val="auto"/>
                <w:sz w:val="18"/>
                <w:szCs w:val="18"/>
              </w:rPr>
              <w:t>26,101; 3 (0.01%)</w:t>
            </w:r>
          </w:p>
        </w:tc>
        <w:tc>
          <w:tcPr>
            <w:tcW w:w="0" w:type="auto"/>
          </w:tcPr>
          <w:p w14:paraId="7F58DF42">
            <w:pPr>
              <w:rPr>
                <w:rFonts w:ascii="Times New Roman" w:hAnsi="Times New Roman" w:cs="Times New Roman"/>
                <w:color w:val="auto"/>
                <w:sz w:val="18"/>
                <w:szCs w:val="18"/>
              </w:rPr>
            </w:pPr>
            <w:r>
              <w:rPr>
                <w:rFonts w:ascii="Times New Roman" w:hAnsi="Times New Roman" w:cs="Times New Roman"/>
                <w:color w:val="auto"/>
                <w:sz w:val="18"/>
                <w:szCs w:val="18"/>
              </w:rPr>
              <w:t>49,893; 3,804 (7.08%)</w:t>
            </w:r>
          </w:p>
        </w:tc>
        <w:tc>
          <w:tcPr>
            <w:tcW w:w="0" w:type="auto"/>
          </w:tcPr>
          <w:p w14:paraId="0F79D98C">
            <w:pPr>
              <w:rPr>
                <w:rFonts w:ascii="Times New Roman" w:hAnsi="Times New Roman" w:cs="Times New Roman"/>
                <w:color w:val="auto"/>
                <w:sz w:val="18"/>
                <w:szCs w:val="18"/>
              </w:rPr>
            </w:pPr>
            <w:r>
              <w:rPr>
                <w:rFonts w:ascii="Times New Roman" w:hAnsi="Times New Roman" w:cs="Times New Roman"/>
                <w:color w:val="auto"/>
                <w:sz w:val="18"/>
                <w:szCs w:val="18"/>
              </w:rPr>
              <w:t>Imputed using MICE</w:t>
            </w:r>
          </w:p>
        </w:tc>
      </w:tr>
      <w:tr w14:paraId="53837688">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777D9DC2">
            <w:pPr>
              <w:rPr>
                <w:rFonts w:ascii="Times New Roman" w:hAnsi="Times New Roman" w:cs="Times New Roman"/>
                <w:color w:val="auto"/>
                <w:sz w:val="18"/>
                <w:szCs w:val="18"/>
              </w:rPr>
            </w:pPr>
            <w:r>
              <w:rPr>
                <w:rFonts w:ascii="Times New Roman" w:hAnsi="Times New Roman" w:cs="Times New Roman"/>
                <w:color w:val="auto"/>
                <w:sz w:val="18"/>
                <w:szCs w:val="18"/>
              </w:rPr>
              <w:t>Lactate, mmol/L (max)</w:t>
            </w:r>
          </w:p>
        </w:tc>
        <w:tc>
          <w:tcPr>
            <w:tcW w:w="0" w:type="auto"/>
          </w:tcPr>
          <w:p w14:paraId="291A147D">
            <w:pPr>
              <w:rPr>
                <w:rFonts w:ascii="Times New Roman" w:hAnsi="Times New Roman" w:cs="Times New Roman"/>
                <w:color w:val="auto"/>
                <w:sz w:val="18"/>
                <w:szCs w:val="18"/>
              </w:rPr>
            </w:pPr>
            <w:r>
              <w:rPr>
                <w:rFonts w:ascii="Times New Roman" w:hAnsi="Times New Roman" w:cs="Times New Roman"/>
                <w:color w:val="auto"/>
                <w:sz w:val="18"/>
                <w:szCs w:val="18"/>
              </w:rPr>
              <w:t>Descriptive variable only</w:t>
            </w:r>
          </w:p>
        </w:tc>
        <w:tc>
          <w:tcPr>
            <w:tcW w:w="0" w:type="auto"/>
          </w:tcPr>
          <w:p w14:paraId="6890C05F">
            <w:pPr>
              <w:rPr>
                <w:rFonts w:ascii="Times New Roman" w:hAnsi="Times New Roman" w:cs="Times New Roman"/>
                <w:color w:val="auto"/>
                <w:sz w:val="18"/>
                <w:szCs w:val="18"/>
              </w:rPr>
            </w:pPr>
            <w:r>
              <w:rPr>
                <w:rFonts w:ascii="Times New Roman" w:hAnsi="Times New Roman" w:cs="Times New Roman"/>
                <w:color w:val="auto"/>
                <w:sz w:val="18"/>
                <w:szCs w:val="18"/>
              </w:rPr>
              <w:t>19,006; 7,098 (27.19%)</w:t>
            </w:r>
          </w:p>
        </w:tc>
        <w:tc>
          <w:tcPr>
            <w:tcW w:w="0" w:type="auto"/>
          </w:tcPr>
          <w:p w14:paraId="1430E8DC">
            <w:pPr>
              <w:rPr>
                <w:rFonts w:ascii="Times New Roman" w:hAnsi="Times New Roman" w:cs="Times New Roman"/>
                <w:color w:val="auto"/>
                <w:sz w:val="18"/>
                <w:szCs w:val="18"/>
              </w:rPr>
            </w:pPr>
            <w:r>
              <w:rPr>
                <w:rFonts w:ascii="Times New Roman" w:hAnsi="Times New Roman" w:cs="Times New Roman"/>
                <w:color w:val="auto"/>
                <w:sz w:val="18"/>
                <w:szCs w:val="18"/>
              </w:rPr>
              <w:t>19,034; 34,663 (64.55%)</w:t>
            </w:r>
          </w:p>
        </w:tc>
        <w:tc>
          <w:tcPr>
            <w:tcW w:w="0" w:type="auto"/>
          </w:tcPr>
          <w:p w14:paraId="33620C6D">
            <w:pPr>
              <w:rPr>
                <w:rFonts w:ascii="Times New Roman" w:hAnsi="Times New Roman" w:cs="Times New Roman"/>
                <w:color w:val="auto"/>
                <w:sz w:val="18"/>
                <w:szCs w:val="18"/>
              </w:rPr>
            </w:pPr>
            <w:r>
              <w:rPr>
                <w:rFonts w:ascii="Times New Roman" w:hAnsi="Times New Roman" w:cs="Times New Roman"/>
                <w:color w:val="auto"/>
                <w:sz w:val="18"/>
                <w:szCs w:val="18"/>
              </w:rPr>
              <w:t>Excluded from multivariable regression models because of high missingness; analyzed only among patients with available measurements</w:t>
            </w:r>
          </w:p>
        </w:tc>
      </w:tr>
    </w:tbl>
    <w:p w14:paraId="75671D70">
      <w:pPr>
        <w:rPr>
          <w:rFonts w:ascii="Times New Roman" w:hAnsi="Times New Roman" w:cs="Times New Roman"/>
          <w:color w:val="auto"/>
          <w:sz w:val="18"/>
          <w:szCs w:val="18"/>
        </w:rPr>
      </w:pPr>
      <w:r>
        <w:rPr>
          <w:rFonts w:ascii="Times New Roman" w:hAnsi="Times New Roman" w:cs="Times New Roman"/>
          <w:b/>
          <w:bCs/>
          <w:color w:val="auto"/>
          <w:sz w:val="18"/>
          <w:szCs w:val="18"/>
        </w:rPr>
        <w:t>Abbreviations:</w:t>
      </w:r>
      <w:r>
        <w:rPr>
          <w:rFonts w:ascii="Times New Roman" w:hAnsi="Times New Roman" w:cs="Times New Roman"/>
          <w:color w:val="auto"/>
          <w:sz w:val="18"/>
          <w:szCs w:val="18"/>
        </w:rPr>
        <w:t xml:space="preserve"> MICE, multiple imputation by chained equations; QC, quality control; SOFA, Sequential Organ Failure Assessment; ICU, intensive care unit.</w:t>
      </w:r>
    </w:p>
    <w:p w14:paraId="0FE15052">
      <w:pPr>
        <w:rPr>
          <w:rFonts w:ascii="Times New Roman" w:hAnsi="Times New Roman" w:cs="Times New Roman"/>
          <w:color w:val="auto"/>
          <w:sz w:val="18"/>
          <w:szCs w:val="18"/>
        </w:rPr>
      </w:pPr>
      <w:r>
        <w:rPr>
          <w:rFonts w:ascii="Times New Roman" w:hAnsi="Times New Roman" w:cs="Times New Roman"/>
          <w:b/>
          <w:bCs/>
          <w:color w:val="auto"/>
          <w:sz w:val="18"/>
          <w:szCs w:val="18"/>
        </w:rPr>
        <w:t>Notes:</w:t>
      </w:r>
      <w:r>
        <w:rPr>
          <w:rFonts w:ascii="Times New Roman" w:hAnsi="Times New Roman" w:cs="Times New Roman"/>
          <w:color w:val="auto"/>
          <w:sz w:val="18"/>
          <w:szCs w:val="18"/>
        </w:rPr>
        <w:t xml:space="preserve"> Values outside the predefined physiologically plausible ranges were set to missing rather than winsorized. These additional quality-control rules were applied before generating descriptive summaries and before extracting regression covariates, but they did not redefine the SOFA-1 or SOFA-2 scoring algorithms. Missing Model C covariates were imputed using MICE with predictive mean matching. Five imputed datasets were generated. The imputation model included age, sex, documented sepsis, baseline comorbidities, SOFA score variables, outcome variables, and the Model C covariates, including white blood cell count, hemoglobin, blood glucose, and heart rate. Lactate is not a component of either SOFA-1 or SOFA-2 and was not included as an adjustment covariate because of high missingness. The distributions and ranges of imputed continuous variables were inspected across imputed datasets, and no implausible imputed values were identified.</w:t>
      </w:r>
    </w:p>
    <w:p w14:paraId="4EB25259">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br w:type="page"/>
      </w:r>
    </w:p>
    <w:p w14:paraId="67FCD9FF">
      <w:pPr>
        <w:rPr>
          <w:rFonts w:ascii="Times New Roman Bold" w:hAnsi="Times New Roman Bold" w:cs="Times New Roman Bold"/>
          <w:b/>
          <w:bCs/>
          <w:color w:val="auto"/>
          <w:sz w:val="18"/>
          <w:szCs w:val="18"/>
        </w:rPr>
      </w:pPr>
      <w:r>
        <w:rPr>
          <w:rFonts w:ascii="Times New Roman Bold" w:hAnsi="Times New Roman Bold" w:cs="Times New Roman Bold"/>
          <w:b/>
          <w:bCs/>
          <w:color w:val="auto"/>
          <w:sz w:val="18"/>
          <w:szCs w:val="18"/>
        </w:rPr>
        <w:t>eTable 14. Calibration performance of multivariable Model C incorporating SOFA-1 or SOFA-2 for mortality outcomes</w:t>
      </w:r>
    </w:p>
    <w:tbl>
      <w:tblPr>
        <w:tblStyle w:val="17"/>
        <w:tblW w:w="0" w:type="auto"/>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6"/>
        <w:gridCol w:w="1127"/>
        <w:gridCol w:w="1023"/>
        <w:gridCol w:w="711"/>
        <w:gridCol w:w="737"/>
        <w:gridCol w:w="745"/>
        <w:gridCol w:w="709"/>
        <w:gridCol w:w="1245"/>
        <w:gridCol w:w="1189"/>
      </w:tblGrid>
      <w:tr w14:paraId="2D97F2F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Borders>
              <w:top w:val="single" w:color="000000" w:themeColor="text1" w:sz="4" w:space="0"/>
              <w:bottom w:val="single" w:color="000000" w:themeColor="text1" w:sz="4" w:space="0"/>
            </w:tcBorders>
          </w:tcPr>
          <w:p w14:paraId="56EC5C84">
            <w:pPr>
              <w:rPr>
                <w:rFonts w:ascii="Times New Roman Bold" w:hAnsi="Times New Roman Bold" w:cs="Times New Roman Bold"/>
                <w:b/>
                <w:bCs/>
                <w:color w:val="auto"/>
                <w:sz w:val="18"/>
                <w:szCs w:val="18"/>
              </w:rPr>
            </w:pPr>
            <w:bookmarkStart w:id="0" w:name="_Hlk233035602"/>
            <w:r>
              <w:rPr>
                <w:rFonts w:ascii="Times New Roman Bold" w:hAnsi="Times New Roman Bold" w:cs="Times New Roman Bold"/>
                <w:b/>
                <w:bCs/>
                <w:color w:val="auto"/>
                <w:sz w:val="18"/>
                <w:szCs w:val="18"/>
              </w:rPr>
              <w:t>Cohort</w:t>
            </w:r>
          </w:p>
        </w:tc>
        <w:tc>
          <w:tcPr>
            <w:tcW w:w="0" w:type="auto"/>
            <w:tcBorders>
              <w:top w:val="single" w:color="000000" w:themeColor="text1" w:sz="4" w:space="0"/>
              <w:bottom w:val="single" w:color="000000" w:themeColor="text1" w:sz="4" w:space="0"/>
            </w:tcBorders>
          </w:tcPr>
          <w:p w14:paraId="44A6107D">
            <w:pPr>
              <w:rPr>
                <w:rFonts w:ascii="Times New Roman Bold" w:hAnsi="Times New Roman Bold" w:cs="Times New Roman Bold"/>
                <w:b/>
                <w:bCs/>
                <w:color w:val="auto"/>
                <w:sz w:val="18"/>
                <w:szCs w:val="18"/>
              </w:rPr>
            </w:pPr>
            <w:r>
              <w:rPr>
                <w:rFonts w:ascii="Times New Roman Bold" w:hAnsi="Times New Roman Bold" w:cs="Times New Roman Bold"/>
                <w:b/>
                <w:bCs/>
                <w:color w:val="auto"/>
                <w:sz w:val="18"/>
                <w:szCs w:val="18"/>
              </w:rPr>
              <w:t>Outcome</w:t>
            </w:r>
          </w:p>
        </w:tc>
        <w:tc>
          <w:tcPr>
            <w:tcW w:w="0" w:type="auto"/>
            <w:tcBorders>
              <w:top w:val="single" w:color="000000" w:themeColor="text1" w:sz="4" w:space="0"/>
              <w:bottom w:val="single" w:color="000000" w:themeColor="text1" w:sz="4" w:space="0"/>
            </w:tcBorders>
          </w:tcPr>
          <w:p w14:paraId="31D371C3">
            <w:pPr>
              <w:rPr>
                <w:rFonts w:ascii="Times New Roman Bold" w:hAnsi="Times New Roman Bold" w:cs="Times New Roman Bold"/>
                <w:b/>
                <w:bCs/>
                <w:color w:val="auto"/>
                <w:sz w:val="18"/>
                <w:szCs w:val="18"/>
              </w:rPr>
            </w:pPr>
            <w:r>
              <w:rPr>
                <w:rFonts w:ascii="Times New Roman Bold" w:hAnsi="Times New Roman Bold" w:cs="Times New Roman Bold"/>
                <w:b/>
                <w:bCs/>
                <w:color w:val="auto"/>
                <w:sz w:val="18"/>
                <w:szCs w:val="18"/>
              </w:rPr>
              <w:t>Model</w:t>
            </w:r>
          </w:p>
        </w:tc>
        <w:tc>
          <w:tcPr>
            <w:tcW w:w="0" w:type="auto"/>
            <w:tcBorders>
              <w:top w:val="single" w:color="000000" w:themeColor="text1" w:sz="4" w:space="0"/>
              <w:bottom w:val="single" w:color="000000" w:themeColor="text1" w:sz="4" w:space="0"/>
            </w:tcBorders>
          </w:tcPr>
          <w:p w14:paraId="17C02454">
            <w:pPr>
              <w:rPr>
                <w:rFonts w:ascii="Times New Roman Bold" w:hAnsi="Times New Roman Bold" w:cs="Times New Roman Bold"/>
                <w:b/>
                <w:bCs/>
                <w:color w:val="auto"/>
                <w:sz w:val="18"/>
                <w:szCs w:val="18"/>
              </w:rPr>
            </w:pPr>
            <w:r>
              <w:rPr>
                <w:rFonts w:ascii="Times New Roman Bold" w:hAnsi="Times New Roman Bold" w:cs="Times New Roman Bold"/>
                <w:b/>
                <w:bCs/>
                <w:color w:val="auto"/>
                <w:sz w:val="18"/>
                <w:szCs w:val="18"/>
              </w:rPr>
              <w:t>N</w:t>
            </w:r>
          </w:p>
        </w:tc>
        <w:tc>
          <w:tcPr>
            <w:tcW w:w="0" w:type="auto"/>
            <w:tcBorders>
              <w:top w:val="single" w:color="000000" w:themeColor="text1" w:sz="4" w:space="0"/>
              <w:bottom w:val="single" w:color="000000" w:themeColor="text1" w:sz="4" w:space="0"/>
            </w:tcBorders>
          </w:tcPr>
          <w:p w14:paraId="413E5FDD">
            <w:pPr>
              <w:rPr>
                <w:rFonts w:ascii="Times New Roman Bold" w:hAnsi="Times New Roman Bold" w:cs="Times New Roman Bold"/>
                <w:b/>
                <w:bCs/>
                <w:color w:val="auto"/>
                <w:sz w:val="18"/>
                <w:szCs w:val="18"/>
              </w:rPr>
            </w:pPr>
            <w:r>
              <w:rPr>
                <w:rFonts w:ascii="Times New Roman Bold" w:hAnsi="Times New Roman Bold" w:cs="Times New Roman Bold"/>
                <w:b/>
                <w:bCs/>
                <w:color w:val="auto"/>
                <w:sz w:val="18"/>
                <w:szCs w:val="18"/>
              </w:rPr>
              <w:t>Events</w:t>
            </w:r>
          </w:p>
        </w:tc>
        <w:tc>
          <w:tcPr>
            <w:tcW w:w="0" w:type="auto"/>
            <w:tcBorders>
              <w:top w:val="single" w:color="000000" w:themeColor="text1" w:sz="4" w:space="0"/>
              <w:bottom w:val="single" w:color="000000" w:themeColor="text1" w:sz="4" w:space="0"/>
            </w:tcBorders>
          </w:tcPr>
          <w:p w14:paraId="10F087B7">
            <w:pPr>
              <w:rPr>
                <w:rFonts w:ascii="Times New Roman Bold" w:hAnsi="Times New Roman Bold" w:cs="Times New Roman Bold"/>
                <w:b/>
                <w:bCs/>
                <w:color w:val="auto"/>
                <w:sz w:val="18"/>
                <w:szCs w:val="18"/>
              </w:rPr>
            </w:pPr>
            <w:r>
              <w:rPr>
                <w:rFonts w:ascii="Times New Roman Bold" w:hAnsi="Times New Roman Bold" w:cs="Times New Roman Bold"/>
                <w:b/>
                <w:bCs/>
                <w:color w:val="auto"/>
                <w:sz w:val="18"/>
                <w:szCs w:val="18"/>
              </w:rPr>
              <w:t>Event rate</w:t>
            </w:r>
          </w:p>
        </w:tc>
        <w:tc>
          <w:tcPr>
            <w:tcW w:w="0" w:type="auto"/>
            <w:tcBorders>
              <w:top w:val="single" w:color="000000" w:themeColor="text1" w:sz="4" w:space="0"/>
              <w:bottom w:val="single" w:color="000000" w:themeColor="text1" w:sz="4" w:space="0"/>
            </w:tcBorders>
          </w:tcPr>
          <w:p w14:paraId="76933691">
            <w:pPr>
              <w:rPr>
                <w:rFonts w:ascii="Times New Roman Bold" w:hAnsi="Times New Roman Bold" w:cs="Times New Roman Bold"/>
                <w:b/>
                <w:bCs/>
                <w:color w:val="auto"/>
                <w:sz w:val="18"/>
                <w:szCs w:val="18"/>
              </w:rPr>
            </w:pPr>
            <w:r>
              <w:rPr>
                <w:rFonts w:ascii="Times New Roman Bold" w:hAnsi="Times New Roman Bold" w:cs="Times New Roman Bold"/>
                <w:b/>
                <w:bCs/>
                <w:color w:val="auto"/>
                <w:sz w:val="18"/>
                <w:szCs w:val="18"/>
              </w:rPr>
              <w:t>Brier score</w:t>
            </w:r>
          </w:p>
        </w:tc>
        <w:tc>
          <w:tcPr>
            <w:tcW w:w="0" w:type="auto"/>
            <w:tcBorders>
              <w:top w:val="single" w:color="000000" w:themeColor="text1" w:sz="4" w:space="0"/>
              <w:bottom w:val="single" w:color="000000" w:themeColor="text1" w:sz="4" w:space="0"/>
            </w:tcBorders>
          </w:tcPr>
          <w:p w14:paraId="08A156A2">
            <w:pPr>
              <w:rPr>
                <w:rFonts w:ascii="Times New Roman Bold" w:hAnsi="Times New Roman Bold" w:cs="Times New Roman Bold"/>
                <w:b/>
                <w:bCs/>
                <w:color w:val="auto"/>
                <w:sz w:val="18"/>
                <w:szCs w:val="18"/>
              </w:rPr>
            </w:pPr>
            <w:r>
              <w:rPr>
                <w:rFonts w:ascii="Times New Roman Bold" w:hAnsi="Times New Roman Bold" w:cs="Times New Roman Bold"/>
                <w:b/>
                <w:bCs/>
                <w:color w:val="auto"/>
                <w:sz w:val="18"/>
                <w:szCs w:val="18"/>
              </w:rPr>
              <w:t>Calibration intercept</w:t>
            </w:r>
          </w:p>
        </w:tc>
        <w:tc>
          <w:tcPr>
            <w:tcW w:w="0" w:type="auto"/>
            <w:tcBorders>
              <w:top w:val="single" w:color="000000" w:themeColor="text1" w:sz="4" w:space="0"/>
              <w:bottom w:val="single" w:color="000000" w:themeColor="text1" w:sz="4" w:space="0"/>
            </w:tcBorders>
          </w:tcPr>
          <w:p w14:paraId="3085455E">
            <w:pPr>
              <w:rPr>
                <w:rFonts w:ascii="Times New Roman Bold" w:hAnsi="Times New Roman Bold" w:cs="Times New Roman Bold"/>
                <w:b/>
                <w:bCs/>
                <w:color w:val="auto"/>
                <w:sz w:val="18"/>
                <w:szCs w:val="18"/>
              </w:rPr>
            </w:pPr>
            <w:r>
              <w:rPr>
                <w:rFonts w:ascii="Times New Roman Bold" w:hAnsi="Times New Roman Bold" w:cs="Times New Roman Bold"/>
                <w:b/>
                <w:bCs/>
                <w:color w:val="auto"/>
                <w:sz w:val="18"/>
                <w:szCs w:val="18"/>
              </w:rPr>
              <w:t>Calibration slope</w:t>
            </w:r>
          </w:p>
        </w:tc>
      </w:tr>
      <w:bookmarkEnd w:id="0"/>
      <w:tr w14:paraId="49FF257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Borders>
              <w:top w:val="single" w:color="000000" w:themeColor="text1" w:sz="4" w:space="0"/>
            </w:tcBorders>
          </w:tcPr>
          <w:p w14:paraId="678BC3CD">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MIMIC-IV</w:t>
            </w:r>
          </w:p>
        </w:tc>
        <w:tc>
          <w:tcPr>
            <w:tcW w:w="0" w:type="auto"/>
            <w:tcBorders>
              <w:top w:val="single" w:color="000000" w:themeColor="text1" w:sz="4" w:space="0"/>
            </w:tcBorders>
          </w:tcPr>
          <w:p w14:paraId="77E37885">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ICU mortality</w:t>
            </w:r>
          </w:p>
        </w:tc>
        <w:tc>
          <w:tcPr>
            <w:tcW w:w="0" w:type="auto"/>
            <w:tcBorders>
              <w:top w:val="single" w:color="000000" w:themeColor="text1" w:sz="4" w:space="0"/>
            </w:tcBorders>
          </w:tcPr>
          <w:p w14:paraId="6C93797B">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Model C with SOFA-1</w:t>
            </w:r>
          </w:p>
        </w:tc>
        <w:tc>
          <w:tcPr>
            <w:tcW w:w="0" w:type="auto"/>
            <w:tcBorders>
              <w:top w:val="single" w:color="000000" w:themeColor="text1" w:sz="4" w:space="0"/>
            </w:tcBorders>
          </w:tcPr>
          <w:p w14:paraId="70A84490">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26,104</w:t>
            </w:r>
          </w:p>
        </w:tc>
        <w:tc>
          <w:tcPr>
            <w:tcW w:w="0" w:type="auto"/>
            <w:tcBorders>
              <w:top w:val="single" w:color="000000" w:themeColor="text1" w:sz="4" w:space="0"/>
            </w:tcBorders>
          </w:tcPr>
          <w:p w14:paraId="025B4346">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2,083</w:t>
            </w:r>
          </w:p>
        </w:tc>
        <w:tc>
          <w:tcPr>
            <w:tcW w:w="0" w:type="auto"/>
            <w:tcBorders>
              <w:top w:val="single" w:color="000000" w:themeColor="text1" w:sz="4" w:space="0"/>
            </w:tcBorders>
          </w:tcPr>
          <w:p w14:paraId="02308AC2">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8.0%</w:t>
            </w:r>
          </w:p>
        </w:tc>
        <w:tc>
          <w:tcPr>
            <w:tcW w:w="0" w:type="auto"/>
            <w:tcBorders>
              <w:top w:val="single" w:color="000000" w:themeColor="text1" w:sz="4" w:space="0"/>
            </w:tcBorders>
          </w:tcPr>
          <w:p w14:paraId="1B47DC0B">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0.064</w:t>
            </w:r>
          </w:p>
        </w:tc>
        <w:tc>
          <w:tcPr>
            <w:tcW w:w="0" w:type="auto"/>
            <w:tcBorders>
              <w:top w:val="single" w:color="000000" w:themeColor="text1" w:sz="4" w:space="0"/>
            </w:tcBorders>
          </w:tcPr>
          <w:p w14:paraId="2ED158E0">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6.409 × 10</w:t>
            </w:r>
            <w:r>
              <w:rPr>
                <w:rFonts w:ascii="Times New Roman Bold" w:hAnsi="Times New Roman Bold" w:cs="Times New Roman Bold"/>
                <w:color w:val="auto"/>
                <w:sz w:val="18"/>
                <w:szCs w:val="18"/>
                <w:vertAlign w:val="superscript"/>
              </w:rPr>
              <w:t>-4</w:t>
            </w:r>
          </w:p>
        </w:tc>
        <w:tc>
          <w:tcPr>
            <w:tcW w:w="0" w:type="auto"/>
            <w:tcBorders>
              <w:top w:val="single" w:color="000000" w:themeColor="text1" w:sz="4" w:space="0"/>
            </w:tcBorders>
          </w:tcPr>
          <w:p w14:paraId="304B5521">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0.993</w:t>
            </w:r>
          </w:p>
        </w:tc>
      </w:tr>
      <w:tr w14:paraId="26C0B24E">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06984A9E">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MIMIC-IV</w:t>
            </w:r>
          </w:p>
        </w:tc>
        <w:tc>
          <w:tcPr>
            <w:tcW w:w="0" w:type="auto"/>
          </w:tcPr>
          <w:p w14:paraId="1B733D8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ICU mortality</w:t>
            </w:r>
          </w:p>
        </w:tc>
        <w:tc>
          <w:tcPr>
            <w:tcW w:w="0" w:type="auto"/>
          </w:tcPr>
          <w:p w14:paraId="2F0D463B">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Model C with SOFA-2</w:t>
            </w:r>
          </w:p>
        </w:tc>
        <w:tc>
          <w:tcPr>
            <w:tcW w:w="0" w:type="auto"/>
          </w:tcPr>
          <w:p w14:paraId="2B4C1083">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26,104</w:t>
            </w:r>
          </w:p>
        </w:tc>
        <w:tc>
          <w:tcPr>
            <w:tcW w:w="0" w:type="auto"/>
          </w:tcPr>
          <w:p w14:paraId="20224B95">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2,083</w:t>
            </w:r>
          </w:p>
        </w:tc>
        <w:tc>
          <w:tcPr>
            <w:tcW w:w="0" w:type="auto"/>
          </w:tcPr>
          <w:p w14:paraId="5EBA4C5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8.0%</w:t>
            </w:r>
          </w:p>
        </w:tc>
        <w:tc>
          <w:tcPr>
            <w:tcW w:w="0" w:type="auto"/>
          </w:tcPr>
          <w:p w14:paraId="2C10D006">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0.064</w:t>
            </w:r>
          </w:p>
        </w:tc>
        <w:tc>
          <w:tcPr>
            <w:tcW w:w="0" w:type="auto"/>
          </w:tcPr>
          <w:p w14:paraId="1C094528">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1.040 ×</w:t>
            </w:r>
            <w:r>
              <w:rPr>
                <w:rFonts w:hint="eastAsia" w:ascii="Times New Roman Bold" w:hAnsi="Times New Roman Bold" w:cs="Times New Roman Bold"/>
                <w:color w:val="auto"/>
                <w:sz w:val="18"/>
                <w:szCs w:val="18"/>
              </w:rPr>
              <w:t xml:space="preserve"> </w:t>
            </w:r>
            <w:r>
              <w:rPr>
                <w:rFonts w:ascii="Times New Roman Bold" w:hAnsi="Times New Roman Bold" w:cs="Times New Roman Bold"/>
                <w:color w:val="auto"/>
                <w:sz w:val="18"/>
                <w:szCs w:val="18"/>
              </w:rPr>
              <w:t>10</w:t>
            </w:r>
            <w:r>
              <w:rPr>
                <w:rFonts w:ascii="Times New Roman Bold" w:hAnsi="Times New Roman Bold" w:cs="Times New Roman Bold"/>
                <w:color w:val="auto"/>
                <w:sz w:val="18"/>
                <w:szCs w:val="18"/>
                <w:vertAlign w:val="superscript"/>
              </w:rPr>
              <w:t>-4</w:t>
            </w:r>
          </w:p>
        </w:tc>
        <w:tc>
          <w:tcPr>
            <w:tcW w:w="0" w:type="auto"/>
          </w:tcPr>
          <w:p w14:paraId="2AAED43E">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0.992</w:t>
            </w:r>
          </w:p>
        </w:tc>
      </w:tr>
      <w:tr w14:paraId="4E6988F7">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7AC5464B">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eICU-CRD</w:t>
            </w:r>
          </w:p>
        </w:tc>
        <w:tc>
          <w:tcPr>
            <w:tcW w:w="0" w:type="auto"/>
          </w:tcPr>
          <w:p w14:paraId="7D26A946">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ICU mortality</w:t>
            </w:r>
          </w:p>
        </w:tc>
        <w:tc>
          <w:tcPr>
            <w:tcW w:w="0" w:type="auto"/>
          </w:tcPr>
          <w:p w14:paraId="4F38D059">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Model C with SOFA-1</w:t>
            </w:r>
          </w:p>
        </w:tc>
        <w:tc>
          <w:tcPr>
            <w:tcW w:w="0" w:type="auto"/>
          </w:tcPr>
          <w:p w14:paraId="519DD227">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53,6</w:t>
            </w:r>
            <w:r>
              <w:rPr>
                <w:rFonts w:hint="eastAsia" w:ascii="Times New Roman Bold" w:hAnsi="Times New Roman Bold" w:cs="Times New Roman Bold"/>
                <w:color w:val="auto"/>
                <w:sz w:val="18"/>
                <w:szCs w:val="18"/>
              </w:rPr>
              <w:t>9</w:t>
            </w:r>
            <w:r>
              <w:rPr>
                <w:rFonts w:ascii="Times New Roman Bold" w:hAnsi="Times New Roman Bold" w:cs="Times New Roman Bold"/>
                <w:color w:val="auto"/>
                <w:sz w:val="18"/>
                <w:szCs w:val="18"/>
              </w:rPr>
              <w:t>7</w:t>
            </w:r>
          </w:p>
        </w:tc>
        <w:tc>
          <w:tcPr>
            <w:tcW w:w="0" w:type="auto"/>
          </w:tcPr>
          <w:p w14:paraId="2E940A9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3,220</w:t>
            </w:r>
          </w:p>
        </w:tc>
        <w:tc>
          <w:tcPr>
            <w:tcW w:w="0" w:type="auto"/>
          </w:tcPr>
          <w:p w14:paraId="0068312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6.0%</w:t>
            </w:r>
          </w:p>
        </w:tc>
        <w:tc>
          <w:tcPr>
            <w:tcW w:w="0" w:type="auto"/>
          </w:tcPr>
          <w:p w14:paraId="38338D20">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0.050</w:t>
            </w:r>
          </w:p>
        </w:tc>
        <w:tc>
          <w:tcPr>
            <w:tcW w:w="0" w:type="auto"/>
          </w:tcPr>
          <w:p w14:paraId="2CB9CF2E">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-3.008 × 10</w:t>
            </w:r>
            <w:r>
              <w:rPr>
                <w:rFonts w:ascii="Times New Roman Bold" w:hAnsi="Times New Roman Bold" w:cs="Times New Roman Bold"/>
                <w:color w:val="auto"/>
                <w:sz w:val="18"/>
                <w:szCs w:val="18"/>
                <w:vertAlign w:val="superscript"/>
              </w:rPr>
              <w:t>-5</w:t>
            </w:r>
          </w:p>
        </w:tc>
        <w:tc>
          <w:tcPr>
            <w:tcW w:w="0" w:type="auto"/>
          </w:tcPr>
          <w:p w14:paraId="6F4DF5AB">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0.996</w:t>
            </w:r>
          </w:p>
        </w:tc>
      </w:tr>
      <w:tr w14:paraId="1AC5A41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6FB00DA4">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eICU-CRD</w:t>
            </w:r>
          </w:p>
        </w:tc>
        <w:tc>
          <w:tcPr>
            <w:tcW w:w="0" w:type="auto"/>
          </w:tcPr>
          <w:p w14:paraId="50083660">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ICU mortality</w:t>
            </w:r>
          </w:p>
        </w:tc>
        <w:tc>
          <w:tcPr>
            <w:tcW w:w="0" w:type="auto"/>
          </w:tcPr>
          <w:p w14:paraId="661AECF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Model C with SOFA-2</w:t>
            </w:r>
          </w:p>
        </w:tc>
        <w:tc>
          <w:tcPr>
            <w:tcW w:w="0" w:type="auto"/>
          </w:tcPr>
          <w:p w14:paraId="3202D099">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53,6</w:t>
            </w:r>
            <w:r>
              <w:rPr>
                <w:rFonts w:hint="eastAsia" w:ascii="Times New Roman Bold" w:hAnsi="Times New Roman Bold" w:cs="Times New Roman Bold"/>
                <w:color w:val="auto"/>
                <w:sz w:val="18"/>
                <w:szCs w:val="18"/>
              </w:rPr>
              <w:t>9</w:t>
            </w:r>
            <w:r>
              <w:rPr>
                <w:rFonts w:ascii="Times New Roman Bold" w:hAnsi="Times New Roman Bold" w:cs="Times New Roman Bold"/>
                <w:color w:val="auto"/>
                <w:sz w:val="18"/>
                <w:szCs w:val="18"/>
              </w:rPr>
              <w:t>7</w:t>
            </w:r>
          </w:p>
        </w:tc>
        <w:tc>
          <w:tcPr>
            <w:tcW w:w="0" w:type="auto"/>
          </w:tcPr>
          <w:p w14:paraId="31094EE1">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3,220</w:t>
            </w:r>
          </w:p>
        </w:tc>
        <w:tc>
          <w:tcPr>
            <w:tcW w:w="0" w:type="auto"/>
          </w:tcPr>
          <w:p w14:paraId="4D23EAA6">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6.0%</w:t>
            </w:r>
          </w:p>
        </w:tc>
        <w:tc>
          <w:tcPr>
            <w:tcW w:w="0" w:type="auto"/>
          </w:tcPr>
          <w:p w14:paraId="75EDC522">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0.050</w:t>
            </w:r>
          </w:p>
        </w:tc>
        <w:tc>
          <w:tcPr>
            <w:tcW w:w="0" w:type="auto"/>
          </w:tcPr>
          <w:p w14:paraId="3DB09998">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1.673 ×</w:t>
            </w:r>
            <w:r>
              <w:rPr>
                <w:rFonts w:hint="eastAsia" w:ascii="Times New Roman Bold" w:hAnsi="Times New Roman Bold" w:cs="Times New Roman Bold"/>
                <w:color w:val="auto"/>
                <w:sz w:val="18"/>
                <w:szCs w:val="18"/>
              </w:rPr>
              <w:t xml:space="preserve"> </w:t>
            </w:r>
            <w:r>
              <w:rPr>
                <w:rFonts w:ascii="Times New Roman Bold" w:hAnsi="Times New Roman Bold" w:cs="Times New Roman Bold"/>
                <w:color w:val="auto"/>
                <w:sz w:val="18"/>
                <w:szCs w:val="18"/>
              </w:rPr>
              <w:t>10</w:t>
            </w:r>
            <w:r>
              <w:rPr>
                <w:rFonts w:ascii="Times New Roman Bold" w:hAnsi="Times New Roman Bold" w:cs="Times New Roman Bold"/>
                <w:color w:val="auto"/>
                <w:sz w:val="18"/>
                <w:szCs w:val="18"/>
                <w:vertAlign w:val="superscript"/>
              </w:rPr>
              <w:t>-4</w:t>
            </w:r>
          </w:p>
        </w:tc>
        <w:tc>
          <w:tcPr>
            <w:tcW w:w="0" w:type="auto"/>
          </w:tcPr>
          <w:p w14:paraId="3B0139F4">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0.996</w:t>
            </w:r>
          </w:p>
        </w:tc>
      </w:tr>
      <w:tr w14:paraId="0A46873C">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152F93F8">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MIMIC-IV</w:t>
            </w:r>
          </w:p>
        </w:tc>
        <w:tc>
          <w:tcPr>
            <w:tcW w:w="0" w:type="auto"/>
          </w:tcPr>
          <w:p w14:paraId="5D4C4C6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In-hospital mortality</w:t>
            </w:r>
          </w:p>
        </w:tc>
        <w:tc>
          <w:tcPr>
            <w:tcW w:w="0" w:type="auto"/>
          </w:tcPr>
          <w:p w14:paraId="531D3921">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Model C with SOFA-1</w:t>
            </w:r>
          </w:p>
        </w:tc>
        <w:tc>
          <w:tcPr>
            <w:tcW w:w="0" w:type="auto"/>
          </w:tcPr>
          <w:p w14:paraId="23259C07">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26,104</w:t>
            </w:r>
          </w:p>
        </w:tc>
        <w:tc>
          <w:tcPr>
            <w:tcW w:w="0" w:type="auto"/>
          </w:tcPr>
          <w:p w14:paraId="74DF87BD">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3,257</w:t>
            </w:r>
          </w:p>
        </w:tc>
        <w:tc>
          <w:tcPr>
            <w:tcW w:w="0" w:type="auto"/>
          </w:tcPr>
          <w:p w14:paraId="3E675DA3">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12.5%</w:t>
            </w:r>
          </w:p>
        </w:tc>
        <w:tc>
          <w:tcPr>
            <w:tcW w:w="0" w:type="auto"/>
          </w:tcPr>
          <w:p w14:paraId="1E801959">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0.093</w:t>
            </w:r>
          </w:p>
        </w:tc>
        <w:tc>
          <w:tcPr>
            <w:tcW w:w="0" w:type="auto"/>
          </w:tcPr>
          <w:p w14:paraId="33592AB9">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-3.604 ×</w:t>
            </w:r>
            <w:r>
              <w:rPr>
                <w:rFonts w:hint="eastAsia" w:ascii="Times New Roman Bold" w:hAnsi="Times New Roman Bold" w:cs="Times New Roman Bold"/>
                <w:color w:val="auto"/>
                <w:sz w:val="18"/>
                <w:szCs w:val="18"/>
              </w:rPr>
              <w:t xml:space="preserve"> </w:t>
            </w:r>
            <w:r>
              <w:rPr>
                <w:rFonts w:ascii="Times New Roman Bold" w:hAnsi="Times New Roman Bold" w:cs="Times New Roman Bold"/>
                <w:color w:val="auto"/>
                <w:sz w:val="18"/>
                <w:szCs w:val="18"/>
              </w:rPr>
              <w:t>10</w:t>
            </w:r>
            <w:r>
              <w:rPr>
                <w:rFonts w:ascii="Times New Roman Bold" w:hAnsi="Times New Roman Bold" w:cs="Times New Roman Bold"/>
                <w:color w:val="auto"/>
                <w:sz w:val="18"/>
                <w:szCs w:val="18"/>
                <w:vertAlign w:val="superscript"/>
              </w:rPr>
              <w:t>-4</w:t>
            </w:r>
          </w:p>
        </w:tc>
        <w:tc>
          <w:tcPr>
            <w:tcW w:w="0" w:type="auto"/>
          </w:tcPr>
          <w:p w14:paraId="7EC8C84E">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1.002</w:t>
            </w:r>
          </w:p>
        </w:tc>
      </w:tr>
      <w:tr w14:paraId="7A059F3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1BFF5DE3">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MIMIC-IV</w:t>
            </w:r>
          </w:p>
        </w:tc>
        <w:tc>
          <w:tcPr>
            <w:tcW w:w="0" w:type="auto"/>
          </w:tcPr>
          <w:p w14:paraId="2EC18271">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In-hospital mortality</w:t>
            </w:r>
          </w:p>
        </w:tc>
        <w:tc>
          <w:tcPr>
            <w:tcW w:w="0" w:type="auto"/>
          </w:tcPr>
          <w:p w14:paraId="50B5ECA3">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Model C with SOFA-2</w:t>
            </w:r>
          </w:p>
        </w:tc>
        <w:tc>
          <w:tcPr>
            <w:tcW w:w="0" w:type="auto"/>
          </w:tcPr>
          <w:p w14:paraId="6E43FCE8">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26,104</w:t>
            </w:r>
          </w:p>
        </w:tc>
        <w:tc>
          <w:tcPr>
            <w:tcW w:w="0" w:type="auto"/>
          </w:tcPr>
          <w:p w14:paraId="414A4C5D">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3,257</w:t>
            </w:r>
          </w:p>
        </w:tc>
        <w:tc>
          <w:tcPr>
            <w:tcW w:w="0" w:type="auto"/>
          </w:tcPr>
          <w:p w14:paraId="5A605DD5">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12.5%</w:t>
            </w:r>
          </w:p>
        </w:tc>
        <w:tc>
          <w:tcPr>
            <w:tcW w:w="0" w:type="auto"/>
          </w:tcPr>
          <w:p w14:paraId="3DFC8A3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0.093</w:t>
            </w:r>
          </w:p>
        </w:tc>
        <w:tc>
          <w:tcPr>
            <w:tcW w:w="0" w:type="auto"/>
          </w:tcPr>
          <w:p w14:paraId="1C5072D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1.928 × 10</w:t>
            </w:r>
            <w:r>
              <w:rPr>
                <w:rFonts w:ascii="Times New Roman Bold" w:hAnsi="Times New Roman Bold" w:cs="Times New Roman Bold"/>
                <w:color w:val="auto"/>
                <w:sz w:val="18"/>
                <w:szCs w:val="18"/>
                <w:vertAlign w:val="superscript"/>
              </w:rPr>
              <w:t>-5</w:t>
            </w:r>
          </w:p>
        </w:tc>
        <w:tc>
          <w:tcPr>
            <w:tcW w:w="0" w:type="auto"/>
          </w:tcPr>
          <w:p w14:paraId="5553A2A3">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0.998</w:t>
            </w:r>
          </w:p>
        </w:tc>
      </w:tr>
      <w:tr w14:paraId="3E0B2A5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1C705BDD">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eICU-CRD</w:t>
            </w:r>
          </w:p>
        </w:tc>
        <w:tc>
          <w:tcPr>
            <w:tcW w:w="0" w:type="auto"/>
          </w:tcPr>
          <w:p w14:paraId="1D80E4C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In-hospital mortality</w:t>
            </w:r>
          </w:p>
        </w:tc>
        <w:tc>
          <w:tcPr>
            <w:tcW w:w="0" w:type="auto"/>
          </w:tcPr>
          <w:p w14:paraId="74D6A386">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Model C with SOFA-1</w:t>
            </w:r>
          </w:p>
        </w:tc>
        <w:tc>
          <w:tcPr>
            <w:tcW w:w="0" w:type="auto"/>
          </w:tcPr>
          <w:p w14:paraId="694C5313">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53,6</w:t>
            </w:r>
            <w:r>
              <w:rPr>
                <w:rFonts w:hint="eastAsia" w:ascii="Times New Roman Bold" w:hAnsi="Times New Roman Bold" w:cs="Times New Roman Bold"/>
                <w:color w:val="auto"/>
                <w:sz w:val="18"/>
                <w:szCs w:val="18"/>
              </w:rPr>
              <w:t>9</w:t>
            </w:r>
            <w:r>
              <w:rPr>
                <w:rFonts w:ascii="Times New Roman Bold" w:hAnsi="Times New Roman Bold" w:cs="Times New Roman Bold"/>
                <w:color w:val="auto"/>
                <w:sz w:val="18"/>
                <w:szCs w:val="18"/>
              </w:rPr>
              <w:t>7</w:t>
            </w:r>
          </w:p>
        </w:tc>
        <w:tc>
          <w:tcPr>
            <w:tcW w:w="0" w:type="auto"/>
          </w:tcPr>
          <w:p w14:paraId="301BE26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5,768</w:t>
            </w:r>
          </w:p>
        </w:tc>
        <w:tc>
          <w:tcPr>
            <w:tcW w:w="0" w:type="auto"/>
          </w:tcPr>
          <w:p w14:paraId="38CA90B2">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10.7%</w:t>
            </w:r>
          </w:p>
        </w:tc>
        <w:tc>
          <w:tcPr>
            <w:tcW w:w="0" w:type="auto"/>
          </w:tcPr>
          <w:p w14:paraId="4E1DC45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0.085</w:t>
            </w:r>
          </w:p>
        </w:tc>
        <w:tc>
          <w:tcPr>
            <w:tcW w:w="0" w:type="auto"/>
          </w:tcPr>
          <w:p w14:paraId="670343D4">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2.072 × 10</w:t>
            </w:r>
            <w:r>
              <w:rPr>
                <w:rFonts w:ascii="Times New Roman Bold" w:hAnsi="Times New Roman Bold" w:cs="Times New Roman Bold"/>
                <w:color w:val="auto"/>
                <w:sz w:val="18"/>
                <w:szCs w:val="18"/>
                <w:vertAlign w:val="superscript"/>
              </w:rPr>
              <w:t>-5</w:t>
            </w:r>
          </w:p>
        </w:tc>
        <w:tc>
          <w:tcPr>
            <w:tcW w:w="0" w:type="auto"/>
          </w:tcPr>
          <w:p w14:paraId="034E1B9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0.997</w:t>
            </w:r>
          </w:p>
        </w:tc>
      </w:tr>
      <w:tr w14:paraId="4D735F92">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4C92BDB8">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eICU-CRD</w:t>
            </w:r>
          </w:p>
        </w:tc>
        <w:tc>
          <w:tcPr>
            <w:tcW w:w="0" w:type="auto"/>
          </w:tcPr>
          <w:p w14:paraId="34851E13">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In-hospital mortality</w:t>
            </w:r>
          </w:p>
        </w:tc>
        <w:tc>
          <w:tcPr>
            <w:tcW w:w="0" w:type="auto"/>
          </w:tcPr>
          <w:p w14:paraId="71DF9DC2">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Model C with SOFA-2</w:t>
            </w:r>
          </w:p>
        </w:tc>
        <w:tc>
          <w:tcPr>
            <w:tcW w:w="0" w:type="auto"/>
          </w:tcPr>
          <w:p w14:paraId="2AB41A08">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53,6</w:t>
            </w:r>
            <w:r>
              <w:rPr>
                <w:rFonts w:hint="eastAsia" w:ascii="Times New Roman Bold" w:hAnsi="Times New Roman Bold" w:cs="Times New Roman Bold"/>
                <w:color w:val="auto"/>
                <w:sz w:val="18"/>
                <w:szCs w:val="18"/>
              </w:rPr>
              <w:t>9</w:t>
            </w:r>
            <w:r>
              <w:rPr>
                <w:rFonts w:ascii="Times New Roman Bold" w:hAnsi="Times New Roman Bold" w:cs="Times New Roman Bold"/>
                <w:color w:val="auto"/>
                <w:sz w:val="18"/>
                <w:szCs w:val="18"/>
              </w:rPr>
              <w:t>7</w:t>
            </w:r>
          </w:p>
        </w:tc>
        <w:tc>
          <w:tcPr>
            <w:tcW w:w="0" w:type="auto"/>
          </w:tcPr>
          <w:p w14:paraId="5A5776CD">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5,768</w:t>
            </w:r>
          </w:p>
        </w:tc>
        <w:tc>
          <w:tcPr>
            <w:tcW w:w="0" w:type="auto"/>
          </w:tcPr>
          <w:p w14:paraId="687584C4">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10.7%</w:t>
            </w:r>
          </w:p>
        </w:tc>
        <w:tc>
          <w:tcPr>
            <w:tcW w:w="0" w:type="auto"/>
          </w:tcPr>
          <w:p w14:paraId="7F733B6D">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0.085</w:t>
            </w:r>
          </w:p>
        </w:tc>
        <w:tc>
          <w:tcPr>
            <w:tcW w:w="0" w:type="auto"/>
          </w:tcPr>
          <w:p w14:paraId="02BBB7D7">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-1.229 ×</w:t>
            </w:r>
            <w:r>
              <w:rPr>
                <w:rFonts w:hint="eastAsia" w:ascii="Times New Roman Bold" w:hAnsi="Times New Roman Bold" w:cs="Times New Roman Bold"/>
                <w:color w:val="auto"/>
                <w:sz w:val="18"/>
                <w:szCs w:val="18"/>
              </w:rPr>
              <w:t xml:space="preserve"> </w:t>
            </w:r>
            <w:r>
              <w:rPr>
                <w:rFonts w:ascii="Times New Roman Bold" w:hAnsi="Times New Roman Bold" w:cs="Times New Roman Bold"/>
                <w:color w:val="auto"/>
                <w:sz w:val="18"/>
                <w:szCs w:val="18"/>
              </w:rPr>
              <w:t>10</w:t>
            </w:r>
            <w:r>
              <w:rPr>
                <w:rFonts w:ascii="Times New Roman Bold" w:hAnsi="Times New Roman Bold" w:cs="Times New Roman Bold"/>
                <w:color w:val="auto"/>
                <w:sz w:val="18"/>
                <w:szCs w:val="18"/>
                <w:vertAlign w:val="superscript"/>
              </w:rPr>
              <w:t>-4</w:t>
            </w:r>
          </w:p>
        </w:tc>
        <w:tc>
          <w:tcPr>
            <w:tcW w:w="0" w:type="auto"/>
          </w:tcPr>
          <w:p w14:paraId="768874AA">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0.996</w:t>
            </w:r>
          </w:p>
        </w:tc>
      </w:tr>
      <w:tr w14:paraId="2E6789A1">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0889F363">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MIMIC-IV</w:t>
            </w:r>
          </w:p>
        </w:tc>
        <w:tc>
          <w:tcPr>
            <w:tcW w:w="0" w:type="auto"/>
          </w:tcPr>
          <w:p w14:paraId="2F4AE2E0">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28-day mortality</w:t>
            </w:r>
          </w:p>
        </w:tc>
        <w:tc>
          <w:tcPr>
            <w:tcW w:w="0" w:type="auto"/>
          </w:tcPr>
          <w:p w14:paraId="66EE70E8">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Model C with SOFA-1</w:t>
            </w:r>
          </w:p>
        </w:tc>
        <w:tc>
          <w:tcPr>
            <w:tcW w:w="0" w:type="auto"/>
          </w:tcPr>
          <w:p w14:paraId="646E63B3">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26,104</w:t>
            </w:r>
          </w:p>
        </w:tc>
        <w:tc>
          <w:tcPr>
            <w:tcW w:w="0" w:type="auto"/>
          </w:tcPr>
          <w:p w14:paraId="79F3A7A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4,160</w:t>
            </w:r>
          </w:p>
        </w:tc>
        <w:tc>
          <w:tcPr>
            <w:tcW w:w="0" w:type="auto"/>
          </w:tcPr>
          <w:p w14:paraId="1374E6BA">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15.9%</w:t>
            </w:r>
          </w:p>
        </w:tc>
        <w:tc>
          <w:tcPr>
            <w:tcW w:w="0" w:type="auto"/>
          </w:tcPr>
          <w:p w14:paraId="06C434AE">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0.114</w:t>
            </w:r>
          </w:p>
        </w:tc>
        <w:tc>
          <w:tcPr>
            <w:tcW w:w="0" w:type="auto"/>
          </w:tcPr>
          <w:p w14:paraId="3025B926">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-3.663 ×</w:t>
            </w:r>
            <w:r>
              <w:rPr>
                <w:rFonts w:hint="eastAsia" w:ascii="Times New Roman Bold" w:hAnsi="Times New Roman Bold" w:cs="Times New Roman Bold"/>
                <w:color w:val="auto"/>
                <w:sz w:val="18"/>
                <w:szCs w:val="18"/>
              </w:rPr>
              <w:t xml:space="preserve"> </w:t>
            </w:r>
            <w:r>
              <w:rPr>
                <w:rFonts w:ascii="Times New Roman Bold" w:hAnsi="Times New Roman Bold" w:cs="Times New Roman Bold"/>
                <w:color w:val="auto"/>
                <w:sz w:val="18"/>
                <w:szCs w:val="18"/>
              </w:rPr>
              <w:t>10</w:t>
            </w:r>
            <w:r>
              <w:rPr>
                <w:rFonts w:ascii="Times New Roman Bold" w:hAnsi="Times New Roman Bold" w:cs="Times New Roman Bold"/>
                <w:color w:val="auto"/>
                <w:sz w:val="18"/>
                <w:szCs w:val="18"/>
                <w:vertAlign w:val="superscript"/>
              </w:rPr>
              <w:t>-4</w:t>
            </w:r>
          </w:p>
        </w:tc>
        <w:tc>
          <w:tcPr>
            <w:tcW w:w="0" w:type="auto"/>
          </w:tcPr>
          <w:p w14:paraId="323CBAA7">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1.005</w:t>
            </w:r>
          </w:p>
        </w:tc>
      </w:tr>
      <w:tr w14:paraId="75E23050">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PrEx>
        <w:tc>
          <w:tcPr>
            <w:tcW w:w="0" w:type="auto"/>
          </w:tcPr>
          <w:p w14:paraId="1FDB882D">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MIMIC-IV</w:t>
            </w:r>
          </w:p>
        </w:tc>
        <w:tc>
          <w:tcPr>
            <w:tcW w:w="0" w:type="auto"/>
          </w:tcPr>
          <w:p w14:paraId="4403D69A">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28-day mortality</w:t>
            </w:r>
          </w:p>
        </w:tc>
        <w:tc>
          <w:tcPr>
            <w:tcW w:w="0" w:type="auto"/>
          </w:tcPr>
          <w:p w14:paraId="624CAAE2">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Model C with SOFA-2</w:t>
            </w:r>
          </w:p>
        </w:tc>
        <w:tc>
          <w:tcPr>
            <w:tcW w:w="0" w:type="auto"/>
          </w:tcPr>
          <w:p w14:paraId="3244913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26,104</w:t>
            </w:r>
          </w:p>
        </w:tc>
        <w:tc>
          <w:tcPr>
            <w:tcW w:w="0" w:type="auto"/>
          </w:tcPr>
          <w:p w14:paraId="0B84DC01">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4,160</w:t>
            </w:r>
          </w:p>
        </w:tc>
        <w:tc>
          <w:tcPr>
            <w:tcW w:w="0" w:type="auto"/>
          </w:tcPr>
          <w:p w14:paraId="02F8DC19">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15.9%</w:t>
            </w:r>
          </w:p>
        </w:tc>
        <w:tc>
          <w:tcPr>
            <w:tcW w:w="0" w:type="auto"/>
          </w:tcPr>
          <w:p w14:paraId="2020545F">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0.113</w:t>
            </w:r>
          </w:p>
        </w:tc>
        <w:tc>
          <w:tcPr>
            <w:tcW w:w="0" w:type="auto"/>
          </w:tcPr>
          <w:p w14:paraId="13517737">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-2.518 ×</w:t>
            </w:r>
            <w:r>
              <w:rPr>
                <w:rFonts w:hint="eastAsia" w:ascii="Times New Roman Bold" w:hAnsi="Times New Roman Bold" w:cs="Times New Roman Bold"/>
                <w:color w:val="auto"/>
                <w:sz w:val="18"/>
                <w:szCs w:val="18"/>
              </w:rPr>
              <w:t xml:space="preserve"> </w:t>
            </w:r>
            <w:r>
              <w:rPr>
                <w:rFonts w:ascii="Times New Roman Bold" w:hAnsi="Times New Roman Bold" w:cs="Times New Roman Bold"/>
                <w:color w:val="auto"/>
                <w:sz w:val="18"/>
                <w:szCs w:val="18"/>
              </w:rPr>
              <w:t>10</w:t>
            </w:r>
            <w:r>
              <w:rPr>
                <w:rFonts w:ascii="Times New Roman Bold" w:hAnsi="Times New Roman Bold" w:cs="Times New Roman Bold"/>
                <w:color w:val="auto"/>
                <w:sz w:val="18"/>
                <w:szCs w:val="18"/>
                <w:vertAlign w:val="superscript"/>
              </w:rPr>
              <w:t>-4</w:t>
            </w:r>
          </w:p>
        </w:tc>
        <w:tc>
          <w:tcPr>
            <w:tcW w:w="0" w:type="auto"/>
          </w:tcPr>
          <w:p w14:paraId="37573406">
            <w:pPr>
              <w:rPr>
                <w:rFonts w:ascii="Times New Roman Bold" w:hAnsi="Times New Roman Bold" w:cs="Times New Roman Bold"/>
                <w:color w:val="auto"/>
                <w:sz w:val="18"/>
                <w:szCs w:val="18"/>
              </w:rPr>
            </w:pPr>
            <w:r>
              <w:rPr>
                <w:rFonts w:ascii="Times New Roman Bold" w:hAnsi="Times New Roman Bold" w:cs="Times New Roman Bold"/>
                <w:color w:val="auto"/>
                <w:sz w:val="18"/>
                <w:szCs w:val="18"/>
              </w:rPr>
              <w:t>1.003</w:t>
            </w:r>
          </w:p>
        </w:tc>
      </w:tr>
    </w:tbl>
    <w:p w14:paraId="3F254728">
      <w:pPr>
        <w:rPr>
          <w:rFonts w:ascii="Times New Roman Bold" w:hAnsi="Times New Roman Bold" w:cs="Times New Roman Bold"/>
          <w:b/>
          <w:bCs/>
          <w:color w:val="auto"/>
          <w:sz w:val="18"/>
          <w:szCs w:val="18"/>
        </w:rPr>
      </w:pPr>
      <w:r>
        <w:rPr>
          <w:rFonts w:ascii="Times New Roman Bold" w:hAnsi="Times New Roman Bold" w:cs="Times New Roman Bold"/>
          <w:b/>
          <w:bCs/>
          <w:color w:val="auto"/>
          <w:sz w:val="18"/>
          <w:szCs w:val="18"/>
        </w:rPr>
        <w:t xml:space="preserve">Abbreviations: </w:t>
      </w:r>
      <w:r>
        <w:rPr>
          <w:rFonts w:ascii="Times New Roman Bold" w:hAnsi="Times New Roman Bold" w:cs="Times New Roman Bold"/>
          <w:color w:val="auto"/>
          <w:sz w:val="18"/>
          <w:szCs w:val="18"/>
        </w:rPr>
        <w:t>SOFA, Sequential Organ Failure Assessment; ICU, intensive care unit.</w:t>
      </w:r>
    </w:p>
    <w:p w14:paraId="14279C2E">
      <w:pPr>
        <w:rPr>
          <w:rFonts w:ascii="Times New Roman Bold" w:hAnsi="Times New Roman Bold" w:cs="Times New Roman Bold"/>
          <w:color w:val="auto"/>
          <w:sz w:val="18"/>
          <w:szCs w:val="18"/>
        </w:rPr>
      </w:pPr>
      <w:r>
        <w:rPr>
          <w:rFonts w:ascii="Times New Roman Bold" w:hAnsi="Times New Roman Bold" w:cs="Times New Roman Bold"/>
          <w:b/>
          <w:bCs/>
          <w:color w:val="auto"/>
          <w:sz w:val="18"/>
          <w:szCs w:val="18"/>
        </w:rPr>
        <w:t xml:space="preserve">Notes: </w:t>
      </w:r>
      <w:r>
        <w:rPr>
          <w:rFonts w:ascii="Times New Roman Bold" w:hAnsi="Times New Roman Bold" w:cs="Times New Roman Bold"/>
          <w:color w:val="auto"/>
          <w:sz w:val="18"/>
          <w:szCs w:val="18"/>
        </w:rPr>
        <w:t>Calibration performance was assessed using out-of-fold predicted probabilities from 10-fold cross-validation. Model C included the corresponding total SOFA score, age, sex, documented sepsis, baseline comorbidities, white blood cell count, hemoglobin, blood glucose, and heart rate. Brier scores quantify overall prediction error, with lower values indicating better performance. Calibration intercepts close to 0 and calibration slopes close to 1 indicate better calibration. The 28-day mortality analysis was performed in the MIMIC-IV cohort only.</w:t>
      </w:r>
    </w:p>
    <w:bookmarkEnd w:id="1"/>
    <w:p w14:paraId="70840A29">
      <w:pPr>
        <w:rPr>
          <w:rFonts w:ascii="Times New Roman Bold" w:hAnsi="Times New Roman Bold" w:cs="Times New Roman Bold"/>
          <w:color w:val="FF0000"/>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Times New Roman Bold">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等线 Light">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CE7"/>
    <w:rsid w:val="00010638"/>
    <w:rsid w:val="00012902"/>
    <w:rsid w:val="00057EE6"/>
    <w:rsid w:val="000F187A"/>
    <w:rsid w:val="000F694F"/>
    <w:rsid w:val="00111237"/>
    <w:rsid w:val="001141E5"/>
    <w:rsid w:val="0013196A"/>
    <w:rsid w:val="00144F59"/>
    <w:rsid w:val="001D06E7"/>
    <w:rsid w:val="001E5C60"/>
    <w:rsid w:val="001F2C53"/>
    <w:rsid w:val="001F50B9"/>
    <w:rsid w:val="00201E4B"/>
    <w:rsid w:val="00202450"/>
    <w:rsid w:val="002311A2"/>
    <w:rsid w:val="00292CB6"/>
    <w:rsid w:val="00323CE7"/>
    <w:rsid w:val="00334F1D"/>
    <w:rsid w:val="00335B69"/>
    <w:rsid w:val="00360641"/>
    <w:rsid w:val="0037775A"/>
    <w:rsid w:val="003E748C"/>
    <w:rsid w:val="003F4E0B"/>
    <w:rsid w:val="00451ABC"/>
    <w:rsid w:val="0048347F"/>
    <w:rsid w:val="004A7B6B"/>
    <w:rsid w:val="004B4D6F"/>
    <w:rsid w:val="004D7F36"/>
    <w:rsid w:val="004E2E81"/>
    <w:rsid w:val="0050503E"/>
    <w:rsid w:val="00514D53"/>
    <w:rsid w:val="00516871"/>
    <w:rsid w:val="00534DD2"/>
    <w:rsid w:val="0059532D"/>
    <w:rsid w:val="005B32C3"/>
    <w:rsid w:val="005E6933"/>
    <w:rsid w:val="005E7B23"/>
    <w:rsid w:val="006239BD"/>
    <w:rsid w:val="006366ED"/>
    <w:rsid w:val="006530DA"/>
    <w:rsid w:val="00664EC3"/>
    <w:rsid w:val="00673CE3"/>
    <w:rsid w:val="006812ED"/>
    <w:rsid w:val="006A1149"/>
    <w:rsid w:val="006C7486"/>
    <w:rsid w:val="006E6B2F"/>
    <w:rsid w:val="00724162"/>
    <w:rsid w:val="00754668"/>
    <w:rsid w:val="00777C4E"/>
    <w:rsid w:val="007B3743"/>
    <w:rsid w:val="007F300A"/>
    <w:rsid w:val="0081259A"/>
    <w:rsid w:val="008215F6"/>
    <w:rsid w:val="00897E37"/>
    <w:rsid w:val="008B48DF"/>
    <w:rsid w:val="008D2EFE"/>
    <w:rsid w:val="008F37A1"/>
    <w:rsid w:val="0092364E"/>
    <w:rsid w:val="00935211"/>
    <w:rsid w:val="0096025B"/>
    <w:rsid w:val="009C578F"/>
    <w:rsid w:val="00AA7C89"/>
    <w:rsid w:val="00B010C8"/>
    <w:rsid w:val="00B617DA"/>
    <w:rsid w:val="00B703C3"/>
    <w:rsid w:val="00B856F6"/>
    <w:rsid w:val="00BA24FF"/>
    <w:rsid w:val="00BB594D"/>
    <w:rsid w:val="00BC0ED3"/>
    <w:rsid w:val="00C14E05"/>
    <w:rsid w:val="00C64343"/>
    <w:rsid w:val="00CA6720"/>
    <w:rsid w:val="00CB792D"/>
    <w:rsid w:val="00CD4F1E"/>
    <w:rsid w:val="00CF53A0"/>
    <w:rsid w:val="00D960EA"/>
    <w:rsid w:val="00DB56BA"/>
    <w:rsid w:val="00E1556A"/>
    <w:rsid w:val="00E43C1E"/>
    <w:rsid w:val="00E516F9"/>
    <w:rsid w:val="00E70943"/>
    <w:rsid w:val="00E7769B"/>
    <w:rsid w:val="00EC13FC"/>
    <w:rsid w:val="00F21BFC"/>
    <w:rsid w:val="00F52990"/>
    <w:rsid w:val="00F8300E"/>
    <w:rsid w:val="00F914DF"/>
    <w:rsid w:val="00F972C4"/>
    <w:rsid w:val="00FC0366"/>
    <w:rsid w:val="00FF742C"/>
    <w:rsid w:val="05E02161"/>
    <w:rsid w:val="05F61781"/>
    <w:rsid w:val="09261D68"/>
    <w:rsid w:val="1B6034CD"/>
    <w:rsid w:val="1D411874"/>
    <w:rsid w:val="2E2073AA"/>
    <w:rsid w:val="36C5814A"/>
    <w:rsid w:val="38F47458"/>
    <w:rsid w:val="3E7DABDD"/>
    <w:rsid w:val="3FFB515B"/>
    <w:rsid w:val="434363A1"/>
    <w:rsid w:val="44476B84"/>
    <w:rsid w:val="48852B30"/>
    <w:rsid w:val="49CF364B"/>
    <w:rsid w:val="4F451D78"/>
    <w:rsid w:val="5DD3610C"/>
    <w:rsid w:val="5DEA42A7"/>
    <w:rsid w:val="5EDE78C3"/>
    <w:rsid w:val="5F9D74B5"/>
    <w:rsid w:val="6B60353E"/>
    <w:rsid w:val="6EEBEBAC"/>
    <w:rsid w:val="78C74082"/>
    <w:rsid w:val="792A4EAA"/>
    <w:rsid w:val="7AB798EE"/>
    <w:rsid w:val="7AE79650"/>
    <w:rsid w:val="7E057CB1"/>
    <w:rsid w:val="7EDF685F"/>
    <w:rsid w:val="7FC3CAB2"/>
    <w:rsid w:val="7FFF7365"/>
    <w:rsid w:val="A72FA611"/>
    <w:rsid w:val="BE6F8EEA"/>
    <w:rsid w:val="CFFFAD32"/>
    <w:rsid w:val="DF9B6E13"/>
    <w:rsid w:val="EFD885B3"/>
    <w:rsid w:val="F1F7F748"/>
    <w:rsid w:val="F6FB3755"/>
    <w:rsid w:val="FB3F6E6C"/>
    <w:rsid w:val="FBFC3A2E"/>
    <w:rsid w:val="FDFD355D"/>
    <w:rsid w:val="FFF34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E75B6"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E75B6"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2E75B6"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E75B6" w:themeColor="accent1" w:themeShade="BF"/>
      <w:sz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2E75B6" w:themeColor="accent1" w:themeShade="BF"/>
      <w:szCs w:val="22"/>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9"/>
    <w:unhideWhenUsed/>
    <w:qFormat/>
    <w:uiPriority w:val="99"/>
    <w:pPr>
      <w:tabs>
        <w:tab w:val="center" w:pos="4153"/>
        <w:tab w:val="right" w:pos="8306"/>
      </w:tabs>
      <w:snapToGrid w:val="0"/>
      <w:jc w:val="left"/>
    </w:pPr>
    <w:rPr>
      <w:sz w:val="18"/>
      <w:szCs w:val="18"/>
    </w:rPr>
  </w:style>
  <w:style w:type="paragraph" w:styleId="12">
    <w:name w:val="header"/>
    <w:basedOn w:val="1"/>
    <w:link w:val="38"/>
    <w:unhideWhenUsed/>
    <w:qFormat/>
    <w:uiPriority w:val="99"/>
    <w:pPr>
      <w:tabs>
        <w:tab w:val="center" w:pos="4153"/>
        <w:tab w:val="right" w:pos="8306"/>
      </w:tabs>
      <w:snapToGrid w:val="0"/>
      <w:jc w:val="center"/>
    </w:pPr>
    <w:rPr>
      <w:sz w:val="18"/>
      <w:szCs w:val="18"/>
    </w:rPr>
  </w:style>
  <w:style w:type="paragraph" w:styleId="13">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uiPriority w:val="99"/>
    <w:rPr>
      <w:rFonts w:ascii="Times New Roman" w:hAnsi="Times New Roman" w:cs="Times New Roman"/>
      <w:sz w:val="24"/>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0"/>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9">
    <w:name w:val="Strong"/>
    <w:basedOn w:val="18"/>
    <w:qFormat/>
    <w:uiPriority w:val="22"/>
    <w:rPr>
      <w:b/>
    </w:rPr>
  </w:style>
  <w:style w:type="character" w:customStyle="1" w:styleId="20">
    <w:name w:val="标题 1 字符"/>
    <w:basedOn w:val="18"/>
    <w:link w:val="2"/>
    <w:qFormat/>
    <w:uiPriority w:val="9"/>
    <w:rPr>
      <w:rFonts w:asciiTheme="majorHAnsi" w:hAnsiTheme="majorHAnsi" w:eastAsiaTheme="majorEastAsia" w:cstheme="majorBidi"/>
      <w:color w:val="2E75B6"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2E75B6"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2E75B6" w:themeColor="accent1" w:themeShade="BF"/>
      <w:sz w:val="32"/>
      <w:szCs w:val="32"/>
    </w:rPr>
  </w:style>
  <w:style w:type="character" w:customStyle="1" w:styleId="23">
    <w:name w:val="标题 4 字符"/>
    <w:basedOn w:val="18"/>
    <w:link w:val="5"/>
    <w:semiHidden/>
    <w:qFormat/>
    <w:uiPriority w:val="9"/>
    <w:rPr>
      <w:rFonts w:cstheme="majorBidi"/>
      <w:color w:val="2E75B6" w:themeColor="accent1" w:themeShade="BF"/>
      <w:sz w:val="28"/>
      <w:szCs w:val="28"/>
    </w:rPr>
  </w:style>
  <w:style w:type="character" w:customStyle="1" w:styleId="24">
    <w:name w:val="标题 5 字符"/>
    <w:basedOn w:val="18"/>
    <w:link w:val="6"/>
    <w:semiHidden/>
    <w:qFormat/>
    <w:uiPriority w:val="9"/>
    <w:rPr>
      <w:rFonts w:cstheme="majorBidi"/>
      <w:color w:val="2E75B6" w:themeColor="accent1" w:themeShade="BF"/>
      <w:sz w:val="24"/>
      <w:szCs w:val="24"/>
    </w:rPr>
  </w:style>
  <w:style w:type="character" w:customStyle="1" w:styleId="25">
    <w:name w:val="标题 6 字符"/>
    <w:basedOn w:val="18"/>
    <w:link w:val="7"/>
    <w:semiHidden/>
    <w:qFormat/>
    <w:uiPriority w:val="9"/>
    <w:rPr>
      <w:rFonts w:cstheme="majorBidi"/>
      <w:b/>
      <w:bCs/>
      <w:color w:val="2E75B6"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szCs w:val="22"/>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rPr>
      <w:szCs w:val="22"/>
    </w:rPr>
  </w:style>
  <w:style w:type="character" w:customStyle="1" w:styleId="34">
    <w:name w:val="明显强调1"/>
    <w:basedOn w:val="18"/>
    <w:qFormat/>
    <w:uiPriority w:val="21"/>
    <w:rPr>
      <w:i/>
      <w:iCs/>
      <w:color w:val="2E75B6" w:themeColor="accent1" w:themeShade="BF"/>
    </w:rPr>
  </w:style>
  <w:style w:type="paragraph" w:styleId="35">
    <w:name w:val="Intense Quote"/>
    <w:basedOn w:val="1"/>
    <w:next w:val="1"/>
    <w:link w:val="36"/>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szCs w:val="22"/>
    </w:rPr>
  </w:style>
  <w:style w:type="character" w:customStyle="1" w:styleId="36">
    <w:name w:val="明显引用 字符"/>
    <w:basedOn w:val="18"/>
    <w:link w:val="35"/>
    <w:qFormat/>
    <w:uiPriority w:val="30"/>
    <w:rPr>
      <w:i/>
      <w:iCs/>
      <w:color w:val="2E75B6" w:themeColor="accent1" w:themeShade="BF"/>
    </w:rPr>
  </w:style>
  <w:style w:type="character" w:customStyle="1" w:styleId="37">
    <w:name w:val="明显参考1"/>
    <w:basedOn w:val="18"/>
    <w:qFormat/>
    <w:uiPriority w:val="32"/>
    <w:rPr>
      <w:b/>
      <w:bCs/>
      <w:smallCaps/>
      <w:color w:val="2E75B6" w:themeColor="accent1" w:themeShade="BF"/>
      <w:spacing w:val="5"/>
    </w:rPr>
  </w:style>
  <w:style w:type="character" w:customStyle="1" w:styleId="38">
    <w:name w:val="页眉 字符"/>
    <w:basedOn w:val="18"/>
    <w:link w:val="12"/>
    <w:qFormat/>
    <w:uiPriority w:val="99"/>
    <w:rPr>
      <w:sz w:val="18"/>
      <w:szCs w:val="18"/>
    </w:rPr>
  </w:style>
  <w:style w:type="character" w:customStyle="1" w:styleId="39">
    <w:name w:val="页脚 字符"/>
    <w:basedOn w:val="18"/>
    <w:link w:val="11"/>
    <w:qFormat/>
    <w:uiPriority w:val="99"/>
    <w:rPr>
      <w:sz w:val="18"/>
      <w:szCs w:val="18"/>
    </w:rPr>
  </w:style>
  <w:style w:type="paragraph" w:customStyle="1" w:styleId="40">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41">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42</Pages>
  <Words>6901</Words>
  <Characters>39339</Characters>
  <Lines>327</Lines>
  <Paragraphs>92</Paragraphs>
  <TotalTime>6</TotalTime>
  <ScaleCrop>false</ScaleCrop>
  <LinksUpToDate>false</LinksUpToDate>
  <CharactersWithSpaces>46148</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2026-06-22T16:45:00Z</dcterms:created>
  <dc:creator>user</dc:creator>
  <cp:lastModifiedBy>微信用户</cp:lastModifiedBy>
  <dcterms:modified xsi:type="dcterms:W3CDTF">2026-09-01T20:43:45Z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5CEBFDE814C76B0181C8966AC3B886C6_43</vt:lpwstr>
  </property>
  <property fmtid="{D5CDD505-2E9C-101B-9397-08002B2CF9AE}" pid="4" name="KSOTemplateDocerSaveRecord">
    <vt:lpwstr>eyJoZGlkIjoiNjM5YWRhNmY3ZGIzYTI5NDgzY2Q5ZmU1ZTJmNzgwM2YiLCJ1c2VySWQiOiIzODYyMDk5MTUifQ==</vt:lpwstr>
  </property>
</Properties>
</file>