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BE48" w14:textId="47F025A4" w:rsidR="00234A4E" w:rsidRPr="00234A4E" w:rsidRDefault="00234A4E" w:rsidP="00234A4E">
      <w:pPr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Supplementary</w:t>
      </w:r>
      <w:r w:rsidRPr="00234A4E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material</w:t>
      </w:r>
    </w:p>
    <w:p w14:paraId="5E829E44" w14:textId="77777777" w:rsidR="00234A4E" w:rsidRPr="00234A4E" w:rsidRDefault="00234A4E" w:rsidP="00234A4E">
      <w:pP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Trajectories of rehabilitation exercise adherence after hip fracture surgery in older adults: a prospective longitudinal study</w:t>
      </w:r>
    </w:p>
    <w:p w14:paraId="53FE78A2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proofErr w:type="spellStart"/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Hongyong</w:t>
      </w:r>
      <w:proofErr w:type="spellEnd"/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 xml:space="preserve"> Zhao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1*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, Xuemei Tao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2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, Ying Hu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1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, Liang Wang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1</w:t>
      </w:r>
    </w:p>
    <w:p w14:paraId="6466C833" w14:textId="77777777" w:rsidR="00234A4E" w:rsidRPr="00234A4E" w:rsidRDefault="00234A4E" w:rsidP="00234A4E">
      <w:pP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Affiliations</w:t>
      </w:r>
    </w:p>
    <w:p w14:paraId="561B3533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1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Xiaoshan Traditional Chinese Medicine Orthopedics Hospital, Xiaoshan District, Hangzhou, Zhejiang, 311121, China;</w:t>
      </w:r>
    </w:p>
    <w:p w14:paraId="6CD4DC36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  <w14:ligatures w14:val="none"/>
        </w:rPr>
        <w:t>2</w:t>
      </w: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 xml:space="preserve"> Department of Orthopedics, Second People's Hospital of Yuhang District, Hangzhou, Zhejiang, 311121, China</w:t>
      </w:r>
    </w:p>
    <w:p w14:paraId="3D10F908" w14:textId="77777777" w:rsidR="00234A4E" w:rsidRPr="00234A4E" w:rsidRDefault="00234A4E" w:rsidP="00234A4E">
      <w:pP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*Correspondence:</w:t>
      </w:r>
    </w:p>
    <w:p w14:paraId="4F2E73A8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proofErr w:type="spellStart"/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Hongyong</w:t>
      </w:r>
      <w:proofErr w:type="spellEnd"/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 xml:space="preserve"> Zhao </w:t>
      </w:r>
    </w:p>
    <w:p w14:paraId="4417E65F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Email: wantaogz@163.com</w:t>
      </w:r>
    </w:p>
    <w:p w14:paraId="63EDAB64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1Xiaoshan Traditional Chinese Medicine Orthopedics Hospital, Xiaoshan District, Hangzhou, Zhejiang, 311121, China;</w:t>
      </w:r>
    </w:p>
    <w:p w14:paraId="0003F38B" w14:textId="2FD51636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  <w:t>2 Department of Orthopedics, Second People's Hospital of Yuhang District, Hangzhou, Zhejiang, 311121, China</w:t>
      </w:r>
    </w:p>
    <w:p w14:paraId="1AD01950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75AFFE2E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3A330492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741A1A0C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7627644C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05E62A9F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4AFAF9DB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2FA4B580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3F6AB39F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04F8C1CE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7ED85C8F" w14:textId="77777777" w:rsid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08EEB05A" w14:textId="77777777" w:rsidR="00234A4E" w:rsidRPr="00234A4E" w:rsidRDefault="00234A4E" w:rsidP="00234A4E">
      <w:pPr>
        <w:rPr>
          <w:rFonts w:ascii="Times New Roman" w:hAnsi="Times New Roman" w:cs="Times New Roman"/>
          <w:color w:val="000000" w:themeColor="text1"/>
          <w:kern w:val="0"/>
          <w:sz w:val="24"/>
          <w14:ligatures w14:val="none"/>
        </w:rPr>
      </w:pPr>
    </w:p>
    <w:p w14:paraId="4475D037" w14:textId="7021A93E" w:rsidR="003F26B2" w:rsidRPr="00234A4E" w:rsidRDefault="003F26B2" w:rsidP="003F26B2">
      <w:pP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lastRenderedPageBreak/>
        <w:t xml:space="preserve">Supplementary Table </w:t>
      </w:r>
      <w:r w:rsidR="00234A4E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S</w:t>
      </w:r>
      <w:r w:rsidRPr="00234A4E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1</w:t>
      </w:r>
      <w:r w:rsidRPr="00234A4E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. Sensitivity analysis of educational attainment as a categorical predictor of non-high versus high adherence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843"/>
        <w:gridCol w:w="2126"/>
      </w:tblGrid>
      <w:tr w:rsidR="003F26B2" w:rsidRPr="003F26B2" w14:paraId="0A5C6187" w14:textId="77777777" w:rsidTr="003F26B2">
        <w:trPr>
          <w:tblCellSpacing w:w="15" w:type="dxa"/>
        </w:trPr>
        <w:tc>
          <w:tcPr>
            <w:tcW w:w="264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6C19C5A" w14:textId="77777777" w:rsidR="003F26B2" w:rsidRPr="003F26B2" w:rsidRDefault="003F26B2" w:rsidP="003F26B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Educational attainment</w:t>
            </w:r>
          </w:p>
        </w:tc>
        <w:tc>
          <w:tcPr>
            <w:tcW w:w="124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9828BF" w14:textId="77777777" w:rsidR="003F26B2" w:rsidRPr="003F26B2" w:rsidRDefault="003F26B2" w:rsidP="003F26B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OR</w:t>
            </w:r>
          </w:p>
        </w:tc>
        <w:tc>
          <w:tcPr>
            <w:tcW w:w="181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60118F" w14:textId="77777777" w:rsidR="003F26B2" w:rsidRPr="003F26B2" w:rsidRDefault="003F26B2" w:rsidP="003F26B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95% CI</w:t>
            </w:r>
          </w:p>
        </w:tc>
        <w:tc>
          <w:tcPr>
            <w:tcW w:w="208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48E83A0" w14:textId="316F3BE8" w:rsidR="003F26B2" w:rsidRPr="003F26B2" w:rsidRDefault="003F26B2" w:rsidP="003F26B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P</w:t>
            </w:r>
            <w:r w:rsidRPr="003F26B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</w:t>
            </w:r>
          </w:p>
        </w:tc>
      </w:tr>
      <w:tr w:rsidR="003F26B2" w:rsidRPr="003F26B2" w14:paraId="1E75D060" w14:textId="77777777" w:rsidTr="003F26B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17DE96E8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Middle vs low</w:t>
            </w:r>
          </w:p>
        </w:tc>
        <w:tc>
          <w:tcPr>
            <w:tcW w:w="1245" w:type="dxa"/>
            <w:vAlign w:val="center"/>
            <w:hideMark/>
          </w:tcPr>
          <w:p w14:paraId="5150105B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</w:p>
        </w:tc>
        <w:tc>
          <w:tcPr>
            <w:tcW w:w="1813" w:type="dxa"/>
            <w:vAlign w:val="center"/>
            <w:hideMark/>
          </w:tcPr>
          <w:p w14:paraId="0790573E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0.03–0.62</w:t>
            </w:r>
          </w:p>
        </w:tc>
        <w:tc>
          <w:tcPr>
            <w:tcW w:w="2081" w:type="dxa"/>
            <w:vAlign w:val="center"/>
            <w:hideMark/>
          </w:tcPr>
          <w:p w14:paraId="476F9361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</w:tr>
      <w:tr w:rsidR="003F26B2" w:rsidRPr="003F26B2" w14:paraId="3FF4ADA9" w14:textId="77777777" w:rsidTr="003F26B2">
        <w:trPr>
          <w:tblCellSpacing w:w="15" w:type="dxa"/>
        </w:trPr>
        <w:tc>
          <w:tcPr>
            <w:tcW w:w="2649" w:type="dxa"/>
            <w:vAlign w:val="center"/>
            <w:hideMark/>
          </w:tcPr>
          <w:p w14:paraId="28C7A813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High vs low</w:t>
            </w:r>
          </w:p>
        </w:tc>
        <w:tc>
          <w:tcPr>
            <w:tcW w:w="1245" w:type="dxa"/>
            <w:vAlign w:val="center"/>
            <w:hideMark/>
          </w:tcPr>
          <w:p w14:paraId="0E87B965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</w:p>
        </w:tc>
        <w:tc>
          <w:tcPr>
            <w:tcW w:w="1813" w:type="dxa"/>
            <w:vAlign w:val="center"/>
            <w:hideMark/>
          </w:tcPr>
          <w:p w14:paraId="07E01F07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0.02–0.58</w:t>
            </w:r>
          </w:p>
        </w:tc>
        <w:tc>
          <w:tcPr>
            <w:tcW w:w="2081" w:type="dxa"/>
            <w:vAlign w:val="center"/>
            <w:hideMark/>
          </w:tcPr>
          <w:p w14:paraId="3C130006" w14:textId="77777777" w:rsidR="003F26B2" w:rsidRPr="003F26B2" w:rsidRDefault="003F26B2" w:rsidP="003F26B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26B2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</w:tr>
    </w:tbl>
    <w:p w14:paraId="28B7112D" w14:textId="62E0E037" w:rsidR="003F26B2" w:rsidRPr="003F26B2" w:rsidRDefault="003F26B2" w:rsidP="003F26B2">
      <w:pPr>
        <w:jc w:val="both"/>
        <w:rPr>
          <w:rFonts w:ascii="Times New Roman" w:hAnsi="Times New Roman" w:cs="Times New Roman"/>
          <w:sz w:val="24"/>
        </w:rPr>
      </w:pPr>
      <w:r w:rsidRPr="003F26B2">
        <w:rPr>
          <w:rFonts w:ascii="Times New Roman" w:hAnsi="Times New Roman" w:cs="Times New Roman"/>
          <w:b/>
          <w:bCs/>
          <w:sz w:val="24"/>
        </w:rPr>
        <w:t>Note:</w:t>
      </w:r>
      <w:r w:rsidRPr="003F26B2">
        <w:rPr>
          <w:rFonts w:ascii="Times New Roman" w:hAnsi="Times New Roman" w:cs="Times New Roman"/>
          <w:sz w:val="24"/>
        </w:rPr>
        <w:t xml:space="preserve"> Educational attainment was entered as a dummy-coded categorical variable, with low educational attainment as the reference category. The likelihood-ratio test comparing the categorical and linear specifications indicated that the categorical model provided a better fit (χ²</w:t>
      </w:r>
      <w:r w:rsidR="00234A4E">
        <w:rPr>
          <w:rFonts w:ascii="Times New Roman" w:hAnsi="Times New Roman" w:cs="Times New Roman" w:hint="eastAsia"/>
          <w:sz w:val="24"/>
        </w:rPr>
        <w:t xml:space="preserve"> </w:t>
      </w:r>
      <w:r w:rsidRPr="003F26B2">
        <w:rPr>
          <w:rFonts w:ascii="Times New Roman" w:hAnsi="Times New Roman" w:cs="Times New Roman"/>
          <w:sz w:val="24"/>
        </w:rPr>
        <w:t xml:space="preserve">(1) = 3.92, </w:t>
      </w:r>
      <w:r w:rsidRPr="003F26B2">
        <w:rPr>
          <w:rFonts w:ascii="Times New Roman" w:hAnsi="Times New Roman" w:cs="Times New Roman"/>
          <w:i/>
          <w:iCs/>
          <w:sz w:val="24"/>
        </w:rPr>
        <w:t>P</w:t>
      </w:r>
      <w:r w:rsidRPr="003F26B2">
        <w:rPr>
          <w:rFonts w:ascii="Times New Roman" w:hAnsi="Times New Roman" w:cs="Times New Roman"/>
          <w:sz w:val="24"/>
        </w:rPr>
        <w:t xml:space="preserve"> = 0.048). OR, odds ratio; CI, confidence interval.</w:t>
      </w:r>
    </w:p>
    <w:p w14:paraId="33BA3C30" w14:textId="77777777" w:rsidR="003A5FFF" w:rsidRDefault="003A5FFF">
      <w:pPr>
        <w:rPr>
          <w:rFonts w:hint="eastAsia"/>
        </w:rPr>
      </w:pPr>
    </w:p>
    <w:sectPr w:rsidR="003A5F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B2"/>
    <w:rsid w:val="00234A4E"/>
    <w:rsid w:val="003A5FFF"/>
    <w:rsid w:val="003F26B2"/>
    <w:rsid w:val="005F069F"/>
    <w:rsid w:val="00B31A6D"/>
    <w:rsid w:val="00C70F50"/>
    <w:rsid w:val="00E04206"/>
    <w:rsid w:val="00E9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7006"/>
  <w15:chartTrackingRefBased/>
  <w15:docId w15:val="{32B1DC68-27E2-4380-B308-498D20A6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26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6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6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6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6B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6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6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6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26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F26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F26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F26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F26B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F26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F26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F26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F26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F26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F2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6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F26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F26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6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26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26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F26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26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2026-07-25T07:12:00Z</dcterms:created>
  <dcterms:modified xsi:type="dcterms:W3CDTF">2026-07-25T07:12:00Z</dcterms:modified>
</cp:coreProperties>
</file>