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3E9ED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drawing>
          <wp:inline distT="0" distB="0" distL="114300" distR="114300">
            <wp:extent cx="5271135" cy="5756275"/>
            <wp:effectExtent l="0" t="0" r="12065" b="9525"/>
            <wp:docPr id="1" name="图片 1" descr="Supplementary Figure1 Flowchart of Sample Sel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1 Flowchart of Sample Selectio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75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DB332">
      <w:pPr>
        <w:tabs>
          <w:tab w:val="left" w:pos="1403"/>
        </w:tabs>
        <w:bidi w:val="0"/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  <w:t>Figure S1 Flowchart of Sample</w:t>
      </w:r>
    </w:p>
    <w:p w14:paraId="32FE5EDD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39B5C811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36310542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1AE74F98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70970F79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2C960761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767D0BA5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4CF0E83E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5C66692E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66C1764C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49818E64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2E4FCE81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3530B334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0ABA4A54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drawing>
          <wp:inline distT="0" distB="0" distL="114300" distR="114300">
            <wp:extent cx="5266690" cy="3785870"/>
            <wp:effectExtent l="0" t="0" r="16510" b="24130"/>
            <wp:docPr id="6" name="图片 6" descr="Supplementary Figure 2 MICE diagnostics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ementary Figure 2 MICE diagnostics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8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BAE3E">
      <w:pPr>
        <w:tabs>
          <w:tab w:val="left" w:pos="1403"/>
        </w:tabs>
        <w:bidi w:val="0"/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  <w:t>Figure S2 MICE diagnostics</w:t>
      </w:r>
    </w:p>
    <w:p w14:paraId="0B8DC48B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7A5A80BA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2BE2E216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4387A19A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695DE8EE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1ACAB42F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6721A8BB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17C2D5A9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 w14:paraId="6084FC62">
      <w:pPr>
        <w:tabs>
          <w:tab w:val="left" w:pos="1403"/>
        </w:tabs>
        <w:bidi w:val="0"/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drawing>
          <wp:inline distT="0" distB="0" distL="114300" distR="114300">
            <wp:extent cx="5253990" cy="3377565"/>
            <wp:effectExtent l="0" t="0" r="3810" b="635"/>
            <wp:docPr id="2" name="图片 2" descr="SupplementaryFigure 3 Correlations between chronic disease count and influencing fa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Figure 3 Correlations between chronic disease count and influencing factor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3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D932C">
      <w:pPr>
        <w:jc w:val="both"/>
        <w:rPr>
          <w:rFonts w:hint="default" w:ascii="Times New Roman" w:hAnsi="Times New Roman" w:cs="Times New Roman"/>
          <w:sz w:val="21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Note: Circle size represents the absolute pooled Spearman correlation coefficient. Orange and blue circles indicate positive and negative correlations, respectively. Asterisks indicate associations that remained significant after Benjamini–Hochberg false-discovery-rate correction. Correlations were estimated separately in each of the 10 imputed datasets and pooled using Fisher’s z transformation. Smoking and drinking statuses were compared with never use, and BMI categories were compared with normal weight.</w:t>
      </w:r>
    </w:p>
    <w:p w14:paraId="00265221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  <w:t>Figure S3 in the Appendix for details</w:t>
      </w:r>
    </w:p>
    <w:p w14:paraId="75C15E90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6344E692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3772874F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40C5221D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19CCD899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2B87EE50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26CB318B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75DA4975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33ED12CA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2B84AA19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3FBDFF3C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59C98942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25C86D00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15734A01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352C404F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4483A46E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234619A2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62A132ED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7EF25012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</w:p>
    <w:p w14:paraId="29EB6931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</w:pPr>
      <w:bookmarkStart w:id="0" w:name="_GoBack"/>
      <w:r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  <w:drawing>
          <wp:inline distT="0" distB="0" distL="114300" distR="114300">
            <wp:extent cx="5056505" cy="4213860"/>
            <wp:effectExtent l="0" t="0" r="23495" b="2540"/>
            <wp:docPr id="3" name="图片 3" descr="SupplementaryFigure 4 chronic_edge_weight_95CI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Figure 4 chronic_edge_weight_95CI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56505" cy="421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9651991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  <w:t>Figure S</w:t>
      </w:r>
      <w:r>
        <w:rPr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  <w:t xml:space="preserve"> Bootstrap 95% confidence intervals for chronic-disease edge weights</w:t>
      </w:r>
    </w:p>
    <w:p w14:paraId="71152BA2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EF71E15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8DF3D64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7C8A8C7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A24F5D1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05E665C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CD1F9F8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468AD59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6436149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3EA3DD1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6BDE89C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9847CDD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608D2F6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FD652F8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926BCF8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BE69056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5D0DC2F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93E7560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D8B635A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326D5AF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D729EA9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3CEEEC5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056505" cy="3792220"/>
            <wp:effectExtent l="0" t="0" r="23495" b="17780"/>
            <wp:docPr id="4" name="图片 4" descr="figure s5chronic_case_dropping_stability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5chronic_case_dropping_stability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6505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F8F18">
      <w:pPr>
        <w:tabs>
          <w:tab w:val="left" w:pos="3075"/>
        </w:tabs>
        <w:bidi w:val="0"/>
        <w:jc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  <w:t>Figure S5</w:t>
      </w:r>
      <w:r>
        <w:rPr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  <w:t>Case-dropping bootstrap stability of centrality indices in the chronic-disease network.</w:t>
      </w:r>
    </w:p>
    <w:p w14:paraId="4FD03E91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5A2419E">
      <w:pPr>
        <w:bidi w:val="0"/>
        <w:rPr>
          <w:rFonts w:hint="default"/>
          <w:lang w:val="en-US" w:eastAsia="zh-CN"/>
        </w:rPr>
      </w:pPr>
    </w:p>
    <w:p w14:paraId="23D55131">
      <w:pPr>
        <w:bidi w:val="0"/>
        <w:rPr>
          <w:rFonts w:hint="default"/>
          <w:lang w:val="en-US" w:eastAsia="zh-CN"/>
        </w:rPr>
      </w:pPr>
    </w:p>
    <w:p w14:paraId="081469C9">
      <w:pPr>
        <w:bidi w:val="0"/>
        <w:rPr>
          <w:rFonts w:hint="default"/>
          <w:lang w:val="en-US" w:eastAsia="zh-CN"/>
        </w:rPr>
      </w:pPr>
    </w:p>
    <w:p w14:paraId="65C80FDE">
      <w:pPr>
        <w:bidi w:val="0"/>
        <w:rPr>
          <w:rFonts w:hint="default"/>
          <w:lang w:val="en-US" w:eastAsia="zh-CN"/>
        </w:rPr>
      </w:pPr>
    </w:p>
    <w:p w14:paraId="15F44A8A">
      <w:pPr>
        <w:bidi w:val="0"/>
        <w:rPr>
          <w:rFonts w:hint="default"/>
          <w:lang w:val="en-US" w:eastAsia="zh-CN"/>
        </w:rPr>
      </w:pPr>
    </w:p>
    <w:p w14:paraId="73E5FBC5">
      <w:pPr>
        <w:bidi w:val="0"/>
        <w:rPr>
          <w:rFonts w:hint="default"/>
          <w:lang w:val="en-US" w:eastAsia="zh-CN"/>
        </w:rPr>
      </w:pPr>
    </w:p>
    <w:p w14:paraId="2A6DB2CE">
      <w:pPr>
        <w:bidi w:val="0"/>
        <w:rPr>
          <w:rFonts w:hint="default"/>
          <w:lang w:val="en-US" w:eastAsia="zh-CN"/>
        </w:rPr>
      </w:pPr>
    </w:p>
    <w:p w14:paraId="5EEED26A">
      <w:pPr>
        <w:bidi w:val="0"/>
        <w:rPr>
          <w:rFonts w:hint="default"/>
          <w:lang w:val="en-US" w:eastAsia="zh-CN"/>
        </w:rPr>
      </w:pPr>
    </w:p>
    <w:p w14:paraId="6AE89749">
      <w:pPr>
        <w:bidi w:val="0"/>
        <w:rPr>
          <w:rFonts w:hint="default"/>
          <w:lang w:val="en-US" w:eastAsia="zh-CN"/>
        </w:rPr>
      </w:pPr>
    </w:p>
    <w:p w14:paraId="21BC6120">
      <w:pPr>
        <w:bidi w:val="0"/>
        <w:rPr>
          <w:rFonts w:hint="default"/>
          <w:lang w:val="en-US" w:eastAsia="zh-CN"/>
        </w:rPr>
      </w:pPr>
    </w:p>
    <w:p w14:paraId="47BAEC8F">
      <w:pPr>
        <w:bidi w:val="0"/>
        <w:rPr>
          <w:rFonts w:hint="default"/>
          <w:lang w:val="en-US" w:eastAsia="zh-CN"/>
        </w:rPr>
      </w:pPr>
    </w:p>
    <w:p w14:paraId="5F28CBEF">
      <w:pPr>
        <w:bidi w:val="0"/>
        <w:rPr>
          <w:rFonts w:hint="default"/>
          <w:lang w:val="en-US" w:eastAsia="zh-CN"/>
        </w:rPr>
      </w:pPr>
    </w:p>
    <w:p w14:paraId="22F46573">
      <w:pPr>
        <w:bidi w:val="0"/>
        <w:rPr>
          <w:rFonts w:hint="default"/>
          <w:lang w:val="en-US" w:eastAsia="zh-CN"/>
        </w:rPr>
      </w:pPr>
    </w:p>
    <w:p w14:paraId="0334F1F2">
      <w:pPr>
        <w:bidi w:val="0"/>
        <w:rPr>
          <w:rFonts w:hint="default"/>
          <w:lang w:val="en-US" w:eastAsia="zh-CN"/>
        </w:rPr>
      </w:pPr>
    </w:p>
    <w:p w14:paraId="33F13D0F">
      <w:pPr>
        <w:bidi w:val="0"/>
        <w:rPr>
          <w:rFonts w:hint="default"/>
          <w:lang w:val="en-US" w:eastAsia="zh-CN"/>
        </w:rPr>
      </w:pPr>
    </w:p>
    <w:p w14:paraId="16D31FF3">
      <w:pPr>
        <w:bidi w:val="0"/>
        <w:rPr>
          <w:rFonts w:hint="default"/>
          <w:lang w:val="en-US" w:eastAsia="zh-CN"/>
        </w:rPr>
      </w:pPr>
    </w:p>
    <w:p w14:paraId="086CD6E3">
      <w:pPr>
        <w:bidi w:val="0"/>
        <w:rPr>
          <w:rFonts w:hint="default"/>
          <w:lang w:val="en-US" w:eastAsia="zh-CN"/>
        </w:rPr>
      </w:pPr>
    </w:p>
    <w:p w14:paraId="1148482F">
      <w:pPr>
        <w:bidi w:val="0"/>
        <w:rPr>
          <w:rFonts w:hint="default"/>
          <w:lang w:val="en-US" w:eastAsia="zh-CN"/>
        </w:rPr>
      </w:pPr>
    </w:p>
    <w:p w14:paraId="356F3E32">
      <w:pPr>
        <w:bidi w:val="0"/>
        <w:rPr>
          <w:rFonts w:hint="default"/>
          <w:lang w:val="en-US" w:eastAsia="zh-CN"/>
        </w:rPr>
      </w:pPr>
    </w:p>
    <w:p w14:paraId="127582B1">
      <w:pPr>
        <w:bidi w:val="0"/>
        <w:rPr>
          <w:rFonts w:hint="default"/>
          <w:lang w:val="en-US" w:eastAsia="zh-CN"/>
        </w:rPr>
      </w:pPr>
    </w:p>
    <w:p w14:paraId="36A903B2">
      <w:pPr>
        <w:tabs>
          <w:tab w:val="left" w:pos="2074"/>
        </w:tabs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</w:p>
    <w:p w14:paraId="591BB9FF">
      <w:pPr>
        <w:tabs>
          <w:tab w:val="left" w:pos="2074"/>
        </w:tabs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078730" cy="3809365"/>
            <wp:effectExtent l="0" t="0" r="1270" b="635"/>
            <wp:docPr id="5" name="图片 5" descr="Figure S6 Case-dropping stability of the complete mixed-network edge-magnitude centrality and bridge ind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6 Case-dropping stability of the complete mixed-network edge-magnitude centrality and bridge indice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8730" cy="380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1EB7C">
      <w:pPr>
        <w:tabs>
          <w:tab w:val="left" w:pos="3553"/>
        </w:tabs>
        <w:bidi w:val="0"/>
        <w:jc w:val="both"/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32"/>
          <w:lang w:val="en-US" w:eastAsia="zh-CN" w:bidi="ar-SA"/>
        </w:rPr>
      </w:pPr>
      <w:r>
        <w:rPr>
          <w:rFonts w:hint="default" w:ascii="Times New Roman Bold" w:hAnsi="Times New Roman Bold" w:eastAsia="宋体" w:cs="Times New Roman Bold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/>
          <w:lang w:val="en-US" w:eastAsia="zh-CN" w:bidi="ar-SA"/>
          <w14:textFill>
            <w14:solidFill>
              <w14:schemeClr w14:val="tx1"/>
            </w14:solidFill>
          </w14:textFill>
        </w:rPr>
        <w:t xml:space="preserve">Figure S6 </w:t>
      </w:r>
      <w:r>
        <w:rPr>
          <w:rFonts w:hint="default" w:cstheme="minorBidi"/>
          <w:b w:val="0"/>
          <w:bCs w:val="0"/>
          <w:kern w:val="2"/>
          <w:sz w:val="24"/>
          <w:szCs w:val="32"/>
          <w:lang w:val="en-US" w:eastAsia="zh-CN" w:bidi="ar-SA"/>
        </w:rPr>
        <w:t>Case-dropping stability of the complete mixed-network edge-magnitude centrality and bridge indices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F17D3"/>
    <w:rsid w:val="4FB76D2E"/>
    <w:rsid w:val="73FF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2026-08-15T02:23:00Z</dcterms:created>
  <dc:creator>晓</dc:creator>
  <cp:lastModifiedBy>晓</cp:lastModifiedBy>
  <dcterms:modified xsi:type="dcterms:W3CDTF">2026-08-15T03:08:25Z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02FA6DFE8DB664EE085D7F6AD6DE6B9D_41</vt:lpwstr>
  </property>
</Properties>
</file>