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9D287B">
      <w:pPr>
        <w:spacing w:line="480" w:lineRule="auto"/>
        <w:jc w:val="center"/>
        <w:rPr>
          <w:rFonts w:hint="default" w:eastAsia="宋体" w:cs="Times New Roman"/>
          <w:lang w:val="en-US" w:eastAsia="zh-CN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Table 1 Search Strategies</w:t>
      </w:r>
    </w:p>
    <w:tbl>
      <w:tblPr>
        <w:tblStyle w:val="11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226"/>
        <w:gridCol w:w="7240"/>
      </w:tblGrid>
      <w:tr w14:paraId="5F14B7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724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9930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/>
                <w:bCs/>
                <w:color w:val="C00000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C00000"/>
                <w:kern w:val="0"/>
                <w:sz w:val="24"/>
                <w:szCs w:val="24"/>
                <w:lang w:val="en-US" w:eastAsia="zh-CN" w:bidi="ar"/>
              </w:rPr>
              <w:t>Database</w:t>
            </w:r>
          </w:p>
        </w:tc>
        <w:tc>
          <w:tcPr>
            <w:tcW w:w="4275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562A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/>
                <w:bCs/>
                <w:color w:val="C00000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C00000"/>
                <w:kern w:val="0"/>
                <w:sz w:val="24"/>
                <w:szCs w:val="24"/>
                <w:lang w:val="en-US" w:eastAsia="zh-CN" w:bidi="ar"/>
              </w:rPr>
              <w:t>Search Syntax</w:t>
            </w:r>
          </w:p>
        </w:tc>
      </w:tr>
      <w:tr w14:paraId="5DB67B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724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2031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C00000"/>
              </w:rPr>
            </w:pPr>
            <w:r>
              <w:rPr>
                <w:rFonts w:hint="default" w:ascii="Times New Roman" w:hAnsi="Times New Roman" w:eastAsia="宋体" w:cs="Times New Roman"/>
                <w:color w:val="C00000"/>
                <w:kern w:val="0"/>
                <w:sz w:val="24"/>
                <w:szCs w:val="24"/>
                <w:lang w:val="en-US" w:eastAsia="zh-CN" w:bidi="ar"/>
              </w:rPr>
              <w:t>PubMed</w:t>
            </w:r>
          </w:p>
        </w:tc>
        <w:tc>
          <w:tcPr>
            <w:tcW w:w="4275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6B01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color w:val="C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C00000"/>
                <w:kern w:val="0"/>
                <w:sz w:val="24"/>
                <w:szCs w:val="24"/>
                <w:lang w:val="en-US" w:eastAsia="zh-CN" w:bidi="ar"/>
              </w:rPr>
              <w:t>#1 ("Aged"[MeSH Terms]) OR elderly[Title/Abstract] OR older[Title/Abstract] OR ageing[Title/Abstract] OR "older people"[Title/Abstract] OR "older patients"[Title/Abstract] OR "older adults"[Title/Abstract] OR geriatric*[Title/Abstract]</w:t>
            </w:r>
          </w:p>
          <w:p w14:paraId="628887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color w:val="C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C00000"/>
                <w:kern w:val="0"/>
                <w:sz w:val="24"/>
                <w:szCs w:val="24"/>
                <w:lang w:val="en-US" w:eastAsia="zh-CN" w:bidi="ar"/>
              </w:rPr>
              <w:t>#2 ("Neoplasms"[MeSH Terms]) OR cancer*[Title/Abstract] OR neoplasm*[Title/Abstract] OR tumor*[Title/Abstract] OR malignanc*[Title/Abstract] OR "cancer survivorship"[Title/Abstract]</w:t>
            </w:r>
          </w:p>
          <w:p w14:paraId="67E546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color w:val="C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C00000"/>
                <w:kern w:val="0"/>
                <w:sz w:val="24"/>
                <w:szCs w:val="24"/>
                <w:lang w:val="en-US" w:eastAsia="zh-CN" w:bidi="ar"/>
              </w:rPr>
              <w:t>#3 ("Frailty"[MeSH Terms]) OR frailty[Title/Abstract] OR frail*[Title/Abstract] OR "frailty trajectory"[Title/Abstract]</w:t>
            </w:r>
          </w:p>
          <w:p w14:paraId="65A8A7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color w:val="C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C00000"/>
                <w:kern w:val="0"/>
                <w:sz w:val="24"/>
                <w:szCs w:val="24"/>
                <w:lang w:val="en-US" w:eastAsia="zh-CN" w:bidi="ar"/>
              </w:rPr>
              <w:t>#4 "risk factor*"[Title/Abstract] OR predictor*[Title/Abstract] OR determinant*[Title/Abstract] OR "associated factor*"[Title/Abstract] OR correlat*[Title/Abstract] OR "influencing factor*"[Title/Abstract]</w:t>
            </w:r>
          </w:p>
          <w:p w14:paraId="304BAD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C00000"/>
              </w:rPr>
            </w:pPr>
            <w:r>
              <w:rPr>
                <w:rFonts w:hint="default" w:ascii="Times New Roman" w:hAnsi="Times New Roman" w:eastAsia="宋体" w:cs="Times New Roman"/>
                <w:color w:val="C00000"/>
                <w:kern w:val="0"/>
                <w:sz w:val="24"/>
                <w:szCs w:val="24"/>
                <w:lang w:val="en-US" w:eastAsia="zh-CN" w:bidi="ar"/>
              </w:rPr>
              <w:t>#5 #1 AND #2 AND #3 AND #4</w:t>
            </w:r>
          </w:p>
        </w:tc>
      </w:tr>
      <w:tr w14:paraId="525AEA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724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016E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C00000"/>
              </w:rPr>
            </w:pPr>
            <w:r>
              <w:rPr>
                <w:rFonts w:hint="default" w:ascii="Times New Roman" w:hAnsi="Times New Roman" w:eastAsia="宋体" w:cs="Times New Roman"/>
                <w:color w:val="C00000"/>
                <w:kern w:val="0"/>
                <w:sz w:val="24"/>
                <w:szCs w:val="24"/>
                <w:lang w:val="en-US" w:eastAsia="zh-CN" w:bidi="ar"/>
              </w:rPr>
              <w:t>Embase</w:t>
            </w:r>
          </w:p>
        </w:tc>
        <w:tc>
          <w:tcPr>
            <w:tcW w:w="4275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33FD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color w:val="C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C00000"/>
                <w:kern w:val="0"/>
                <w:sz w:val="24"/>
                <w:szCs w:val="24"/>
                <w:lang w:val="en-US" w:eastAsia="zh-CN" w:bidi="ar"/>
              </w:rPr>
              <w:t>#1 'aged'/exp OR elderly:ti,ab OR older:ti,ab OR ageing:ti,ab OR 'older people':ti,ab OR 'older patients':ti,ab OR 'older adults':ti,ab OR geriatric*:ti,ab</w:t>
            </w:r>
          </w:p>
          <w:p w14:paraId="2CA191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color w:val="C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C00000"/>
                <w:kern w:val="0"/>
                <w:sz w:val="24"/>
                <w:szCs w:val="24"/>
                <w:lang w:val="en-US" w:eastAsia="zh-CN" w:bidi="ar"/>
              </w:rPr>
              <w:t>#2 'neoplasm'/exp OR cancer*:ti,ab OR neoplasm*:ti,ab OR tumor*:ti,ab OR malignanc*:ti,ab OR 'cancer survivorship':ti,ab</w:t>
            </w:r>
          </w:p>
          <w:p w14:paraId="34B2D4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color w:val="C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C00000"/>
                <w:kern w:val="0"/>
                <w:sz w:val="24"/>
                <w:szCs w:val="24"/>
                <w:lang w:val="en-US" w:eastAsia="zh-CN" w:bidi="ar"/>
              </w:rPr>
              <w:t>#3 'frailty'/exp OR frailty:ti,ab OR frail*:ti,ab OR 'frailty trajectory':ti,ab</w:t>
            </w:r>
          </w:p>
          <w:p w14:paraId="7722AE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color w:val="C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C00000"/>
                <w:kern w:val="0"/>
                <w:sz w:val="24"/>
                <w:szCs w:val="24"/>
                <w:lang w:val="en-US" w:eastAsia="zh-CN" w:bidi="ar"/>
              </w:rPr>
              <w:t>#4 'risk factor*':ti,ab OR predictor*:ti,ab OR determinant*:ti,ab OR 'associated factor*':ti,ab OR correlat*:ti,ab OR 'influencing factor*':ti,ab</w:t>
            </w:r>
          </w:p>
          <w:p w14:paraId="562451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C00000"/>
              </w:rPr>
            </w:pPr>
            <w:r>
              <w:rPr>
                <w:rFonts w:hint="default" w:ascii="Times New Roman" w:hAnsi="Times New Roman" w:eastAsia="宋体" w:cs="Times New Roman"/>
                <w:color w:val="C00000"/>
                <w:kern w:val="0"/>
                <w:sz w:val="24"/>
                <w:szCs w:val="24"/>
                <w:lang w:val="en-US" w:eastAsia="zh-CN" w:bidi="ar"/>
              </w:rPr>
              <w:t>#5 #1 AND #2 AND #3 AND #4</w:t>
            </w:r>
          </w:p>
        </w:tc>
      </w:tr>
      <w:tr w14:paraId="77ED09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724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ED72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C00000"/>
              </w:rPr>
            </w:pPr>
            <w:r>
              <w:rPr>
                <w:rFonts w:hint="default" w:ascii="Times New Roman" w:hAnsi="Times New Roman" w:eastAsia="宋体" w:cs="Times New Roman"/>
                <w:color w:val="C00000"/>
                <w:kern w:val="0"/>
                <w:sz w:val="24"/>
                <w:szCs w:val="24"/>
                <w:lang w:val="en-US" w:eastAsia="zh-CN" w:bidi="ar"/>
              </w:rPr>
              <w:t>Web of Science</w:t>
            </w:r>
          </w:p>
        </w:tc>
        <w:tc>
          <w:tcPr>
            <w:tcW w:w="4275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4872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color w:val="C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C00000"/>
                <w:kern w:val="0"/>
                <w:sz w:val="24"/>
                <w:szCs w:val="24"/>
                <w:lang w:val="en-US" w:eastAsia="zh-CN" w:bidi="ar"/>
              </w:rPr>
              <w:t>#1 TS=(elderly OR older OR ageing OR "older people" OR "older patients" OR "older adults" OR geriatric*)</w:t>
            </w:r>
          </w:p>
          <w:p w14:paraId="01F6F8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color w:val="C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C00000"/>
                <w:kern w:val="0"/>
                <w:sz w:val="24"/>
                <w:szCs w:val="24"/>
                <w:lang w:val="en-US" w:eastAsia="zh-CN" w:bidi="ar"/>
              </w:rPr>
              <w:t>#2 TS=(cancer* OR neoplasm* OR tumor* OR malignanc* OR "cancer survivorship")</w:t>
            </w:r>
          </w:p>
          <w:p w14:paraId="2DF295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color w:val="C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C00000"/>
                <w:kern w:val="0"/>
                <w:sz w:val="24"/>
                <w:szCs w:val="24"/>
                <w:lang w:val="en-US" w:eastAsia="zh-CN" w:bidi="ar"/>
              </w:rPr>
              <w:t>#3 TS=(frailty OR frail* OR "frailty trajectory")</w:t>
            </w:r>
          </w:p>
          <w:p w14:paraId="79E9C8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color w:val="C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C00000"/>
                <w:kern w:val="0"/>
                <w:sz w:val="24"/>
                <w:szCs w:val="24"/>
                <w:lang w:val="en-US" w:eastAsia="zh-CN" w:bidi="ar"/>
              </w:rPr>
              <w:t>#4 TS=("risk factor*" OR predictor* OR determinant* OR "associated factor*" OR correlat* OR "influencing factor*")</w:t>
            </w:r>
          </w:p>
          <w:p w14:paraId="0D10FB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C00000"/>
              </w:rPr>
            </w:pPr>
            <w:r>
              <w:rPr>
                <w:rFonts w:hint="default" w:ascii="Times New Roman" w:hAnsi="Times New Roman" w:eastAsia="宋体" w:cs="Times New Roman"/>
                <w:color w:val="C00000"/>
                <w:kern w:val="0"/>
                <w:sz w:val="24"/>
                <w:szCs w:val="24"/>
                <w:lang w:val="en-US" w:eastAsia="zh-CN" w:bidi="ar"/>
              </w:rPr>
              <w:t>#5 #1 AND #2 AND #4 AND #3</w:t>
            </w:r>
          </w:p>
        </w:tc>
      </w:tr>
    </w:tbl>
    <w:p w14:paraId="5DE760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left="0" w:leftChars="0" w:firstLine="0" w:firstLineChars="0"/>
        <w:jc w:val="center"/>
        <w:textAlignment w:val="auto"/>
        <w:rPr>
          <w:rFonts w:hint="default" w:ascii="Times New Roman" w:hAnsi="Times New Roman" w:eastAsia="宋体" w:cs="Times New Roman"/>
          <w:b/>
          <w:bCs/>
          <w:color w:val="C00000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color w:val="C00000"/>
          <w:sz w:val="24"/>
          <w:szCs w:val="24"/>
        </w:rPr>
        <w:t>Table 4 Excluded Studies</w:t>
      </w:r>
    </w:p>
    <w:tbl>
      <w:tblPr>
        <w:tblStyle w:val="11"/>
        <w:tblpPr w:leftFromText="180" w:rightFromText="180" w:vertAnchor="text" w:horzAnchor="page" w:tblpX="1795" w:tblpY="613"/>
        <w:tblOverlap w:val="never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14"/>
        <w:gridCol w:w="1453"/>
        <w:gridCol w:w="1724"/>
        <w:gridCol w:w="4775"/>
      </w:tblGrid>
      <w:tr w14:paraId="5D48C6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303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9FED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/>
                <w:bCs/>
                <w:color w:val="C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C00000"/>
                <w:kern w:val="0"/>
                <w:sz w:val="24"/>
                <w:szCs w:val="24"/>
                <w:lang w:val="en-US" w:eastAsia="zh-CN" w:bidi="ar"/>
              </w:rPr>
              <w:t>No.</w:t>
            </w:r>
          </w:p>
        </w:tc>
        <w:tc>
          <w:tcPr>
            <w:tcW w:w="858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36FE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/>
                <w:bCs/>
                <w:color w:val="C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C00000"/>
                <w:kern w:val="0"/>
                <w:sz w:val="24"/>
                <w:szCs w:val="24"/>
                <w:lang w:val="en-US" w:eastAsia="zh-CN" w:bidi="ar"/>
              </w:rPr>
              <w:t>First Author – Year</w:t>
            </w:r>
          </w:p>
        </w:tc>
        <w:tc>
          <w:tcPr>
            <w:tcW w:w="1018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C8B2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/>
                <w:bCs/>
                <w:color w:val="C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C00000"/>
                <w:kern w:val="0"/>
                <w:sz w:val="24"/>
                <w:szCs w:val="24"/>
                <w:lang w:val="en-US" w:eastAsia="zh-CN" w:bidi="ar"/>
              </w:rPr>
              <w:t>Study Design</w:t>
            </w:r>
          </w:p>
        </w:tc>
        <w:tc>
          <w:tcPr>
            <w:tcW w:w="2819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E3C4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/>
                <w:bCs/>
                <w:color w:val="C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C00000"/>
                <w:kern w:val="0"/>
                <w:sz w:val="24"/>
                <w:szCs w:val="24"/>
                <w:lang w:val="en-US" w:eastAsia="zh-CN" w:bidi="ar"/>
              </w:rPr>
              <w:t>Full Exclusion Reason</w:t>
            </w:r>
          </w:p>
        </w:tc>
      </w:tr>
      <w:tr w14:paraId="29F6D0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03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63F0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C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C00000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858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1D82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C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C00000"/>
                <w:kern w:val="0"/>
                <w:sz w:val="24"/>
                <w:szCs w:val="24"/>
                <w:lang w:val="en-US" w:eastAsia="zh-CN" w:bidi="ar"/>
              </w:rPr>
              <w:t>Huang Huifan 2022</w:t>
            </w:r>
          </w:p>
        </w:tc>
        <w:tc>
          <w:tcPr>
            <w:tcW w:w="1018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96EB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C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C00000"/>
                <w:kern w:val="0"/>
                <w:sz w:val="24"/>
                <w:szCs w:val="24"/>
                <w:lang w:val="en-US" w:eastAsia="zh-CN" w:bidi="ar"/>
              </w:rPr>
              <w:t>Cross-sectional</w:t>
            </w:r>
          </w:p>
        </w:tc>
        <w:tc>
          <w:tcPr>
            <w:tcW w:w="2819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8F83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C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C00000"/>
                <w:kern w:val="0"/>
                <w:sz w:val="24"/>
                <w:szCs w:val="24"/>
                <w:lang w:val="en-US" w:eastAsia="zh-CN" w:bidi="ar"/>
              </w:rPr>
              <w:t>The primary endpoint of this study was postoperative cognitive dysfunction rather than frailty, which failed to meet the outcome inclusion criteria.</w:t>
            </w:r>
          </w:p>
        </w:tc>
      </w:tr>
      <w:tr w14:paraId="4A72AF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03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575D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C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C00000"/>
                <w:kern w:val="0"/>
                <w:sz w:val="24"/>
                <w:szCs w:val="24"/>
                <w:lang w:val="en-US" w:eastAsia="zh-CN" w:bidi="ar"/>
              </w:rPr>
              <w:t>2</w:t>
            </w:r>
          </w:p>
        </w:tc>
        <w:tc>
          <w:tcPr>
            <w:tcW w:w="858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580B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C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C00000"/>
                <w:kern w:val="0"/>
                <w:sz w:val="24"/>
                <w:szCs w:val="24"/>
                <w:lang w:val="en-US" w:eastAsia="zh-CN" w:bidi="ar"/>
              </w:rPr>
              <w:t>Falandry C 2011</w:t>
            </w:r>
          </w:p>
        </w:tc>
        <w:tc>
          <w:tcPr>
            <w:tcW w:w="1018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56C3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C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C00000"/>
                <w:kern w:val="0"/>
                <w:sz w:val="24"/>
                <w:szCs w:val="24"/>
                <w:lang w:val="en-US" w:eastAsia="zh-CN" w:bidi="ar"/>
              </w:rPr>
              <w:t>Cross-sectional</w:t>
            </w:r>
          </w:p>
        </w:tc>
        <w:tc>
          <w:tcPr>
            <w:tcW w:w="2819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E83E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C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C00000"/>
                <w:kern w:val="0"/>
                <w:sz w:val="24"/>
                <w:szCs w:val="24"/>
                <w:lang w:val="en-US" w:eastAsia="zh-CN" w:bidi="ar"/>
              </w:rPr>
              <w:t>Only simplified geriatric assessment was adopted, without any standardized frailty scale with verified reliability and validity.</w:t>
            </w:r>
          </w:p>
        </w:tc>
      </w:tr>
      <w:tr w14:paraId="101164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03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D82E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C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C00000"/>
                <w:kern w:val="0"/>
                <w:sz w:val="24"/>
                <w:szCs w:val="24"/>
                <w:lang w:val="en-US" w:eastAsia="zh-CN" w:bidi="ar"/>
              </w:rPr>
              <w:t>3</w:t>
            </w:r>
          </w:p>
        </w:tc>
        <w:tc>
          <w:tcPr>
            <w:tcW w:w="858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6008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C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C00000"/>
                <w:kern w:val="0"/>
                <w:sz w:val="24"/>
                <w:szCs w:val="24"/>
                <w:lang w:val="en-US" w:eastAsia="zh-CN" w:bidi="ar"/>
              </w:rPr>
              <w:t>Haugen M 2009</w:t>
            </w:r>
          </w:p>
        </w:tc>
        <w:tc>
          <w:tcPr>
            <w:tcW w:w="1018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7147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C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C00000"/>
                <w:kern w:val="0"/>
                <w:sz w:val="24"/>
                <w:szCs w:val="24"/>
                <w:lang w:val="en-US" w:eastAsia="zh-CN" w:bidi="ar"/>
              </w:rPr>
              <w:t>Cross-sectional</w:t>
            </w:r>
          </w:p>
        </w:tc>
        <w:tc>
          <w:tcPr>
            <w:tcW w:w="2819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1779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C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C00000"/>
                <w:kern w:val="0"/>
                <w:sz w:val="24"/>
                <w:szCs w:val="24"/>
                <w:lang w:val="en-US" w:eastAsia="zh-CN" w:bidi="ar"/>
              </w:rPr>
              <w:t>This paper only established age-incidence curves of tumors and did not explore any frailty-related risk factors.</w:t>
            </w:r>
          </w:p>
        </w:tc>
      </w:tr>
      <w:tr w14:paraId="6FAA45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03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7E0D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C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C00000"/>
                <w:kern w:val="0"/>
                <w:sz w:val="24"/>
                <w:szCs w:val="24"/>
                <w:lang w:val="en-US" w:eastAsia="zh-CN" w:bidi="ar"/>
              </w:rPr>
              <w:t>4</w:t>
            </w:r>
          </w:p>
        </w:tc>
        <w:tc>
          <w:tcPr>
            <w:tcW w:w="858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CA62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C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C00000"/>
                <w:kern w:val="0"/>
                <w:sz w:val="24"/>
                <w:szCs w:val="24"/>
                <w:lang w:val="en-US" w:eastAsia="zh-CN" w:bidi="ar"/>
              </w:rPr>
              <w:t>Minami C A 2025</w:t>
            </w:r>
          </w:p>
        </w:tc>
        <w:tc>
          <w:tcPr>
            <w:tcW w:w="1018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5398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C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C00000"/>
                <w:kern w:val="0"/>
                <w:sz w:val="24"/>
                <w:szCs w:val="24"/>
                <w:lang w:val="en-US" w:eastAsia="zh-CN" w:bidi="ar"/>
              </w:rPr>
              <w:t>Longitudinal cohort</w:t>
            </w:r>
          </w:p>
        </w:tc>
        <w:tc>
          <w:tcPr>
            <w:tcW w:w="2819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8026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C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C00000"/>
                <w:kern w:val="0"/>
                <w:sz w:val="24"/>
                <w:szCs w:val="24"/>
                <w:lang w:val="en-US" w:eastAsia="zh-CN" w:bidi="ar"/>
              </w:rPr>
              <w:t>The study subjects were general elderly individuals without cancer patients, inconsistent with population eligibility criteria.</w:t>
            </w:r>
          </w:p>
        </w:tc>
      </w:tr>
      <w:tr w14:paraId="34A790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03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724E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C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C00000"/>
                <w:kern w:val="0"/>
                <w:sz w:val="24"/>
                <w:szCs w:val="24"/>
                <w:lang w:val="en-US" w:eastAsia="zh-CN" w:bidi="ar"/>
              </w:rPr>
              <w:t>5</w:t>
            </w:r>
          </w:p>
        </w:tc>
        <w:tc>
          <w:tcPr>
            <w:tcW w:w="858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9C17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C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C00000"/>
                <w:kern w:val="0"/>
                <w:sz w:val="24"/>
                <w:szCs w:val="24"/>
                <w:lang w:val="en-US" w:eastAsia="zh-CN" w:bidi="ar"/>
              </w:rPr>
              <w:t>Molica S 2016</w:t>
            </w:r>
          </w:p>
        </w:tc>
        <w:tc>
          <w:tcPr>
            <w:tcW w:w="1018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531C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C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C00000"/>
                <w:kern w:val="0"/>
                <w:sz w:val="24"/>
                <w:szCs w:val="24"/>
                <w:lang w:val="en-US" w:eastAsia="zh-CN" w:bidi="ar"/>
              </w:rPr>
              <w:t>Cross-sectional</w:t>
            </w:r>
          </w:p>
        </w:tc>
        <w:tc>
          <w:tcPr>
            <w:tcW w:w="2819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1BF5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C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C00000"/>
                <w:kern w:val="0"/>
                <w:sz w:val="24"/>
                <w:szCs w:val="24"/>
                <w:lang w:val="en-US" w:eastAsia="zh-CN" w:bidi="ar"/>
              </w:rPr>
              <w:t>Only the association between geriatric assessment and survival was reported, and quantifiable effect sizes of frailty risk factors could not be extracted.</w:t>
            </w:r>
          </w:p>
        </w:tc>
      </w:tr>
      <w:tr w14:paraId="51F620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03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6F42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C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C00000"/>
                <w:kern w:val="0"/>
                <w:sz w:val="24"/>
                <w:szCs w:val="24"/>
                <w:lang w:val="en-US" w:eastAsia="zh-CN" w:bidi="ar"/>
              </w:rPr>
              <w:t>6</w:t>
            </w:r>
          </w:p>
        </w:tc>
        <w:tc>
          <w:tcPr>
            <w:tcW w:w="858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EBB1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C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C00000"/>
                <w:kern w:val="0"/>
                <w:sz w:val="24"/>
                <w:szCs w:val="24"/>
                <w:lang w:val="en-US" w:eastAsia="zh-CN" w:bidi="ar"/>
              </w:rPr>
              <w:t>Morse R T 2022</w:t>
            </w:r>
          </w:p>
        </w:tc>
        <w:tc>
          <w:tcPr>
            <w:tcW w:w="1018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C9E9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C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C00000"/>
                <w:kern w:val="0"/>
                <w:sz w:val="24"/>
                <w:szCs w:val="24"/>
                <w:lang w:val="en-US" w:eastAsia="zh-CN" w:bidi="ar"/>
              </w:rPr>
              <w:t>Cross-sectional</w:t>
            </w:r>
          </w:p>
        </w:tc>
        <w:tc>
          <w:tcPr>
            <w:tcW w:w="2819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A3C0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C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C00000"/>
                <w:kern w:val="0"/>
                <w:sz w:val="24"/>
                <w:szCs w:val="24"/>
                <w:lang w:val="en-US" w:eastAsia="zh-CN" w:bidi="ar"/>
              </w:rPr>
              <w:t>The core research indicator was sarcopenia, and no analysis of frailty-related influencing factors was performed.</w:t>
            </w:r>
          </w:p>
        </w:tc>
      </w:tr>
      <w:tr w14:paraId="3A798B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03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25C4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C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C00000"/>
                <w:kern w:val="0"/>
                <w:sz w:val="24"/>
                <w:szCs w:val="24"/>
                <w:lang w:val="en-US" w:eastAsia="zh-CN" w:bidi="ar"/>
              </w:rPr>
              <w:t>7</w:t>
            </w:r>
          </w:p>
        </w:tc>
        <w:tc>
          <w:tcPr>
            <w:tcW w:w="858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944B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C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C00000"/>
                <w:kern w:val="0"/>
                <w:sz w:val="24"/>
                <w:szCs w:val="24"/>
                <w:lang w:val="en-US" w:eastAsia="zh-CN" w:bidi="ar"/>
              </w:rPr>
              <w:t>Zhao B 2024</w:t>
            </w:r>
          </w:p>
        </w:tc>
        <w:tc>
          <w:tcPr>
            <w:tcW w:w="1018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36B4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C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C00000"/>
                <w:kern w:val="0"/>
                <w:sz w:val="24"/>
                <w:szCs w:val="24"/>
                <w:lang w:val="en-US" w:eastAsia="zh-CN" w:bidi="ar"/>
              </w:rPr>
              <w:t>Cross-sectional</w:t>
            </w:r>
          </w:p>
        </w:tc>
        <w:tc>
          <w:tcPr>
            <w:tcW w:w="2819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911F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C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C00000"/>
                <w:kern w:val="0"/>
                <w:sz w:val="24"/>
                <w:szCs w:val="24"/>
                <w:lang w:val="en-US" w:eastAsia="zh-CN" w:bidi="ar"/>
              </w:rPr>
              <w:t>This article was a systematic review; only original observational studies were eligible for this analysis.</w:t>
            </w:r>
          </w:p>
        </w:tc>
      </w:tr>
      <w:tr w14:paraId="68AD56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03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63EF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C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C00000"/>
                <w:kern w:val="0"/>
                <w:sz w:val="24"/>
                <w:szCs w:val="24"/>
                <w:lang w:val="en-US" w:eastAsia="zh-CN" w:bidi="ar"/>
              </w:rPr>
              <w:t>8</w:t>
            </w:r>
          </w:p>
        </w:tc>
        <w:tc>
          <w:tcPr>
            <w:tcW w:w="858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C1C1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C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C00000"/>
                <w:kern w:val="0"/>
                <w:sz w:val="24"/>
                <w:szCs w:val="24"/>
                <w:lang w:val="en-US" w:eastAsia="zh-CN" w:bidi="ar"/>
              </w:rPr>
              <w:t>Liang W 2025</w:t>
            </w:r>
          </w:p>
        </w:tc>
        <w:tc>
          <w:tcPr>
            <w:tcW w:w="1018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66BD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C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C00000"/>
                <w:kern w:val="0"/>
                <w:sz w:val="24"/>
                <w:szCs w:val="24"/>
                <w:lang w:val="en-US" w:eastAsia="zh-CN" w:bidi="ar"/>
              </w:rPr>
              <w:t>Cross-sectional</w:t>
            </w:r>
          </w:p>
        </w:tc>
        <w:tc>
          <w:tcPr>
            <w:tcW w:w="2819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C33C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C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C00000"/>
                <w:kern w:val="0"/>
                <w:sz w:val="24"/>
                <w:szCs w:val="24"/>
                <w:lang w:val="en-US" w:eastAsia="zh-CN" w:bidi="ar"/>
              </w:rPr>
              <w:t>Only crude correlation analysis was conducted without adjusted OR/β values for confounders, so the data could not be integrated.</w:t>
            </w:r>
          </w:p>
        </w:tc>
      </w:tr>
      <w:tr w14:paraId="4D0F95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03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AC6F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C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C00000"/>
                <w:kern w:val="0"/>
                <w:sz w:val="24"/>
                <w:szCs w:val="24"/>
                <w:lang w:val="en-US" w:eastAsia="zh-CN" w:bidi="ar"/>
              </w:rPr>
              <w:t>9</w:t>
            </w:r>
          </w:p>
        </w:tc>
        <w:tc>
          <w:tcPr>
            <w:tcW w:w="858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D1D2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C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C00000"/>
                <w:kern w:val="0"/>
                <w:sz w:val="24"/>
                <w:szCs w:val="24"/>
                <w:lang w:val="en-US" w:eastAsia="zh-CN" w:bidi="ar"/>
              </w:rPr>
              <w:t>Zhang C 2018</w:t>
            </w:r>
          </w:p>
        </w:tc>
        <w:tc>
          <w:tcPr>
            <w:tcW w:w="1018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0964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C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C00000"/>
                <w:kern w:val="0"/>
                <w:sz w:val="24"/>
                <w:szCs w:val="24"/>
                <w:lang w:val="en-US" w:eastAsia="zh-CN" w:bidi="ar"/>
              </w:rPr>
              <w:t>Cross-sectional</w:t>
            </w:r>
          </w:p>
        </w:tc>
        <w:tc>
          <w:tcPr>
            <w:tcW w:w="2819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15C3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C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C00000"/>
                <w:kern w:val="0"/>
                <w:sz w:val="24"/>
                <w:szCs w:val="24"/>
                <w:lang w:val="en-US" w:eastAsia="zh-CN" w:bidi="ar"/>
              </w:rPr>
              <w:t>Frailty was merely treated as a prognostic endpoint, without exploration of risk factors for frailty onset.</w:t>
            </w:r>
          </w:p>
        </w:tc>
      </w:tr>
      <w:tr w14:paraId="71C357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03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7A4D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C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C00000"/>
                <w:kern w:val="0"/>
                <w:sz w:val="24"/>
                <w:szCs w:val="24"/>
                <w:lang w:val="en-US" w:eastAsia="zh-CN" w:bidi="ar"/>
              </w:rPr>
              <w:t>10</w:t>
            </w:r>
          </w:p>
        </w:tc>
        <w:tc>
          <w:tcPr>
            <w:tcW w:w="858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0FBC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C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C00000"/>
                <w:kern w:val="0"/>
                <w:sz w:val="24"/>
                <w:szCs w:val="24"/>
                <w:lang w:val="en-US" w:eastAsia="zh-CN" w:bidi="ar"/>
              </w:rPr>
              <w:t>Wang Shurui 2022</w:t>
            </w:r>
          </w:p>
        </w:tc>
        <w:tc>
          <w:tcPr>
            <w:tcW w:w="1018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2FFE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C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C00000"/>
                <w:kern w:val="0"/>
                <w:sz w:val="24"/>
                <w:szCs w:val="24"/>
                <w:lang w:val="en-US" w:eastAsia="zh-CN" w:bidi="ar"/>
              </w:rPr>
              <w:t>Cross-sectional</w:t>
            </w:r>
          </w:p>
        </w:tc>
        <w:tc>
          <w:tcPr>
            <w:tcW w:w="2819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F8CF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C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C00000"/>
                <w:kern w:val="0"/>
                <w:sz w:val="24"/>
                <w:szCs w:val="24"/>
                <w:lang w:val="en-US" w:eastAsia="zh-CN" w:bidi="ar"/>
              </w:rPr>
              <w:t>This was a meta-analysis review and did not belong to original primary research.</w:t>
            </w:r>
          </w:p>
        </w:tc>
      </w:tr>
      <w:tr w14:paraId="4B2971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03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FA55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C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C00000"/>
                <w:kern w:val="0"/>
                <w:sz w:val="24"/>
                <w:szCs w:val="24"/>
                <w:lang w:val="en-US" w:eastAsia="zh-CN" w:bidi="ar"/>
              </w:rPr>
              <w:t>11</w:t>
            </w:r>
          </w:p>
        </w:tc>
        <w:tc>
          <w:tcPr>
            <w:tcW w:w="858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7EFB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C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C00000"/>
                <w:kern w:val="0"/>
                <w:sz w:val="24"/>
                <w:szCs w:val="24"/>
                <w:lang w:val="en-US" w:eastAsia="zh-CN" w:bidi="ar"/>
              </w:rPr>
              <w:t>Zhang F 2024</w:t>
            </w:r>
          </w:p>
        </w:tc>
        <w:tc>
          <w:tcPr>
            <w:tcW w:w="1018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234F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C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C00000"/>
                <w:kern w:val="0"/>
                <w:sz w:val="24"/>
                <w:szCs w:val="24"/>
                <w:lang w:val="en-US" w:eastAsia="zh-CN" w:bidi="ar"/>
              </w:rPr>
              <w:t>Cross-sectional</w:t>
            </w:r>
          </w:p>
        </w:tc>
        <w:tc>
          <w:tcPr>
            <w:tcW w:w="2819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1634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C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C00000"/>
                <w:kern w:val="0"/>
                <w:sz w:val="24"/>
                <w:szCs w:val="24"/>
                <w:lang w:val="en-US" w:eastAsia="zh-CN" w:bidi="ar"/>
              </w:rPr>
              <w:t>Systematic review article, which did not meet the inclusion standard for original studies.</w:t>
            </w:r>
          </w:p>
        </w:tc>
      </w:tr>
      <w:tr w14:paraId="002C23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03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3FDB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C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C00000"/>
                <w:kern w:val="0"/>
                <w:sz w:val="24"/>
                <w:szCs w:val="24"/>
                <w:lang w:val="en-US" w:eastAsia="zh-CN" w:bidi="ar"/>
              </w:rPr>
              <w:t>12</w:t>
            </w:r>
          </w:p>
        </w:tc>
        <w:tc>
          <w:tcPr>
            <w:tcW w:w="858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A384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C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C00000"/>
                <w:kern w:val="0"/>
                <w:sz w:val="24"/>
                <w:szCs w:val="24"/>
                <w:lang w:val="en-US" w:eastAsia="zh-CN" w:bidi="ar"/>
              </w:rPr>
              <w:t>Xiao M 2023</w:t>
            </w:r>
          </w:p>
        </w:tc>
        <w:tc>
          <w:tcPr>
            <w:tcW w:w="1018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DF08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C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C00000"/>
                <w:kern w:val="0"/>
                <w:sz w:val="24"/>
                <w:szCs w:val="24"/>
                <w:lang w:val="en-US" w:eastAsia="zh-CN" w:bidi="ar"/>
              </w:rPr>
              <w:t>Cross-sectional</w:t>
            </w:r>
          </w:p>
        </w:tc>
        <w:tc>
          <w:tcPr>
            <w:tcW w:w="2819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C371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C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C00000"/>
                <w:kern w:val="0"/>
                <w:sz w:val="24"/>
                <w:szCs w:val="24"/>
                <w:lang w:val="en-US" w:eastAsia="zh-CN" w:bidi="ar"/>
              </w:rPr>
              <w:t>Only unadjusted crude correlations were presented without multivariable correction, and valid data for independent risk factors were unavailable.</w:t>
            </w:r>
          </w:p>
        </w:tc>
      </w:tr>
      <w:tr w14:paraId="6C5029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03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5696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C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C00000"/>
                <w:kern w:val="0"/>
                <w:sz w:val="24"/>
                <w:szCs w:val="24"/>
                <w:lang w:val="en-US" w:eastAsia="zh-CN" w:bidi="ar"/>
              </w:rPr>
              <w:t>13</w:t>
            </w:r>
          </w:p>
        </w:tc>
        <w:tc>
          <w:tcPr>
            <w:tcW w:w="858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77FA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C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C00000"/>
                <w:kern w:val="0"/>
                <w:sz w:val="24"/>
                <w:szCs w:val="24"/>
                <w:lang w:val="en-US" w:eastAsia="zh-CN" w:bidi="ar"/>
              </w:rPr>
              <w:t>Zhu Min 2023</w:t>
            </w:r>
          </w:p>
        </w:tc>
        <w:tc>
          <w:tcPr>
            <w:tcW w:w="1018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111D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C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C00000"/>
                <w:kern w:val="0"/>
                <w:sz w:val="24"/>
                <w:szCs w:val="24"/>
                <w:lang w:val="en-US" w:eastAsia="zh-CN" w:bidi="ar"/>
              </w:rPr>
              <w:t>Cross-sectional</w:t>
            </w:r>
          </w:p>
        </w:tc>
        <w:tc>
          <w:tcPr>
            <w:tcW w:w="2819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7885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C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C00000"/>
                <w:kern w:val="0"/>
                <w:sz w:val="24"/>
                <w:szCs w:val="24"/>
                <w:lang w:val="en-US" w:eastAsia="zh-CN" w:bidi="ar"/>
              </w:rPr>
              <w:t>It only described chemotherapy-induced taste alteration without quantitative frailty assessment and relevant factor analysis.</w:t>
            </w:r>
          </w:p>
        </w:tc>
      </w:tr>
      <w:tr w14:paraId="16A829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03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81B5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C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C00000"/>
                <w:kern w:val="0"/>
                <w:sz w:val="24"/>
                <w:szCs w:val="24"/>
                <w:lang w:val="en-US" w:eastAsia="zh-CN" w:bidi="ar"/>
              </w:rPr>
              <w:t>14</w:t>
            </w:r>
          </w:p>
        </w:tc>
        <w:tc>
          <w:tcPr>
            <w:tcW w:w="858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85C8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C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C00000"/>
                <w:kern w:val="0"/>
                <w:sz w:val="24"/>
                <w:szCs w:val="24"/>
                <w:lang w:val="en-US" w:eastAsia="zh-CN" w:bidi="ar"/>
              </w:rPr>
              <w:t>Su 2022</w:t>
            </w:r>
          </w:p>
        </w:tc>
        <w:tc>
          <w:tcPr>
            <w:tcW w:w="1018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017C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C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C00000"/>
                <w:kern w:val="0"/>
                <w:sz w:val="24"/>
                <w:szCs w:val="24"/>
                <w:lang w:val="en-US" w:eastAsia="zh-CN" w:bidi="ar"/>
              </w:rPr>
              <w:t>Cohort</w:t>
            </w:r>
          </w:p>
        </w:tc>
        <w:tc>
          <w:tcPr>
            <w:tcW w:w="2819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B0F1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C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C00000"/>
                <w:kern w:val="0"/>
                <w:sz w:val="24"/>
                <w:szCs w:val="24"/>
                <w:lang w:val="en-US" w:eastAsia="zh-CN" w:bidi="ar"/>
              </w:rPr>
              <w:t>Complete full-text could not be obtained after repeated database retrieval and email correspondence with corresponding authors.</w:t>
            </w:r>
          </w:p>
        </w:tc>
      </w:tr>
      <w:tr w14:paraId="3B32BE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03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E515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C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C00000"/>
                <w:kern w:val="0"/>
                <w:sz w:val="24"/>
                <w:szCs w:val="24"/>
                <w:lang w:val="en-US" w:eastAsia="zh-CN" w:bidi="ar"/>
              </w:rPr>
              <w:t>15</w:t>
            </w:r>
          </w:p>
        </w:tc>
        <w:tc>
          <w:tcPr>
            <w:tcW w:w="858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8F21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C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C00000"/>
                <w:kern w:val="0"/>
                <w:sz w:val="24"/>
                <w:szCs w:val="24"/>
                <w:lang w:val="en-US" w:eastAsia="zh-CN" w:bidi="ar"/>
              </w:rPr>
              <w:t>Chen K 2023</w:t>
            </w:r>
          </w:p>
        </w:tc>
        <w:tc>
          <w:tcPr>
            <w:tcW w:w="1018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6A60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C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C00000"/>
                <w:kern w:val="0"/>
                <w:sz w:val="24"/>
                <w:szCs w:val="24"/>
                <w:lang w:val="en-US" w:eastAsia="zh-CN" w:bidi="ar"/>
              </w:rPr>
              <w:t>Cross-sectional</w:t>
            </w:r>
          </w:p>
        </w:tc>
        <w:tc>
          <w:tcPr>
            <w:tcW w:w="2819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4FAC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C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C00000"/>
                <w:kern w:val="0"/>
                <w:sz w:val="24"/>
                <w:szCs w:val="24"/>
                <w:lang w:val="en-US" w:eastAsia="zh-CN" w:bidi="ar"/>
              </w:rPr>
              <w:t>Only conference abstract was published without complete original data for indicator extraction.</w:t>
            </w:r>
          </w:p>
        </w:tc>
      </w:tr>
      <w:tr w14:paraId="28F4AD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03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652A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C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C00000"/>
                <w:kern w:val="0"/>
                <w:sz w:val="24"/>
                <w:szCs w:val="24"/>
                <w:lang w:val="en-US" w:eastAsia="zh-CN" w:bidi="ar"/>
              </w:rPr>
              <w:t>16</w:t>
            </w:r>
          </w:p>
        </w:tc>
        <w:tc>
          <w:tcPr>
            <w:tcW w:w="858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352A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C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C00000"/>
                <w:kern w:val="0"/>
                <w:sz w:val="24"/>
                <w:szCs w:val="24"/>
                <w:lang w:val="en-US" w:eastAsia="zh-CN" w:bidi="ar"/>
              </w:rPr>
              <w:t>Gao 2025</w:t>
            </w:r>
          </w:p>
        </w:tc>
        <w:tc>
          <w:tcPr>
            <w:tcW w:w="1018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8832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C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C00000"/>
                <w:kern w:val="0"/>
                <w:sz w:val="24"/>
                <w:szCs w:val="24"/>
                <w:lang w:val="en-US" w:eastAsia="zh-CN" w:bidi="ar"/>
              </w:rPr>
              <w:t>Longitudinal cohort</w:t>
            </w:r>
          </w:p>
        </w:tc>
        <w:tc>
          <w:tcPr>
            <w:tcW w:w="2819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A72D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C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C00000"/>
                <w:kern w:val="0"/>
                <w:sz w:val="24"/>
                <w:szCs w:val="24"/>
                <w:lang w:val="en-US" w:eastAsia="zh-CN" w:bidi="ar"/>
              </w:rPr>
              <w:t>The journal article was paywalled, and no reply was received after multiple emails to the author; full text was inaccessible.</w:t>
            </w:r>
          </w:p>
        </w:tc>
      </w:tr>
      <w:tr w14:paraId="15E3FD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03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92B8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C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C00000"/>
                <w:kern w:val="0"/>
                <w:sz w:val="24"/>
                <w:szCs w:val="24"/>
                <w:lang w:val="en-US" w:eastAsia="zh-CN" w:bidi="ar"/>
              </w:rPr>
              <w:t>17</w:t>
            </w:r>
          </w:p>
        </w:tc>
        <w:tc>
          <w:tcPr>
            <w:tcW w:w="858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22F6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C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C00000"/>
                <w:kern w:val="0"/>
                <w:sz w:val="24"/>
                <w:szCs w:val="24"/>
                <w:lang w:val="en-US" w:eastAsia="zh-CN" w:bidi="ar"/>
              </w:rPr>
              <w:t>Akagunduz 2025</w:t>
            </w:r>
          </w:p>
        </w:tc>
        <w:tc>
          <w:tcPr>
            <w:tcW w:w="1018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74B3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C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C00000"/>
                <w:kern w:val="0"/>
                <w:sz w:val="24"/>
                <w:szCs w:val="24"/>
                <w:lang w:val="en-US" w:eastAsia="zh-CN" w:bidi="ar"/>
              </w:rPr>
              <w:t>Cross-sectional</w:t>
            </w:r>
          </w:p>
        </w:tc>
        <w:tc>
          <w:tcPr>
            <w:tcW w:w="2819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6A2D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C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C00000"/>
                <w:kern w:val="0"/>
                <w:sz w:val="24"/>
                <w:szCs w:val="24"/>
                <w:lang w:val="en-US" w:eastAsia="zh-CN" w:bidi="ar"/>
              </w:rPr>
              <w:t>The average age of participants was 54 years, failing to reach the ≥60-year-old inclusion threshold for elderly populations.</w:t>
            </w:r>
          </w:p>
        </w:tc>
      </w:tr>
      <w:tr w14:paraId="22B6E7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03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7DD3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C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C00000"/>
                <w:kern w:val="0"/>
                <w:sz w:val="24"/>
                <w:szCs w:val="24"/>
                <w:lang w:val="en-US" w:eastAsia="zh-CN" w:bidi="ar"/>
              </w:rPr>
              <w:t>18</w:t>
            </w:r>
          </w:p>
        </w:tc>
        <w:tc>
          <w:tcPr>
            <w:tcW w:w="858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032C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C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C00000"/>
                <w:kern w:val="0"/>
                <w:sz w:val="24"/>
                <w:szCs w:val="24"/>
                <w:lang w:val="en-US" w:eastAsia="zh-CN" w:bidi="ar"/>
              </w:rPr>
              <w:t>Jiang X 2024</w:t>
            </w:r>
          </w:p>
        </w:tc>
        <w:tc>
          <w:tcPr>
            <w:tcW w:w="1018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50B6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C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C00000"/>
                <w:kern w:val="0"/>
                <w:sz w:val="24"/>
                <w:szCs w:val="24"/>
                <w:lang w:val="en-US" w:eastAsia="zh-CN" w:bidi="ar"/>
              </w:rPr>
              <w:t>Cross-sectional</w:t>
            </w:r>
          </w:p>
        </w:tc>
        <w:tc>
          <w:tcPr>
            <w:tcW w:w="2819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7DE6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C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C00000"/>
                <w:kern w:val="0"/>
                <w:sz w:val="24"/>
                <w:szCs w:val="24"/>
                <w:lang w:val="en-US" w:eastAsia="zh-CN" w:bidi="ar"/>
              </w:rPr>
              <w:t>Frailty was only described qualitatively without standardized quantitative scoring criteria from validated frailty scales.</w:t>
            </w:r>
          </w:p>
        </w:tc>
      </w:tr>
    </w:tbl>
    <w:p w14:paraId="3A639F7C">
      <w:pPr>
        <w:ind w:left="0" w:leftChars="0" w:firstLine="0" w:firstLineChars="0"/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ind w:firstLine="480"/>
      </w:pPr>
      <w:r>
        <w:separator/>
      </w:r>
    </w:p>
  </w:endnote>
  <w:endnote w:type="continuationSeparator" w:id="1">
    <w:p>
      <w:pPr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Bookman Old Style">
    <w:panose1 w:val="02050604050505020204"/>
    <w:charset w:val="00"/>
    <w:family w:val="roman"/>
    <w:pitch w:val="default"/>
    <w:sig w:usb0="00000287" w:usb1="00000000" w:usb2="00000000" w:usb3="00000000" w:csb0="2000009F" w:csb1="DFD7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ind w:firstLine="480"/>
      </w:pPr>
      <w:r>
        <w:separator/>
      </w:r>
    </w:p>
  </w:footnote>
  <w:footnote w:type="continuationSeparator" w:id="1">
    <w:p>
      <w:pPr>
        <w:ind w:firstLine="48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AF2755B"/>
    <w:multiLevelType w:val="multilevel"/>
    <w:tmpl w:val="6AF2755B"/>
    <w:lvl w:ilvl="0" w:tentative="0">
      <w:start w:val="1"/>
      <w:numFmt w:val="decimal"/>
      <w:pStyle w:val="2"/>
      <w:lvlText w:val="%1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1" w:tentative="0">
      <w:start w:val="1"/>
      <w:numFmt w:val="decimal"/>
      <w:lvlText w:val="%1.%2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2" w:tentative="0">
      <w:start w:val="1"/>
      <w:numFmt w:val="decimal"/>
      <w:lvlText w:val="%1.%2.%3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3" w:tentative="0">
      <w:start w:val="1"/>
      <w:numFmt w:val="decimal"/>
      <w:pStyle w:val="5"/>
      <w:lvlText w:val="%1.%2.%3.%4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4" w:tentative="0">
      <w:start w:val="1"/>
      <w:numFmt w:val="decimal"/>
      <w:pStyle w:val="6"/>
      <w:lvlText w:val="%1.%2.%3.%4.%5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5" w:tentative="0">
      <w:start w:val="1"/>
      <w:numFmt w:val="lowerRoman"/>
      <w:lvlText w:val="%6."/>
      <w:lvlJc w:val="right"/>
      <w:pPr>
        <w:tabs>
          <w:tab w:val="left" w:pos="567"/>
        </w:tabs>
        <w:ind w:left="567" w:hanging="567"/>
      </w:pPr>
      <w:rPr>
        <w:rFonts w:hint="default"/>
      </w:rPr>
    </w:lvl>
    <w:lvl w:ilvl="6" w:tentative="0">
      <w:start w:val="1"/>
      <w:numFmt w:val="decimal"/>
      <w:lvlText w:val="%7.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7" w:tentative="0">
      <w:start w:val="1"/>
      <w:numFmt w:val="lowerLetter"/>
      <w:lvlText w:val="%8.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8" w:tentative="0">
      <w:start w:val="1"/>
      <w:numFmt w:val="lowerRoman"/>
      <w:lvlText w:val="%9."/>
      <w:lvlJc w:val="right"/>
      <w:pPr>
        <w:tabs>
          <w:tab w:val="left" w:pos="567"/>
        </w:tabs>
        <w:ind w:left="567" w:hanging="567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B482E9D"/>
    <w:rsid w:val="01AC2058"/>
    <w:rsid w:val="04670900"/>
    <w:rsid w:val="04C1184C"/>
    <w:rsid w:val="0589518C"/>
    <w:rsid w:val="06B96B61"/>
    <w:rsid w:val="0AAD2B05"/>
    <w:rsid w:val="11A014DC"/>
    <w:rsid w:val="11C12863"/>
    <w:rsid w:val="136C1717"/>
    <w:rsid w:val="140C3AE5"/>
    <w:rsid w:val="1455574D"/>
    <w:rsid w:val="15596113"/>
    <w:rsid w:val="164D7999"/>
    <w:rsid w:val="19003602"/>
    <w:rsid w:val="19977704"/>
    <w:rsid w:val="19D26B91"/>
    <w:rsid w:val="1B482E9D"/>
    <w:rsid w:val="1CA93793"/>
    <w:rsid w:val="20194559"/>
    <w:rsid w:val="2431523C"/>
    <w:rsid w:val="26270D53"/>
    <w:rsid w:val="27F94070"/>
    <w:rsid w:val="2A397878"/>
    <w:rsid w:val="2A44028C"/>
    <w:rsid w:val="2AF059EC"/>
    <w:rsid w:val="2B810F98"/>
    <w:rsid w:val="2C5903DA"/>
    <w:rsid w:val="2F7C4C68"/>
    <w:rsid w:val="30307E79"/>
    <w:rsid w:val="314805C3"/>
    <w:rsid w:val="31CC1204"/>
    <w:rsid w:val="31F37910"/>
    <w:rsid w:val="339D02F8"/>
    <w:rsid w:val="3497601E"/>
    <w:rsid w:val="3A3A1250"/>
    <w:rsid w:val="3F5261E8"/>
    <w:rsid w:val="426D547F"/>
    <w:rsid w:val="429E1F1F"/>
    <w:rsid w:val="43591FD5"/>
    <w:rsid w:val="45385048"/>
    <w:rsid w:val="456B5DE3"/>
    <w:rsid w:val="46726C45"/>
    <w:rsid w:val="477F5670"/>
    <w:rsid w:val="47EB0D8B"/>
    <w:rsid w:val="4B0E73A1"/>
    <w:rsid w:val="4D7757D0"/>
    <w:rsid w:val="4E112814"/>
    <w:rsid w:val="4F2135CD"/>
    <w:rsid w:val="5184744F"/>
    <w:rsid w:val="51E47D0F"/>
    <w:rsid w:val="5AE30D29"/>
    <w:rsid w:val="5AF24F69"/>
    <w:rsid w:val="5D004C13"/>
    <w:rsid w:val="64CF3B05"/>
    <w:rsid w:val="6598505D"/>
    <w:rsid w:val="65DE2BA7"/>
    <w:rsid w:val="67EE7592"/>
    <w:rsid w:val="682F18F1"/>
    <w:rsid w:val="685C0279"/>
    <w:rsid w:val="69A97A1E"/>
    <w:rsid w:val="6B806497"/>
    <w:rsid w:val="6C01000B"/>
    <w:rsid w:val="6C447B47"/>
    <w:rsid w:val="6F596114"/>
    <w:rsid w:val="777368EB"/>
    <w:rsid w:val="78D04EDC"/>
    <w:rsid w:val="794C1663"/>
    <w:rsid w:val="7D2E7F9F"/>
    <w:rsid w:val="7E1D2847"/>
    <w:rsid w:val="7E7E0F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ind w:firstLine="200" w:firstLineChars="200"/>
    </w:pPr>
    <w:rPr>
      <w:rFonts w:ascii="Times New Roman" w:hAnsi="Times New Roman" w:eastAsia="宋体" w:cstheme="minorBidi"/>
      <w:kern w:val="2"/>
      <w:sz w:val="24"/>
      <w:szCs w:val="22"/>
      <w:lang w:val="en-US" w:eastAsia="zh-CN" w:bidi="ar-SA"/>
    </w:rPr>
  </w:style>
  <w:style w:type="paragraph" w:styleId="2">
    <w:name w:val="heading 1"/>
    <w:basedOn w:val="1"/>
    <w:next w:val="1"/>
    <w:link w:val="17"/>
    <w:qFormat/>
    <w:uiPriority w:val="0"/>
    <w:pPr>
      <w:numPr>
        <w:ilvl w:val="0"/>
        <w:numId w:val="1"/>
      </w:numPr>
      <w:spacing w:before="240"/>
      <w:ind w:firstLineChars="0"/>
      <w:contextualSpacing w:val="0"/>
      <w:outlineLvl w:val="0"/>
    </w:pPr>
    <w:rPr>
      <w:rFonts w:eastAsia="Cambria" w:cs="Times New Roman"/>
      <w:b/>
      <w:szCs w:val="24"/>
      <w:lang w:eastAsia="en-US"/>
    </w:rPr>
  </w:style>
  <w:style w:type="paragraph" w:styleId="3">
    <w:name w:val="heading 2"/>
    <w:basedOn w:val="1"/>
    <w:next w:val="1"/>
    <w:link w:val="13"/>
    <w:semiHidden/>
    <w:unhideWhenUsed/>
    <w:qFormat/>
    <w:uiPriority w:val="0"/>
    <w:pPr>
      <w:spacing w:before="0" w:beforeAutospacing="1" w:after="0" w:afterAutospacing="1"/>
      <w:ind w:left="241" w:hanging="241" w:hangingChars="100"/>
      <w:jc w:val="left"/>
      <w:outlineLvl w:val="1"/>
    </w:pPr>
    <w:rPr>
      <w:rFonts w:ascii="Cambria" w:hAnsi="Cambria" w:cs="宋体"/>
      <w:b/>
      <w:bCs/>
      <w:color w:val="000000" w:themeColor="text1"/>
      <w:kern w:val="0"/>
      <w:szCs w:val="36"/>
      <w:lang w:bidi="ar"/>
      <w14:textFill>
        <w14:solidFill>
          <w14:schemeClr w14:val="tx1"/>
        </w14:solidFill>
      </w14:textFill>
    </w:rPr>
  </w:style>
  <w:style w:type="paragraph" w:styleId="4">
    <w:name w:val="heading 3"/>
    <w:basedOn w:val="1"/>
    <w:next w:val="1"/>
    <w:link w:val="14"/>
    <w:semiHidden/>
    <w:unhideWhenUsed/>
    <w:qFormat/>
    <w:uiPriority w:val="0"/>
    <w:pPr>
      <w:spacing w:before="0" w:beforeAutospacing="1" w:after="0" w:afterAutospacing="1"/>
      <w:ind w:left="0" w:hanging="241" w:hangingChars="100"/>
      <w:jc w:val="left"/>
      <w:outlineLvl w:val="2"/>
    </w:pPr>
    <w:rPr>
      <w:rFonts w:hint="default" w:ascii="Cambria" w:hAnsi="Cambria" w:cs="宋体" w:eastAsiaTheme="majorEastAsia"/>
      <w:b/>
      <w:bCs/>
      <w:color w:val="000000" w:themeColor="text1"/>
      <w:kern w:val="0"/>
      <w:sz w:val="24"/>
      <w:szCs w:val="27"/>
      <w:lang w:bidi="ar"/>
      <w14:textFill>
        <w14:solidFill>
          <w14:schemeClr w14:val="tx1"/>
        </w14:solidFill>
      </w14:textFill>
    </w:rPr>
  </w:style>
  <w:style w:type="paragraph" w:styleId="5">
    <w:name w:val="heading 4"/>
    <w:basedOn w:val="1"/>
    <w:next w:val="1"/>
    <w:semiHidden/>
    <w:unhideWhenUsed/>
    <w:qFormat/>
    <w:uiPriority w:val="0"/>
    <w:pPr>
      <w:keepNext/>
      <w:keepLines/>
      <w:numPr>
        <w:ilvl w:val="3"/>
        <w:numId w:val="1"/>
      </w:numPr>
      <w:spacing w:before="280" w:beforeLines="0" w:beforeAutospacing="0" w:after="290" w:afterLines="0" w:afterAutospacing="0" w:line="372" w:lineRule="auto"/>
      <w:ind w:left="567" w:hanging="567" w:firstLineChars="0"/>
      <w:outlineLvl w:val="3"/>
    </w:pPr>
    <w:rPr>
      <w:rFonts w:ascii="Arial" w:hAnsi="Arial" w:eastAsia="黑体"/>
      <w:b/>
      <w:sz w:val="28"/>
    </w:rPr>
  </w:style>
  <w:style w:type="paragraph" w:styleId="6">
    <w:name w:val="heading 5"/>
    <w:basedOn w:val="1"/>
    <w:next w:val="1"/>
    <w:semiHidden/>
    <w:unhideWhenUsed/>
    <w:qFormat/>
    <w:uiPriority w:val="0"/>
    <w:pPr>
      <w:keepNext/>
      <w:keepLines/>
      <w:numPr>
        <w:ilvl w:val="4"/>
        <w:numId w:val="1"/>
      </w:numPr>
      <w:spacing w:before="280" w:beforeLines="0" w:beforeAutospacing="0" w:after="290" w:afterLines="0" w:afterAutospacing="0" w:line="372" w:lineRule="auto"/>
      <w:ind w:left="567" w:hanging="567" w:firstLineChars="0"/>
      <w:outlineLvl w:val="4"/>
    </w:pPr>
    <w:rPr>
      <w:b/>
      <w:sz w:val="28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Body Text"/>
    <w:basedOn w:val="1"/>
    <w:qFormat/>
    <w:uiPriority w:val="0"/>
    <w:rPr>
      <w:sz w:val="24"/>
      <w:szCs w:val="24"/>
    </w:rPr>
  </w:style>
  <w:style w:type="paragraph" w:styleId="8">
    <w:name w:val="toc 3"/>
    <w:basedOn w:val="1"/>
    <w:next w:val="1"/>
    <w:qFormat/>
    <w:uiPriority w:val="0"/>
    <w:pPr>
      <w:spacing w:line="312" w:lineRule="auto"/>
      <w:ind w:left="840" w:leftChars="400"/>
    </w:pPr>
    <w:rPr>
      <w:rFonts w:ascii="Times New Roman" w:hAnsi="Times New Roman" w:eastAsia="宋体"/>
      <w:sz w:val="24"/>
    </w:rPr>
  </w:style>
  <w:style w:type="paragraph" w:styleId="9">
    <w:name w:val="toc 1"/>
    <w:basedOn w:val="1"/>
    <w:next w:val="1"/>
    <w:link w:val="15"/>
    <w:qFormat/>
    <w:uiPriority w:val="0"/>
    <w:pPr>
      <w:spacing w:line="480" w:lineRule="auto"/>
      <w:jc w:val="left"/>
    </w:pPr>
    <w:rPr>
      <w:rFonts w:ascii="Times New Roman" w:hAnsi="Times New Roman" w:eastAsia="黑体"/>
      <w:sz w:val="30"/>
      <w:szCs w:val="24"/>
    </w:rPr>
  </w:style>
  <w:style w:type="paragraph" w:styleId="10">
    <w:name w:val="toc 2"/>
    <w:basedOn w:val="1"/>
    <w:next w:val="1"/>
    <w:link w:val="16"/>
    <w:qFormat/>
    <w:uiPriority w:val="0"/>
    <w:pPr>
      <w:spacing w:line="360" w:lineRule="auto"/>
      <w:ind w:left="420" w:leftChars="200"/>
    </w:pPr>
    <w:rPr>
      <w:rFonts w:ascii="Times New Roman" w:hAnsi="Times New Roman"/>
      <w:b/>
      <w:sz w:val="28"/>
      <w:szCs w:val="24"/>
    </w:rPr>
  </w:style>
  <w:style w:type="character" w:customStyle="1" w:styleId="13">
    <w:name w:val="标题 2 Char"/>
    <w:link w:val="3"/>
    <w:qFormat/>
    <w:uiPriority w:val="0"/>
    <w:rPr>
      <w:rFonts w:hint="default" w:ascii="Cambria" w:hAnsi="Cambria" w:eastAsia="宋体" w:cs="Times New Roman"/>
      <w:b/>
      <w:sz w:val="24"/>
      <w:szCs w:val="22"/>
    </w:rPr>
  </w:style>
  <w:style w:type="character" w:customStyle="1" w:styleId="14">
    <w:name w:val="标题 3 Char"/>
    <w:link w:val="4"/>
    <w:qFormat/>
    <w:uiPriority w:val="0"/>
    <w:rPr>
      <w:rFonts w:hint="default" w:ascii="Cambria" w:hAnsi="Cambria" w:cs="Bookman Old Style" w:eastAsiaTheme="majorEastAsia"/>
      <w:b/>
      <w:sz w:val="24"/>
      <w:szCs w:val="22"/>
    </w:rPr>
  </w:style>
  <w:style w:type="character" w:customStyle="1" w:styleId="15">
    <w:name w:val="目录 1 Char"/>
    <w:link w:val="9"/>
    <w:qFormat/>
    <w:uiPriority w:val="0"/>
    <w:rPr>
      <w:rFonts w:ascii="Times New Roman" w:hAnsi="Times New Roman" w:eastAsia="黑体"/>
      <w:sz w:val="30"/>
      <w:szCs w:val="24"/>
    </w:rPr>
  </w:style>
  <w:style w:type="character" w:customStyle="1" w:styleId="16">
    <w:name w:val="目录 2 Char"/>
    <w:link w:val="10"/>
    <w:qFormat/>
    <w:uiPriority w:val="0"/>
    <w:rPr>
      <w:rFonts w:ascii="Times New Roman" w:hAnsi="Times New Roman" w:eastAsia="宋体"/>
      <w:b/>
      <w:sz w:val="28"/>
      <w:szCs w:val="24"/>
    </w:rPr>
  </w:style>
  <w:style w:type="character" w:customStyle="1" w:styleId="17">
    <w:name w:val="标题 1 字符"/>
    <w:basedOn w:val="12"/>
    <w:link w:val="2"/>
    <w:qFormat/>
    <w:uiPriority w:val="9"/>
    <w:rPr>
      <w:rFonts w:ascii="Times New Roman" w:hAnsi="Times New Roman" w:eastAsia="Cambria" w:cs="Times New Roman"/>
      <w:b/>
      <w:color w:val="000000" w:themeColor="text1"/>
      <w:sz w:val="24"/>
      <w:szCs w:val="24"/>
      <w:lang w:eastAsia="en-US"/>
      <w14:textFill>
        <w14:solidFill>
          <w14:schemeClr w14:val="tx1"/>
        </w14:solidFill>
      </w14:textFill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2026-08-10T13:49:00Z</dcterms:created>
  <dc:creator>蓝胖子</dc:creator>
  <cp:lastModifiedBy>蓝胖子</cp:lastModifiedBy>
  <dcterms:modified xsi:type="dcterms:W3CDTF">2026-08-10T13:49:52Z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F5A3AE319684421099EFB787795D2B32_11</vt:lpwstr>
  </property>
  <property fmtid="{D5CDD505-2E9C-101B-9397-08002B2CF9AE}" pid="4" name="KSOTemplateDocerSaveRecord">
    <vt:lpwstr>eyJoZGlkIjoiYTFmNjliNjFjOGZhYzM0ODMwYTU0MGYxZDhmZmJkZjYiLCJ1c2VySWQiOiI0MjM2Njk5NTkifQ==</vt:lpwstr>
  </property>
</Properties>
</file>