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EA48D">
      <w:pPr>
        <w:spacing w:line="240" w:lineRule="auto"/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Supplementary Table 1. Baseline characteristics of participants based on CSHFpEF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. </w:t>
      </w:r>
    </w:p>
    <w:tbl>
      <w:tblPr>
        <w:tblStyle w:val="3"/>
        <w:tblpPr w:leftFromText="180" w:rightFromText="180" w:vertAnchor="text" w:horzAnchor="page" w:tblpX="715" w:tblpY="348"/>
        <w:tblOverlap w:val="never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1"/>
        <w:gridCol w:w="1944"/>
        <w:gridCol w:w="1944"/>
        <w:gridCol w:w="1945"/>
        <w:gridCol w:w="1054"/>
      </w:tblGrid>
      <w:tr w14:paraId="7C9EA4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bottom w:val="single" w:color="auto" w:sz="4" w:space="0"/>
            </w:tcBorders>
            <w:noWrap/>
            <w:vAlign w:val="center"/>
          </w:tcPr>
          <w:p w14:paraId="7C9EA48E">
            <w:pPr>
              <w:spacing w:line="240" w:lineRule="auto"/>
              <w:ind w:firstLine="360" w:firstLineChars="200"/>
              <w:rPr>
                <w:rFonts w:ascii="Times New Roman" w:hAnsi="Times New Roman" w:eastAsia="URWPalladioL-Bold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pct"/>
            <w:tcBorders>
              <w:bottom w:val="single" w:color="auto" w:sz="4" w:space="0"/>
            </w:tcBorders>
            <w:noWrap/>
            <w:vAlign w:val="center"/>
          </w:tcPr>
          <w:p w14:paraId="7C9EA48F">
            <w:pPr>
              <w:spacing w:line="240" w:lineRule="auto"/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  <w:t>Total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344</w:t>
            </w:r>
            <w:r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10" w:type="pct"/>
            <w:tcBorders>
              <w:bottom w:val="single" w:color="auto" w:sz="4" w:space="0"/>
            </w:tcBorders>
            <w:noWrap/>
            <w:vAlign w:val="center"/>
          </w:tcPr>
          <w:p w14:paraId="7C9EA490">
            <w:pPr>
              <w:spacing w:line="240" w:lineRule="auto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Non-HF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176</w:t>
            </w:r>
            <w:r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10" w:type="pct"/>
            <w:tcBorders>
              <w:bottom w:val="single" w:color="auto" w:sz="4" w:space="0"/>
            </w:tcBorders>
            <w:noWrap/>
            <w:vAlign w:val="center"/>
          </w:tcPr>
          <w:p w14:paraId="7C9EA491">
            <w:pPr>
              <w:spacing w:line="240" w:lineRule="auto"/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 xml:space="preserve">CSHFpEF </w:t>
            </w:r>
            <w:r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168</w:t>
            </w:r>
            <w:r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93" w:type="pct"/>
            <w:tcBorders>
              <w:bottom w:val="single" w:color="auto" w:sz="4" w:space="0"/>
            </w:tcBorders>
            <w:noWrap/>
            <w:vAlign w:val="center"/>
          </w:tcPr>
          <w:p w14:paraId="7C9EA492">
            <w:pPr>
              <w:spacing w:line="240" w:lineRule="auto"/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URWPalladioL-Bold" w:cs="Times New Roman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14:paraId="7C9EA4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7C9EA494">
            <w:pPr>
              <w:spacing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Gender, n (%)</w:t>
            </w:r>
          </w:p>
        </w:tc>
        <w:tc>
          <w:tcPr>
            <w:tcW w:w="910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7C9EA495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7C9EA496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7C9EA497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93" w:type="pct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7C9EA498">
            <w:pPr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0.799</w:t>
            </w:r>
          </w:p>
        </w:tc>
      </w:tr>
      <w:tr w14:paraId="7C9EA4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9A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9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201 (58.4)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9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104 (59.1)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9D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97 (57.7)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9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A0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1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143 (41.6)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2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72 (40.9)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3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71 (42.3)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A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A6">
            <w:pPr>
              <w:spacing w:line="24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Age, year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, mean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7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74.4 ± 8.2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72.6 ± 8.1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9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76.3 ± 8.0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A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 0.001</w:t>
            </w:r>
          </w:p>
        </w:tc>
      </w:tr>
      <w:tr w14:paraId="7C9EA4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AC">
            <w:pPr>
              <w:spacing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Marital, n (%)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D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E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AF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B0">
            <w:pPr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0.815</w:t>
            </w:r>
          </w:p>
        </w:tc>
      </w:tr>
      <w:tr w14:paraId="7C9EA4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B2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B3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90 (26.2)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B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47 (26.7)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B5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43 (25.6)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B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B8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B9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254 (73.8)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B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129 (73.3)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B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125 (74.4)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B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BE">
            <w:pPr>
              <w:spacing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Smoking status, n (%)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BF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C0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C1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C2">
            <w:pPr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0.21</w:t>
            </w:r>
          </w:p>
        </w:tc>
      </w:tr>
      <w:tr w14:paraId="7C9EA4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C4">
            <w:pPr>
              <w:spacing w:line="240" w:lineRule="atLeas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 xml:space="preserve">  Never smoked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C5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269 (78.2)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C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139 (79)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C7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130 (77.4)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C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CA">
            <w:pPr>
              <w:spacing w:line="240" w:lineRule="atLeast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Former smoker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C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40 (11.6)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C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16 (9.1)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CD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24 (14.3)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C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D0">
            <w:pPr>
              <w:spacing w:line="240" w:lineRule="atLeast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Current smoker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1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35 (10.2)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2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(11.9)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3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14 (8.3)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D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D6">
            <w:pPr>
              <w:spacing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Alcohol consumption, n (%)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7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8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9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DA">
            <w:pPr>
              <w:jc w:val="righ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0.543</w:t>
            </w:r>
          </w:p>
        </w:tc>
      </w:tr>
      <w:tr w14:paraId="7C9EA4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DC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Never or rarely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D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295 (85.8)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(87.5)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DF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141 (83.9)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E0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E2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Less than once a month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E3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20 ( 5.8)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E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8 (4.5)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E5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12 (7.1)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E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E8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More than once a month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E9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29 ( 8.4)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E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14 (8)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E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 (8.9)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E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14:paraId="7C9EA4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EE">
            <w:pPr>
              <w:spacing w:line="24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Chronic disease status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EF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F0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F1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F2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4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F4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Hypertension, n (%)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F5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236 (68.6)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F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95 (54)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F7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141 (83.9)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F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 0.001</w:t>
            </w:r>
          </w:p>
        </w:tc>
      </w:tr>
      <w:tr w14:paraId="7C9EA4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4FA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Diabetes, n (%)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F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130 (37.8)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F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60 (34.1)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4FD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70 (41.7)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4F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0.147</w:t>
            </w:r>
          </w:p>
        </w:tc>
      </w:tr>
      <w:tr w14:paraId="7C9EA5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00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oronary heart disease, n (%)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1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93 (27.0)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2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16 (9.1)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3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77 (45.8)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0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 0.001</w:t>
            </w:r>
          </w:p>
        </w:tc>
      </w:tr>
      <w:tr w14:paraId="7C9EA5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06">
            <w:pPr>
              <w:spacing w:line="240" w:lineRule="auto"/>
              <w:ind w:firstLine="18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uricular fibrillation, n (%)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7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6 ( 1.7)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 (0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.0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9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6 (3.6)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0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0.013</w:t>
            </w:r>
          </w:p>
        </w:tc>
      </w:tr>
      <w:tr w14:paraId="7C9EA5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0C">
            <w:pPr>
              <w:spacing w:line="240" w:lineRule="auto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Biomarkers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D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E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0F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10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5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12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 xml:space="preserve">lbumin,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g/L, mean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13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43.9 ± 3.6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1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43.9 ± 3.7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15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43.9 ± 3.5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1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0.872</w:t>
            </w:r>
          </w:p>
        </w:tc>
      </w:tr>
      <w:tr w14:paraId="7C9EA5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1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eGFR</w:t>
            </w:r>
            <w:r>
              <w:rPr>
                <w:rFonts w:ascii="Times New Roman" w:hAnsi="Times New Roman" w:eastAsia="URWPalladioL-Bold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 xml:space="preserve"> mL/(min×1.73m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)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, mean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19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81.3 ± 22.5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1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85.8 ± 20.2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1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77.6 ± 23.7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1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0.002</w:t>
            </w:r>
          </w:p>
        </w:tc>
      </w:tr>
      <w:tr w14:paraId="7C9EA5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1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NT-proBNP, pg/ml, Median (IQR)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1F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138.2 (63.4, 264.2)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20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136.0 (53.2, 246.6)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21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147.3 (74.3, 295.5)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22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0.068</w:t>
            </w:r>
          </w:p>
        </w:tc>
      </w:tr>
      <w:tr w14:paraId="7C9EA5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2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ln(NT-proBNP), mean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25">
            <w:pPr>
              <w:spacing w:line="240" w:lineRule="auto"/>
              <w:ind w:firstLine="180" w:firstLineChars="100"/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  <w:lang w:eastAsia="zh-CN"/>
              </w:rPr>
              <w:t>4.8 ± 1.1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26">
            <w:pPr>
              <w:spacing w:line="240" w:lineRule="auto"/>
              <w:ind w:firstLine="180" w:firstLineChars="100"/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  <w:lang w:eastAsia="zh-CN"/>
              </w:rPr>
              <w:t>4.7 ± 1.2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27">
            <w:pPr>
              <w:spacing w:line="240" w:lineRule="auto"/>
              <w:ind w:firstLine="180" w:firstLineChars="100"/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  <w:lang w:eastAsia="zh-CN"/>
              </w:rPr>
              <w:t>5.0 ± 1.0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28">
            <w:pPr>
              <w:spacing w:line="240" w:lineRule="auto"/>
              <w:ind w:firstLine="180" w:firstLineChars="100"/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  <w:lang w:eastAsia="zh-CN"/>
              </w:rPr>
              <w:t>0.029</w:t>
            </w:r>
          </w:p>
        </w:tc>
      </w:tr>
      <w:tr w14:paraId="7C9EA5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2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BMI, kg/m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vertAlign w:val="superscript"/>
                <w:lang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, mean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2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23.9 ± 3.8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2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23.3 ± 3.8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2D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24.6 ± 3.7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2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0.001</w:t>
            </w:r>
          </w:p>
        </w:tc>
      </w:tr>
      <w:tr w14:paraId="7C9EA5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30">
            <w:pPr>
              <w:spacing w:line="240" w:lineRule="auto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BIA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1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2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3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34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5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3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ECW,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L,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7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12.4 ± 2.2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12.3 ± 2.3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9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12.6 ± 2.2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3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0.11</w:t>
            </w:r>
          </w:p>
        </w:tc>
      </w:tr>
      <w:tr w14:paraId="7C9EA5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3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TBW,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L,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D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31.6 ± 5.7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31.2 ± 5.8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3F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32.1 ± 5.6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40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0.172</w:t>
            </w:r>
          </w:p>
        </w:tc>
      </w:tr>
      <w:tr w14:paraId="7C9EA5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42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ICW,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L,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43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19.2 ± 3.5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4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19.0 ± 3.6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45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19.4 ± 3.5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4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0.227</w:t>
            </w:r>
          </w:p>
        </w:tc>
      </w:tr>
      <w:tr w14:paraId="7C9EA5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4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of whole body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%,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49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39.3 ± 0.9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4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39.3 ± 0.9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4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39.4 ± 0.9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4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0.062</w:t>
            </w:r>
          </w:p>
        </w:tc>
      </w:tr>
      <w:tr w14:paraId="7C9EA5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4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runk,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%,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4F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39.4 ± 0.9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50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39.3 ± 0.9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51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39.5 ± 0.9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52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0.077</w:t>
            </w:r>
          </w:p>
        </w:tc>
      </w:tr>
      <w:tr w14:paraId="7C9EA5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5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%,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55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39.6 ± 1.0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5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39.5 ± 1.0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57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39.7 ± 1.0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5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0.044</w:t>
            </w:r>
          </w:p>
        </w:tc>
      </w:tr>
      <w:tr w14:paraId="7C9EA5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5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w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hole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ody, 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5B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4.4 ± 0.7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5C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4.5 ± 0.7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5D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4.4 ± 0.7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5E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0.121</w:t>
            </w:r>
          </w:p>
        </w:tc>
      </w:tr>
      <w:tr w14:paraId="7C9EA5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60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runk, 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61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8.5 ± 1.3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62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8.5 ± 1.3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63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8.6 ± 1.4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64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0.605</w:t>
            </w:r>
          </w:p>
        </w:tc>
      </w:tr>
      <w:tr w14:paraId="7C9EA5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pct"/>
            <w:tcBorders>
              <w:tl2br w:val="nil"/>
              <w:tr2bl w:val="nil"/>
            </w:tcBorders>
            <w:noWrap/>
            <w:vAlign w:val="center"/>
          </w:tcPr>
          <w:p w14:paraId="7C9EA566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PA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, Mean ± SD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67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4.1 ± 0.8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68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4.2 ± 0.8</w:t>
            </w:r>
          </w:p>
        </w:tc>
        <w:tc>
          <w:tcPr>
            <w:tcW w:w="910" w:type="pct"/>
            <w:tcBorders>
              <w:tl2br w:val="nil"/>
              <w:tr2bl w:val="nil"/>
            </w:tcBorders>
            <w:noWrap/>
            <w:vAlign w:val="center"/>
          </w:tcPr>
          <w:p w14:paraId="7C9EA569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4.0 ± 0.8</w:t>
            </w:r>
          </w:p>
        </w:tc>
        <w:tc>
          <w:tcPr>
            <w:tcW w:w="493" w:type="pct"/>
            <w:tcBorders>
              <w:tl2br w:val="nil"/>
              <w:tr2bl w:val="nil"/>
            </w:tcBorders>
            <w:noWrap/>
            <w:vAlign w:val="center"/>
          </w:tcPr>
          <w:p w14:paraId="7C9EA56A">
            <w:pPr>
              <w:spacing w:line="240" w:lineRule="auto"/>
              <w:ind w:firstLine="180" w:firstLineChars="100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0.073</w:t>
            </w:r>
          </w:p>
        </w:tc>
      </w:tr>
    </w:tbl>
    <w:p w14:paraId="7C9EA56C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URWPalladioL-Bold" w:cs="Times New Roman"/>
          <w:color w:val="000000"/>
          <w:sz w:val="21"/>
          <w:szCs w:val="21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SD, standard deviation; HF, heart failure; CSHFpEF, Chronic stable heart failure with preserved ejection fraction; eGFR, estimated glomerular filtration rate; NT-proBNP, N-terminal B-type natriuretic peptide; BMI, body mass index; BIA, bioelectrical impedance analysis; ECW, extracellular water; TBW, total body water, ICW, intracellular water; PA, phase angle.</w:t>
      </w:r>
    </w:p>
    <w:p w14:paraId="7C9EA56D">
      <w:pPr>
        <w:rPr>
          <w:rFonts w:eastAsia="宋体"/>
        </w:rPr>
      </w:pPr>
    </w:p>
    <w:p w14:paraId="7C9EA56E">
      <w:pPr>
        <w:spacing w:line="240" w:lineRule="auto"/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Supplementary 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2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Results of the breakpoint analysis.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936"/>
        <w:gridCol w:w="1798"/>
        <w:gridCol w:w="669"/>
        <w:gridCol w:w="224"/>
        <w:gridCol w:w="1608"/>
        <w:gridCol w:w="936"/>
        <w:gridCol w:w="1798"/>
        <w:gridCol w:w="670"/>
      </w:tblGrid>
      <w:tr w14:paraId="7C9EA5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4" w:type="pct"/>
            <w:tcBorders>
              <w:tl2br w:val="nil"/>
              <w:tr2bl w:val="nil"/>
            </w:tcBorders>
            <w:noWrap/>
            <w:vAlign w:val="center"/>
          </w:tcPr>
          <w:p w14:paraId="7C9EA56F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438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7C9EA570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ADHFpEF</w:t>
            </w:r>
          </w:p>
        </w:tc>
        <w:tc>
          <w:tcPr>
            <w:tcW w:w="841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7C9EA571">
            <w:pPr>
              <w:tabs>
                <w:tab w:val="center" w:pos="1056"/>
              </w:tabs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313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7C9EA572">
            <w:pPr>
              <w:tabs>
                <w:tab w:val="center" w:pos="1056"/>
              </w:tabs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05" w:type="pct"/>
            <w:tcBorders>
              <w:tl2br w:val="nil"/>
              <w:tr2bl w:val="nil"/>
            </w:tcBorders>
            <w:noWrap/>
            <w:vAlign w:val="center"/>
          </w:tcPr>
          <w:p w14:paraId="7C9EA573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2" w:type="pct"/>
            <w:tcBorders>
              <w:bottom w:val="nil"/>
              <w:tl2br w:val="nil"/>
              <w:tr2bl w:val="nil"/>
            </w:tcBorders>
            <w:noWrap/>
            <w:vAlign w:val="center"/>
          </w:tcPr>
          <w:p w14:paraId="7C9EA574">
            <w:pPr>
              <w:textAlignment w:val="center"/>
              <w:rPr>
                <w:rFonts w:ascii="Times New Roman" w:hAnsi="Times New Roman" w:eastAsia="URWPalladioL-Ital" w:cs="Times New Roman"/>
                <w:color w:val="000000"/>
                <w:sz w:val="16"/>
                <w:szCs w:val="16"/>
              </w:rPr>
            </w:pPr>
          </w:p>
        </w:tc>
        <w:tc>
          <w:tcPr>
            <w:tcW w:w="438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7C9EA575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ADHFpEF</w:t>
            </w:r>
          </w:p>
        </w:tc>
        <w:tc>
          <w:tcPr>
            <w:tcW w:w="841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7C9EA576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313" w:type="pct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7C9EA577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</w:tr>
      <w:tr w14:paraId="7C9EA5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4" w:type="pct"/>
            <w:tcBorders>
              <w:bottom w:val="single" w:color="auto" w:sz="12" w:space="0"/>
              <w:tl2br w:val="nil"/>
              <w:tr2bl w:val="nil"/>
            </w:tcBorders>
            <w:noWrap/>
            <w:vAlign w:val="center"/>
          </w:tcPr>
          <w:p w14:paraId="7C9EA579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438" w:type="pct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14:paraId="7C9EA57A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841" w:type="pct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14:paraId="7C9EA57B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 xml:space="preserve">breakpoint. </w:t>
            </w:r>
            <w:r>
              <w:rPr>
                <w:rFonts w:ascii="Times New Roman" w:hAnsi="Times New Roman" w:eastAsia="URWPalladioL-Ital" w:cs="Times New Roman"/>
                <w:color w:val="000000"/>
                <w:sz w:val="16"/>
                <w:szCs w:val="16"/>
              </w:rPr>
              <w:t>β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 xml:space="preserve"> (95%CI)</w:t>
            </w:r>
          </w:p>
        </w:tc>
        <w:tc>
          <w:tcPr>
            <w:tcW w:w="313" w:type="pct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14:paraId="7C9EA57C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105" w:type="pct"/>
            <w:tcBorders>
              <w:tl2br w:val="nil"/>
              <w:tr2bl w:val="nil"/>
            </w:tcBorders>
            <w:noWrap/>
            <w:vAlign w:val="center"/>
          </w:tcPr>
          <w:p w14:paraId="7C9EA57D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2" w:type="pct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7C9EA57E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438" w:type="pct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14:paraId="7C9EA57F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841" w:type="pct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14:paraId="7C9EA580">
            <w:pPr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 xml:space="preserve">breakpoint. </w:t>
            </w:r>
            <w:r>
              <w:rPr>
                <w:rFonts w:ascii="Times New Roman" w:hAnsi="Times New Roman" w:eastAsia="URWPalladioL-Ital" w:cs="Times New Roman"/>
                <w:color w:val="000000"/>
                <w:sz w:val="16"/>
                <w:szCs w:val="16"/>
              </w:rPr>
              <w:t>β</w:t>
            </w: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 xml:space="preserve"> (95%CI)</w:t>
            </w:r>
          </w:p>
        </w:tc>
        <w:tc>
          <w:tcPr>
            <w:tcW w:w="313" w:type="pct"/>
            <w:tcBorders>
              <w:top w:val="single" w:color="auto" w:sz="4" w:space="0"/>
              <w:bottom w:val="single" w:color="auto" w:sz="12" w:space="0"/>
            </w:tcBorders>
            <w:noWrap/>
            <w:vAlign w:val="center"/>
          </w:tcPr>
          <w:p w14:paraId="7C9EA581">
            <w:pPr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P</w:t>
            </w:r>
          </w:p>
        </w:tc>
      </w:tr>
      <w:tr w14:paraId="7C9EA5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4" w:type="pct"/>
            <w:tcBorders>
              <w:top w:val="single" w:color="auto" w:sz="12" w:space="0"/>
              <w:tl2br w:val="nil"/>
              <w:tr2bl w:val="nil"/>
            </w:tcBorders>
            <w:noWrap/>
            <w:vAlign w:val="center"/>
          </w:tcPr>
          <w:p w14:paraId="7C9EA583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ECW/TBW of Whole Body</w:t>
            </w:r>
          </w:p>
        </w:tc>
        <w:tc>
          <w:tcPr>
            <w:tcW w:w="936" w:type="dxa"/>
            <w:tcBorders>
              <w:top w:val="single" w:color="auto" w:sz="12" w:space="0"/>
              <w:tl2br w:val="nil"/>
              <w:tr2bl w:val="nil"/>
            </w:tcBorders>
            <w:noWrap/>
            <w:vAlign w:val="center"/>
          </w:tcPr>
          <w:p w14:paraId="7C9EA584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370</w:t>
            </w:r>
          </w:p>
        </w:tc>
        <w:tc>
          <w:tcPr>
            <w:tcW w:w="1798" w:type="dxa"/>
            <w:tcBorders>
              <w:top w:val="single" w:color="auto" w:sz="12" w:space="0"/>
              <w:tl2br w:val="nil"/>
              <w:tr2bl w:val="nil"/>
            </w:tcBorders>
            <w:noWrap/>
            <w:vAlign w:val="center"/>
          </w:tcPr>
          <w:p w14:paraId="7C9EA585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39.548 (39.515 ,39.581)</w:t>
            </w:r>
          </w:p>
        </w:tc>
        <w:tc>
          <w:tcPr>
            <w:tcW w:w="669" w:type="dxa"/>
            <w:tcBorders>
              <w:top w:val="single" w:color="auto" w:sz="12" w:space="0"/>
              <w:tl2br w:val="nil"/>
              <w:tr2bl w:val="nil"/>
            </w:tcBorders>
            <w:noWrap/>
            <w:vAlign w:val="center"/>
          </w:tcPr>
          <w:p w14:paraId="7C9EA586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05" w:type="pct"/>
            <w:tcBorders>
              <w:tl2br w:val="nil"/>
              <w:tr2bl w:val="nil"/>
            </w:tcBorders>
            <w:noWrap/>
            <w:vAlign w:val="center"/>
          </w:tcPr>
          <w:p w14:paraId="7C9EA587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2" w:type="pct"/>
            <w:tcBorders>
              <w:top w:val="single" w:color="auto" w:sz="12" w:space="0"/>
              <w:tl2br w:val="nil"/>
              <w:tr2bl w:val="nil"/>
            </w:tcBorders>
            <w:noWrap/>
            <w:vAlign w:val="center"/>
          </w:tcPr>
          <w:p w14:paraId="7C9EA588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ECW/TBW of Trunk</w:t>
            </w:r>
          </w:p>
        </w:tc>
        <w:tc>
          <w:tcPr>
            <w:tcW w:w="936" w:type="dxa"/>
            <w:tcBorders>
              <w:top w:val="single" w:color="auto" w:sz="12" w:space="0"/>
              <w:tl2br w:val="nil"/>
              <w:tr2bl w:val="nil"/>
            </w:tcBorders>
            <w:noWrap/>
            <w:vAlign w:val="center"/>
          </w:tcPr>
          <w:p w14:paraId="7C9EA589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369</w:t>
            </w:r>
          </w:p>
        </w:tc>
        <w:tc>
          <w:tcPr>
            <w:tcW w:w="1798" w:type="dxa"/>
            <w:tcBorders>
              <w:top w:val="single" w:color="auto" w:sz="12" w:space="0"/>
              <w:tl2br w:val="nil"/>
              <w:tr2bl w:val="nil"/>
            </w:tcBorders>
            <w:noWrap/>
            <w:vAlign w:val="center"/>
          </w:tcPr>
          <w:p w14:paraId="7C9EA58A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39.687 (39.651 ,39.723)</w:t>
            </w:r>
          </w:p>
        </w:tc>
        <w:tc>
          <w:tcPr>
            <w:tcW w:w="670" w:type="dxa"/>
            <w:tcBorders>
              <w:top w:val="single" w:color="auto" w:sz="12" w:space="0"/>
              <w:tl2br w:val="nil"/>
              <w:tr2bl w:val="nil"/>
            </w:tcBorders>
            <w:noWrap/>
            <w:vAlign w:val="center"/>
          </w:tcPr>
          <w:p w14:paraId="7C9EA58B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NA</w:t>
            </w:r>
          </w:p>
        </w:tc>
      </w:tr>
      <w:tr w14:paraId="7C9EA5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4" w:type="pct"/>
            <w:tcBorders>
              <w:tl2br w:val="nil"/>
              <w:tr2bl w:val="nil"/>
            </w:tcBorders>
            <w:noWrap/>
            <w:vAlign w:val="center"/>
          </w:tcPr>
          <w:p w14:paraId="7C9EA58D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slope1</w:t>
            </w: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 xml:space="preserve"> (per 10)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8E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217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8F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1.736 (0.183~16.458)</w:t>
            </w:r>
          </w:p>
        </w:tc>
        <w:tc>
          <w:tcPr>
            <w:tcW w:w="669" w:type="dxa"/>
            <w:tcBorders>
              <w:tl2br w:val="nil"/>
              <w:tr2bl w:val="nil"/>
            </w:tcBorders>
            <w:noWrap/>
            <w:vAlign w:val="center"/>
          </w:tcPr>
          <w:p w14:paraId="7C9EA590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0.6307</w:t>
            </w:r>
          </w:p>
        </w:tc>
        <w:tc>
          <w:tcPr>
            <w:tcW w:w="105" w:type="pct"/>
            <w:tcBorders>
              <w:tl2br w:val="nil"/>
              <w:tr2bl w:val="nil"/>
            </w:tcBorders>
            <w:noWrap/>
            <w:vAlign w:val="center"/>
          </w:tcPr>
          <w:p w14:paraId="7C9EA591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2" w:type="pct"/>
            <w:tcBorders>
              <w:tl2br w:val="nil"/>
              <w:tr2bl w:val="nil"/>
            </w:tcBorders>
            <w:noWrap/>
            <w:vAlign w:val="center"/>
          </w:tcPr>
          <w:p w14:paraId="7C9EA592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slope1</w:t>
            </w: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 xml:space="preserve"> (per 10)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93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226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94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1.18 (0.127~10.928)</w:t>
            </w:r>
          </w:p>
        </w:tc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C9EA595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0.8843</w:t>
            </w:r>
          </w:p>
        </w:tc>
      </w:tr>
      <w:tr w14:paraId="7C9EA5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4" w:type="pct"/>
            <w:tcBorders>
              <w:tl2br w:val="nil"/>
              <w:tr2bl w:val="nil"/>
            </w:tcBorders>
            <w:noWrap/>
            <w:vAlign w:val="center"/>
          </w:tcPr>
          <w:p w14:paraId="7C9EA597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slope2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 xml:space="preserve"> (per 10)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98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153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99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7.675 (2.83~20.816)</w:t>
            </w:r>
          </w:p>
        </w:tc>
        <w:tc>
          <w:tcPr>
            <w:tcW w:w="669" w:type="dxa"/>
            <w:tcBorders>
              <w:tl2br w:val="nil"/>
              <w:tr2bl w:val="nil"/>
            </w:tcBorders>
            <w:noWrap/>
            <w:vAlign w:val="center"/>
          </w:tcPr>
          <w:p w14:paraId="7C9EA59A">
            <w:pPr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&lt;0.001</w:t>
            </w:r>
          </w:p>
        </w:tc>
        <w:tc>
          <w:tcPr>
            <w:tcW w:w="105" w:type="pct"/>
            <w:tcBorders>
              <w:tl2br w:val="nil"/>
              <w:tr2bl w:val="nil"/>
            </w:tcBorders>
            <w:noWrap/>
            <w:vAlign w:val="center"/>
          </w:tcPr>
          <w:p w14:paraId="7C9EA59B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2" w:type="pct"/>
            <w:tcBorders>
              <w:tl2br w:val="nil"/>
              <w:tr2bl w:val="nil"/>
            </w:tcBorders>
            <w:noWrap/>
            <w:vAlign w:val="center"/>
          </w:tcPr>
          <w:p w14:paraId="7C9EA59C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slope2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 xml:space="preserve"> (per 10)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9D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143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9E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7.112 (2.656~19.047)</w:t>
            </w:r>
          </w:p>
        </w:tc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C9EA59F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1e-04</w:t>
            </w:r>
          </w:p>
        </w:tc>
      </w:tr>
      <w:tr w14:paraId="7C9EA5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4" w:type="pct"/>
            <w:tcBorders>
              <w:tl2br w:val="nil"/>
              <w:tr2bl w:val="nil"/>
            </w:tcBorders>
            <w:noWrap/>
            <w:vAlign w:val="center"/>
          </w:tcPr>
          <w:p w14:paraId="7C9EA5A1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Likelihood Ratio test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A2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A3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69" w:type="dxa"/>
            <w:tcBorders>
              <w:tl2br w:val="nil"/>
              <w:tr2bl w:val="nil"/>
            </w:tcBorders>
            <w:noWrap/>
            <w:vAlign w:val="center"/>
          </w:tcPr>
          <w:p w14:paraId="7C9EA5A4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0.178</w:t>
            </w:r>
          </w:p>
        </w:tc>
        <w:tc>
          <w:tcPr>
            <w:tcW w:w="105" w:type="pct"/>
            <w:tcBorders>
              <w:tl2br w:val="nil"/>
              <w:tr2bl w:val="nil"/>
            </w:tcBorders>
            <w:noWrap/>
            <w:vAlign w:val="center"/>
          </w:tcPr>
          <w:p w14:paraId="7C9EA5A5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2" w:type="pct"/>
            <w:tcBorders>
              <w:tl2br w:val="nil"/>
              <w:tr2bl w:val="nil"/>
            </w:tcBorders>
            <w:noWrap/>
            <w:vAlign w:val="center"/>
          </w:tcPr>
          <w:p w14:paraId="7C9EA5A6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Likelihood Ratio test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A7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A8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  <w:bookmarkStart w:id="0" w:name="_GoBack"/>
            <w:bookmarkEnd w:id="0"/>
          </w:p>
        </w:tc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C9EA5A9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0.104</w:t>
            </w:r>
          </w:p>
        </w:tc>
      </w:tr>
      <w:tr w14:paraId="7C9EA5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4" w:type="pct"/>
            <w:tcBorders>
              <w:tl2br w:val="nil"/>
              <w:tr2bl w:val="nil"/>
            </w:tcBorders>
            <w:noWrap/>
            <w:vAlign w:val="center"/>
          </w:tcPr>
          <w:p w14:paraId="7C9EA5AB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Non-linear Test*1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AC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AD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69" w:type="dxa"/>
            <w:tcBorders>
              <w:tl2br w:val="nil"/>
              <w:tr2bl w:val="nil"/>
            </w:tcBorders>
            <w:noWrap/>
            <w:vAlign w:val="center"/>
          </w:tcPr>
          <w:p w14:paraId="7C9EA5AE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0.008</w:t>
            </w:r>
          </w:p>
        </w:tc>
        <w:tc>
          <w:tcPr>
            <w:tcW w:w="105" w:type="pct"/>
            <w:tcBorders>
              <w:tl2br w:val="nil"/>
              <w:tr2bl w:val="nil"/>
            </w:tcBorders>
            <w:noWrap/>
            <w:vAlign w:val="center"/>
          </w:tcPr>
          <w:p w14:paraId="7C9EA5AF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2" w:type="pct"/>
            <w:tcBorders>
              <w:tl2br w:val="nil"/>
              <w:tr2bl w:val="nil"/>
            </w:tcBorders>
            <w:noWrap/>
            <w:vAlign w:val="center"/>
          </w:tcPr>
          <w:p w14:paraId="7C9EA5B0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Non-linear Test*1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B1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B2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C9EA5B3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0.017</w:t>
            </w:r>
          </w:p>
        </w:tc>
      </w:tr>
      <w:tr w14:paraId="7C9EA5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4" w:type="pct"/>
            <w:tcBorders>
              <w:tl2br w:val="nil"/>
              <w:tr2bl w:val="nil"/>
            </w:tcBorders>
            <w:noWrap/>
            <w:vAlign w:val="center"/>
          </w:tcPr>
          <w:p w14:paraId="7C9EA5B5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Non-linear Test*2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B6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B7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69" w:type="dxa"/>
            <w:tcBorders>
              <w:tl2br w:val="nil"/>
              <w:tr2bl w:val="nil"/>
            </w:tcBorders>
            <w:noWrap/>
            <w:vAlign w:val="center"/>
          </w:tcPr>
          <w:p w14:paraId="7C9EA5B8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0.026</w:t>
            </w:r>
          </w:p>
        </w:tc>
        <w:tc>
          <w:tcPr>
            <w:tcW w:w="105" w:type="pct"/>
            <w:tcBorders>
              <w:tl2br w:val="nil"/>
              <w:tr2bl w:val="nil"/>
            </w:tcBorders>
            <w:noWrap/>
            <w:vAlign w:val="center"/>
          </w:tcPr>
          <w:p w14:paraId="7C9EA5B9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52" w:type="pct"/>
            <w:tcBorders>
              <w:tl2br w:val="nil"/>
              <w:tr2bl w:val="nil"/>
            </w:tcBorders>
            <w:noWrap/>
            <w:vAlign w:val="center"/>
          </w:tcPr>
          <w:p w14:paraId="7C9EA5BA">
            <w:pPr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6"/>
                <w:szCs w:val="16"/>
                <w:lang w:eastAsia="zh-CN"/>
              </w:rPr>
              <w:t>Non-linear Test*2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noWrap/>
            <w:vAlign w:val="center"/>
          </w:tcPr>
          <w:p w14:paraId="7C9EA5BB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/>
            <w:vAlign w:val="center"/>
          </w:tcPr>
          <w:p w14:paraId="7C9EA5BC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C9EA5BD">
            <w:pPr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  <w:t>0.03</w:t>
            </w:r>
          </w:p>
        </w:tc>
      </w:tr>
    </w:tbl>
    <w:p w14:paraId="7C9EA5BF">
      <w:pPr>
        <w:spacing w:line="240" w:lineRule="auto"/>
        <w:rPr>
          <w:rFonts w:eastAsia="宋体"/>
          <w:lang w:eastAsia="zh-CN"/>
        </w:rPr>
      </w:pPr>
      <w:r>
        <w:rPr>
          <w:rFonts w:ascii="Times New Roman" w:hAnsi="Times New Roman" w:eastAsia="URWPalladioL-Bold" w:cs="Times New Roman"/>
          <w:color w:val="000000"/>
          <w:sz w:val="21"/>
          <w:szCs w:val="21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ADHFpEF, acute decompensated heart failure with preserved ejection fraction.</w:t>
      </w:r>
    </w:p>
    <w:p w14:paraId="7C9EA5C0">
      <w:pPr>
        <w:rPr>
          <w:rFonts w:eastAsia="宋体"/>
        </w:rPr>
      </w:pPr>
    </w:p>
    <w:p w14:paraId="7C9EA5C1">
      <w:pPr>
        <w:spacing w:line="240" w:lineRule="auto"/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Supplementary 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3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The Association between water distribution and PA with ADHFpEF, a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fter excluding patients with an eGFR &lt;45 mL/(min×1.73m2)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.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1130"/>
        <w:gridCol w:w="2021"/>
        <w:gridCol w:w="1154"/>
        <w:gridCol w:w="274"/>
        <w:gridCol w:w="2021"/>
        <w:gridCol w:w="1155"/>
      </w:tblGrid>
      <w:tr w14:paraId="7C9EA5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l2br w:val="nil"/>
              <w:tr2bl w:val="nil"/>
            </w:tcBorders>
            <w:vAlign w:val="center"/>
          </w:tcPr>
          <w:p w14:paraId="7C9EA5C2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529" w:type="pct"/>
            <w:vMerge w:val="restart"/>
            <w:tcBorders>
              <w:tl2br w:val="nil"/>
              <w:tr2bl w:val="nil"/>
            </w:tcBorders>
            <w:vAlign w:val="center"/>
          </w:tcPr>
          <w:p w14:paraId="7C9EA5C3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Cases (%)</w:t>
            </w:r>
          </w:p>
        </w:tc>
        <w:tc>
          <w:tcPr>
            <w:tcW w:w="946" w:type="pct"/>
            <w:tcBorders>
              <w:bottom w:val="single" w:color="auto" w:sz="4" w:space="0"/>
            </w:tcBorders>
            <w:vAlign w:val="center"/>
          </w:tcPr>
          <w:p w14:paraId="7C9EA5C4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1</w:t>
            </w:r>
          </w:p>
        </w:tc>
        <w:tc>
          <w:tcPr>
            <w:tcW w:w="540" w:type="pct"/>
            <w:tcBorders>
              <w:bottom w:val="single" w:color="auto" w:sz="4" w:space="0"/>
            </w:tcBorders>
            <w:vAlign w:val="center"/>
          </w:tcPr>
          <w:p w14:paraId="7C9EA5C5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" w:type="pct"/>
            <w:tcBorders>
              <w:tl2br w:val="nil"/>
              <w:tr2bl w:val="nil"/>
            </w:tcBorders>
            <w:vAlign w:val="center"/>
          </w:tcPr>
          <w:p w14:paraId="7C9EA5C6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6" w:type="pct"/>
            <w:tcBorders>
              <w:bottom w:val="single" w:color="auto" w:sz="4" w:space="0"/>
            </w:tcBorders>
            <w:vAlign w:val="center"/>
          </w:tcPr>
          <w:p w14:paraId="7C9EA5C7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2</w:t>
            </w:r>
          </w:p>
        </w:tc>
        <w:tc>
          <w:tcPr>
            <w:tcW w:w="540" w:type="pct"/>
            <w:tcBorders>
              <w:bottom w:val="single" w:color="auto" w:sz="4" w:space="0"/>
            </w:tcBorders>
            <w:vAlign w:val="center"/>
          </w:tcPr>
          <w:p w14:paraId="7C9EA5C8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7C9EA5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5CA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529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5CB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6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5CC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R (95 % CI)</w:t>
            </w:r>
          </w:p>
        </w:tc>
        <w:tc>
          <w:tcPr>
            <w:tcW w:w="540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5CD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2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5CE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6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5CF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R (95 % CI)</w:t>
            </w:r>
          </w:p>
        </w:tc>
        <w:tc>
          <w:tcPr>
            <w:tcW w:w="540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5D0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14:paraId="7C9EA5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single" w:color="auto" w:sz="12" w:space="0"/>
              <w:tl2br w:val="nil"/>
              <w:tr2bl w:val="nil"/>
            </w:tcBorders>
          </w:tcPr>
          <w:p w14:paraId="7C9EA5D2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Water Distribution</w:t>
            </w:r>
          </w:p>
        </w:tc>
        <w:tc>
          <w:tcPr>
            <w:tcW w:w="529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5D3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5D4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5D5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5D6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5D7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5D8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5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bottom w:val="nil"/>
              <w:right w:val="nil"/>
              <w:tl2br w:val="nil"/>
              <w:tr2bl w:val="nil"/>
            </w:tcBorders>
            <w:vAlign w:val="center"/>
          </w:tcPr>
          <w:p w14:paraId="7C9EA5D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</w:p>
        </w:tc>
        <w:tc>
          <w:tcPr>
            <w:tcW w:w="1130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D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D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1.04 (0.87~1.23)</w:t>
            </w:r>
          </w:p>
        </w:tc>
        <w:tc>
          <w:tcPr>
            <w:tcW w:w="1154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D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0.676</w:t>
            </w:r>
          </w:p>
        </w:tc>
        <w:tc>
          <w:tcPr>
            <w:tcW w:w="274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D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D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0.89 (0.66~1.21)</w:t>
            </w:r>
          </w:p>
        </w:tc>
        <w:tc>
          <w:tcPr>
            <w:tcW w:w="1155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0.450</w:t>
            </w:r>
          </w:p>
        </w:tc>
      </w:tr>
      <w:tr w14:paraId="7C9EA5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0.98 (0.92~1.06)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0.89 (0.78~1.02)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0.084</w:t>
            </w:r>
          </w:p>
        </w:tc>
      </w:tr>
      <w:tr w14:paraId="7C9EA5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ICW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0.94 (0.84~1.06)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0.326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E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0.77 (0.61~0.96)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0.019</w:t>
            </w:r>
          </w:p>
        </w:tc>
      </w:tr>
      <w:tr w14:paraId="7C9EA5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of whole body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3.24 (2.11~4.97)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3.93 (2.12~7.29)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3.01 (2.04~4.46)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5F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3.63 (2.05~6.43)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0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0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0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0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2.73 (1.86~4.02)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0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0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0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3.29 (1.90~5.68)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0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single" w:color="auto" w:sz="4" w:space="0"/>
              <w:tl2br w:val="nil"/>
              <w:tr2bl w:val="nil"/>
            </w:tcBorders>
          </w:tcPr>
          <w:p w14:paraId="7C9EA60A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hase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 xml:space="preserve"> A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ngle</w:t>
            </w:r>
          </w:p>
        </w:tc>
        <w:tc>
          <w:tcPr>
            <w:tcW w:w="11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0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0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0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0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0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1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6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l2br w:val="nil"/>
              <w:tr2bl w:val="nil"/>
            </w:tcBorders>
            <w:vAlign w:val="center"/>
          </w:tcPr>
          <w:p w14:paraId="7C9EA61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w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hole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ody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 w14:paraId="7C9EA61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7C9EA61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0.21 (0.11~0.39)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7C9EA61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tl2br w:val="nil"/>
              <w:tr2bl w:val="nil"/>
            </w:tcBorders>
            <w:vAlign w:val="center"/>
          </w:tcPr>
          <w:p w14:paraId="7C9EA61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7C9EA61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0.18 (0.08~0.41)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7C9EA61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l2br w:val="nil"/>
              <w:tr2bl w:val="nil"/>
            </w:tcBorders>
            <w:vAlign w:val="center"/>
          </w:tcPr>
          <w:p w14:paraId="7C9EA61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 w14:paraId="7C9EA61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7C9EA61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0.71 (0.54~0.92)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7C9EA61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0.009</w:t>
            </w:r>
          </w:p>
        </w:tc>
        <w:tc>
          <w:tcPr>
            <w:tcW w:w="274" w:type="dxa"/>
            <w:tcBorders>
              <w:tl2br w:val="nil"/>
              <w:tr2bl w:val="nil"/>
            </w:tcBorders>
            <w:vAlign w:val="center"/>
          </w:tcPr>
          <w:p w14:paraId="7C9EA61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7C9EA61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0.79 (0.58~1.07)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7C9EA62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0.130</w:t>
            </w:r>
          </w:p>
        </w:tc>
      </w:tr>
      <w:tr w14:paraId="7C9EA6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2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PA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113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2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27 (7.6)</w:t>
            </w:r>
          </w:p>
        </w:tc>
        <w:tc>
          <w:tcPr>
            <w:tcW w:w="202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2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0.24 (0.14~0.41)</w:t>
            </w:r>
          </w:p>
        </w:tc>
        <w:tc>
          <w:tcPr>
            <w:tcW w:w="115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2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2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2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0.18 (0.09~0.38)</w:t>
            </w:r>
          </w:p>
        </w:tc>
        <w:tc>
          <w:tcPr>
            <w:tcW w:w="11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2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</w:tbl>
    <w:p w14:paraId="7C9EA62A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1: unadjusted.</w:t>
      </w:r>
    </w:p>
    <w:p w14:paraId="7C9EA62B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2: adjusted for sex, age, atrial fibrillation, coronary heart disease.</w:t>
      </w:r>
    </w:p>
    <w:p w14:paraId="7C9EA62C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URWPalladioL-Bold" w:cs="Times New Roman"/>
          <w:color w:val="000000"/>
          <w:sz w:val="21"/>
          <w:szCs w:val="21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PA, phase angle; ADHFpEF, acute decompensated heart failure with preserved ejection fraction; eGFR, estimated glomerular filtration rate; BMI, body mass index; ECW, extracellular water; TBW, total body water, ICW, intracellular water.</w:t>
      </w:r>
    </w:p>
    <w:p w14:paraId="7C9EA62D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</w:p>
    <w:p w14:paraId="7C9EA62E">
      <w:pPr>
        <w:spacing w:line="240" w:lineRule="auto"/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Supplementary 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4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The Association between water distribution and PA with CSHFpEF, a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fter excluding patients with an eGFR &lt;45 mL/(min×1.73m2)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.</w:t>
      </w:r>
    </w:p>
    <w:tbl>
      <w:tblPr>
        <w:tblStyle w:val="4"/>
        <w:tblW w:w="4997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1"/>
        <w:gridCol w:w="1444"/>
        <w:gridCol w:w="2008"/>
        <w:gridCol w:w="1021"/>
        <w:gridCol w:w="271"/>
        <w:gridCol w:w="2009"/>
        <w:gridCol w:w="1022"/>
      </w:tblGrid>
      <w:tr w14:paraId="7C9EA6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358" w:type="pct"/>
            <w:tcBorders>
              <w:tl2br w:val="nil"/>
              <w:tr2bl w:val="nil"/>
            </w:tcBorders>
            <w:vAlign w:val="center"/>
          </w:tcPr>
          <w:p w14:paraId="7C9EA62F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pct"/>
            <w:vMerge w:val="restart"/>
            <w:tcBorders>
              <w:tl2br w:val="nil"/>
              <w:tr2bl w:val="nil"/>
            </w:tcBorders>
            <w:vAlign w:val="center"/>
          </w:tcPr>
          <w:p w14:paraId="7C9EA630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Cases (%)</w:t>
            </w:r>
          </w:p>
        </w:tc>
        <w:tc>
          <w:tcPr>
            <w:tcW w:w="940" w:type="pct"/>
            <w:tcBorders>
              <w:bottom w:val="single" w:color="auto" w:sz="4" w:space="0"/>
            </w:tcBorders>
            <w:vAlign w:val="center"/>
          </w:tcPr>
          <w:p w14:paraId="7C9EA631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1</w:t>
            </w:r>
          </w:p>
        </w:tc>
        <w:tc>
          <w:tcPr>
            <w:tcW w:w="478" w:type="pct"/>
            <w:tcBorders>
              <w:bottom w:val="single" w:color="auto" w:sz="4" w:space="0"/>
            </w:tcBorders>
            <w:vAlign w:val="center"/>
          </w:tcPr>
          <w:p w14:paraId="7C9EA632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" w:type="pct"/>
            <w:tcBorders>
              <w:tl2br w:val="nil"/>
              <w:tr2bl w:val="nil"/>
            </w:tcBorders>
            <w:vAlign w:val="center"/>
          </w:tcPr>
          <w:p w14:paraId="7C9EA633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bottom w:val="single" w:color="auto" w:sz="4" w:space="0"/>
            </w:tcBorders>
            <w:vAlign w:val="center"/>
          </w:tcPr>
          <w:p w14:paraId="7C9EA634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2</w:t>
            </w:r>
          </w:p>
        </w:tc>
        <w:tc>
          <w:tcPr>
            <w:tcW w:w="478" w:type="pct"/>
            <w:tcBorders>
              <w:bottom w:val="single" w:color="auto" w:sz="4" w:space="0"/>
            </w:tcBorders>
            <w:vAlign w:val="center"/>
          </w:tcPr>
          <w:p w14:paraId="7C9EA635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7C9EA6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37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38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639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R (95 % CI)</w:t>
            </w:r>
          </w:p>
        </w:tc>
        <w:tc>
          <w:tcPr>
            <w:tcW w:w="478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63A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2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3B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63C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R (95 % CI)</w:t>
            </w:r>
          </w:p>
        </w:tc>
        <w:tc>
          <w:tcPr>
            <w:tcW w:w="478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63D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14:paraId="7C9EA6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single" w:color="auto" w:sz="12" w:space="0"/>
              <w:tl2br w:val="nil"/>
              <w:tr2bl w:val="nil"/>
            </w:tcBorders>
          </w:tcPr>
          <w:p w14:paraId="7C9EA63F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Water Distribution</w:t>
            </w:r>
          </w:p>
        </w:tc>
        <w:tc>
          <w:tcPr>
            <w:tcW w:w="67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4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4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78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4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4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4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78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4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6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bottom w:val="nil"/>
              <w:right w:val="nil"/>
              <w:tl2br w:val="nil"/>
              <w:tr2bl w:val="nil"/>
            </w:tcBorders>
            <w:vAlign w:val="center"/>
          </w:tcPr>
          <w:p w14:paraId="7C9EA64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</w:p>
        </w:tc>
        <w:tc>
          <w:tcPr>
            <w:tcW w:w="1444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4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4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1.08 (0.98~1.19)</w:t>
            </w:r>
          </w:p>
        </w:tc>
        <w:tc>
          <w:tcPr>
            <w:tcW w:w="1021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4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0.127</w:t>
            </w:r>
          </w:p>
        </w:tc>
        <w:tc>
          <w:tcPr>
            <w:tcW w:w="271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4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4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1.19 (1.00~1.40)</w:t>
            </w:r>
          </w:p>
        </w:tc>
        <w:tc>
          <w:tcPr>
            <w:tcW w:w="1022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4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0.044</w:t>
            </w:r>
          </w:p>
        </w:tc>
      </w:tr>
      <w:tr w14:paraId="7C9EA6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4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1.03 (0.99~1.07)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0.185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1.08 (1.01~1.15)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0.032</w:t>
            </w:r>
          </w:p>
        </w:tc>
      </w:tr>
      <w:tr w14:paraId="7C9EA6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ICW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1.04 (0.98~1.10)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0.236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1.13 (1.01~1.26)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0.027</w:t>
            </w:r>
          </w:p>
        </w:tc>
      </w:tr>
      <w:tr w14:paraId="7C9EA6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5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of whole body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1.24 (0.96~1.58)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0.095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0.93 (0.67~1.30)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0.678</w:t>
            </w:r>
          </w:p>
        </w:tc>
      </w:tr>
      <w:tr w14:paraId="7C9EA6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1.21 (0.95~1.53)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0.117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0.91 (0.66~1.26)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6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0.575</w:t>
            </w:r>
          </w:p>
        </w:tc>
      </w:tr>
      <w:tr w14:paraId="7C9EA6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6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7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7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1.22 (0.98~1.51)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7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0.073</w:t>
            </w:r>
          </w:p>
        </w:tc>
        <w:tc>
          <w:tcPr>
            <w:tcW w:w="27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7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7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0.98 (0.73~1.30)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7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0.879</w:t>
            </w:r>
          </w:p>
        </w:tc>
      </w:tr>
      <w:tr w14:paraId="7C9EA6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single" w:color="auto" w:sz="4" w:space="0"/>
              <w:tl2br w:val="nil"/>
              <w:tr2bl w:val="nil"/>
            </w:tcBorders>
          </w:tcPr>
          <w:p w14:paraId="7C9EA677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hase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 xml:space="preserve"> A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ngle</w:t>
            </w:r>
          </w:p>
        </w:tc>
        <w:tc>
          <w:tcPr>
            <w:tcW w:w="14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7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7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2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7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7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7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2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7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6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l2br w:val="nil"/>
              <w:tr2bl w:val="nil"/>
            </w:tcBorders>
            <w:vAlign w:val="center"/>
          </w:tcPr>
          <w:p w14:paraId="7C9EA67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w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hole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ody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vAlign w:val="center"/>
          </w:tcPr>
          <w:p w14:paraId="7C9EA68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7C9EA68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0.77 (0.57~1.05)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vAlign w:val="center"/>
          </w:tcPr>
          <w:p w14:paraId="7C9EA68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0.099</w:t>
            </w:r>
          </w:p>
        </w:tc>
        <w:tc>
          <w:tcPr>
            <w:tcW w:w="271" w:type="dxa"/>
            <w:tcBorders>
              <w:tl2br w:val="nil"/>
              <w:tr2bl w:val="nil"/>
            </w:tcBorders>
            <w:vAlign w:val="center"/>
          </w:tcPr>
          <w:p w14:paraId="7C9EA68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tl2br w:val="nil"/>
              <w:tr2bl w:val="nil"/>
            </w:tcBorders>
            <w:vAlign w:val="center"/>
          </w:tcPr>
          <w:p w14:paraId="7C9EA68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1.02 (0.67~1.56)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 w14:paraId="7C9EA68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0.909</w:t>
            </w:r>
          </w:p>
        </w:tc>
      </w:tr>
      <w:tr w14:paraId="7C9EA6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l2br w:val="nil"/>
              <w:tr2bl w:val="nil"/>
            </w:tcBorders>
            <w:vAlign w:val="center"/>
          </w:tcPr>
          <w:p w14:paraId="7C9EA68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vAlign w:val="center"/>
          </w:tcPr>
          <w:p w14:paraId="7C9EA68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7C9EA68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1.08 (0.92~1.27)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vAlign w:val="center"/>
          </w:tcPr>
          <w:p w14:paraId="7C9EA68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0.366</w:t>
            </w:r>
          </w:p>
        </w:tc>
        <w:tc>
          <w:tcPr>
            <w:tcW w:w="271" w:type="dxa"/>
            <w:tcBorders>
              <w:tl2br w:val="nil"/>
              <w:tr2bl w:val="nil"/>
            </w:tcBorders>
            <w:vAlign w:val="center"/>
          </w:tcPr>
          <w:p w14:paraId="7C9EA68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tl2br w:val="nil"/>
              <w:tr2bl w:val="nil"/>
            </w:tcBorders>
            <w:vAlign w:val="center"/>
          </w:tcPr>
          <w:p w14:paraId="7C9EA68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1.25 (1.02~1.52)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 w14:paraId="7C9EA68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0.028</w:t>
            </w:r>
          </w:p>
        </w:tc>
      </w:tr>
      <w:tr w14:paraId="7C9EA6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8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PA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144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9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154 (43.1)</w:t>
            </w:r>
          </w:p>
        </w:tc>
        <w:tc>
          <w:tcPr>
            <w:tcW w:w="200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9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0.79 (0.60~1.03)</w:t>
            </w:r>
          </w:p>
        </w:tc>
        <w:tc>
          <w:tcPr>
            <w:tcW w:w="102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9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0.077</w:t>
            </w:r>
          </w:p>
        </w:tc>
        <w:tc>
          <w:tcPr>
            <w:tcW w:w="27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9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0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9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0.98 (0.68~1.41)</w:t>
            </w:r>
          </w:p>
        </w:tc>
        <w:tc>
          <w:tcPr>
            <w:tcW w:w="102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9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0.916</w:t>
            </w:r>
          </w:p>
        </w:tc>
      </w:tr>
    </w:tbl>
    <w:p w14:paraId="7C9EA697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1: unadjusted.</w:t>
      </w:r>
    </w:p>
    <w:p w14:paraId="7C9EA698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2: adjusted for sex, age, atrial fibrillation, coronary heart disease.</w:t>
      </w:r>
    </w:p>
    <w:p w14:paraId="7C9EA699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URWPalladioL-Bold" w:cs="Times New Roman"/>
          <w:color w:val="000000"/>
          <w:sz w:val="21"/>
          <w:szCs w:val="21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PA, phase angle; CSHFpEF, Chronic stable heart failure with preserved ejection fraction; eGFR, estimated glomerular filtration rate; BMI, body mass index; ECW, extracellular water; TBW, total body water, ICW, intracellular water.</w:t>
      </w:r>
    </w:p>
    <w:p w14:paraId="7C9EA69A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</w:p>
    <w:p w14:paraId="7C9EA69B">
      <w:pPr>
        <w:spacing w:line="240" w:lineRule="auto"/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Supplementary 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5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The Association between water distribution and PA with ln(NT-proBNP), a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fter excluding patients with an eGFR &lt;45 mL/(min×1.73m2)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.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1"/>
        <w:gridCol w:w="2399"/>
        <w:gridCol w:w="1233"/>
        <w:gridCol w:w="293"/>
        <w:gridCol w:w="2399"/>
        <w:gridCol w:w="1233"/>
      </w:tblGrid>
      <w:tr w14:paraId="7C9EA6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l2br w:val="nil"/>
              <w:tr2bl w:val="nil"/>
            </w:tcBorders>
            <w:vAlign w:val="center"/>
          </w:tcPr>
          <w:p w14:paraId="7C9EA69C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bottom w:val="single" w:color="auto" w:sz="4" w:space="0"/>
            </w:tcBorders>
            <w:vAlign w:val="center"/>
          </w:tcPr>
          <w:p w14:paraId="7C9EA69D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1</w:t>
            </w:r>
          </w:p>
        </w:tc>
        <w:tc>
          <w:tcPr>
            <w:tcW w:w="577" w:type="pct"/>
            <w:tcBorders>
              <w:bottom w:val="single" w:color="auto" w:sz="4" w:space="0"/>
            </w:tcBorders>
            <w:vAlign w:val="center"/>
          </w:tcPr>
          <w:p w14:paraId="7C9EA69E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" w:type="pct"/>
            <w:tcBorders>
              <w:tl2br w:val="nil"/>
              <w:tr2bl w:val="nil"/>
            </w:tcBorders>
            <w:vAlign w:val="center"/>
          </w:tcPr>
          <w:p w14:paraId="7C9EA69F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bottom w:val="single" w:color="auto" w:sz="4" w:space="0"/>
            </w:tcBorders>
            <w:vAlign w:val="center"/>
          </w:tcPr>
          <w:p w14:paraId="7C9EA6A0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2</w:t>
            </w:r>
          </w:p>
        </w:tc>
        <w:tc>
          <w:tcPr>
            <w:tcW w:w="577" w:type="pct"/>
            <w:tcBorders>
              <w:bottom w:val="single" w:color="auto" w:sz="4" w:space="0"/>
            </w:tcBorders>
            <w:vAlign w:val="center"/>
          </w:tcPr>
          <w:p w14:paraId="7C9EA6A1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7C9EA6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A3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6A4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β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 xml:space="preserve"> (95 % CI)</w:t>
            </w:r>
          </w:p>
        </w:tc>
        <w:tc>
          <w:tcPr>
            <w:tcW w:w="577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6A5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3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A6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6A7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β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 xml:space="preserve"> (95 % CI)</w:t>
            </w:r>
          </w:p>
        </w:tc>
        <w:tc>
          <w:tcPr>
            <w:tcW w:w="577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6A8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14:paraId="7C9EA6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single" w:color="auto" w:sz="12" w:space="0"/>
              <w:tl2br w:val="nil"/>
              <w:tr2bl w:val="nil"/>
            </w:tcBorders>
          </w:tcPr>
          <w:p w14:paraId="7C9EA6AA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Water Distribution</w:t>
            </w:r>
          </w:p>
        </w:tc>
        <w:tc>
          <w:tcPr>
            <w:tcW w:w="1123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A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A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A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3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A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6A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6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bottom w:val="nil"/>
              <w:right w:val="nil"/>
              <w:tl2br w:val="nil"/>
              <w:tr2bl w:val="nil"/>
            </w:tcBorders>
            <w:vAlign w:val="center"/>
          </w:tcPr>
          <w:p w14:paraId="7C9EA6B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</w:p>
        </w:tc>
        <w:tc>
          <w:tcPr>
            <w:tcW w:w="2399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-0.07 (-0.15~0.00)</w:t>
            </w:r>
          </w:p>
        </w:tc>
        <w:tc>
          <w:tcPr>
            <w:tcW w:w="1233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0.041</w:t>
            </w:r>
          </w:p>
        </w:tc>
        <w:tc>
          <w:tcPr>
            <w:tcW w:w="293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-0.11 (-0.20~-0.02)</w:t>
            </w:r>
          </w:p>
        </w:tc>
        <w:tc>
          <w:tcPr>
            <w:tcW w:w="1233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0.021</w:t>
            </w:r>
          </w:p>
        </w:tc>
      </w:tr>
      <w:tr w14:paraId="7C9EA6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-0.05 (-0.08~-0.02)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-0.07 (-0.10~-0.03)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B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ICW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-0.1 (-0.14~-0.05)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-0.14 (-0.20~-0.08)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of whole body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0.73 (0.59~0.87)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0.54 (0.39~0.70)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0.71 (0.58~0.84)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C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D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D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0.53 (0.39~0.67)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6D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D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D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0.61 (0.48~0.74)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D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D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D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0.45 (0.31~0.59)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6D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single" w:color="auto" w:sz="4" w:space="0"/>
              <w:tl2br w:val="nil"/>
              <w:tr2bl w:val="nil"/>
            </w:tcBorders>
          </w:tcPr>
          <w:p w14:paraId="7C9EA6DB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hase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 xml:space="preserve"> A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ngle</w:t>
            </w:r>
          </w:p>
        </w:tc>
        <w:tc>
          <w:tcPr>
            <w:tcW w:w="239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D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D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9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D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D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6E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6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l2br w:val="nil"/>
              <w:tr2bl w:val="nil"/>
            </w:tcBorders>
            <w:vAlign w:val="center"/>
          </w:tcPr>
          <w:p w14:paraId="7C9EA6E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w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hole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ody</w:t>
            </w:r>
          </w:p>
        </w:tc>
        <w:tc>
          <w:tcPr>
            <w:tcW w:w="2399" w:type="dxa"/>
            <w:tcBorders>
              <w:tl2br w:val="nil"/>
              <w:tr2bl w:val="nil"/>
            </w:tcBorders>
            <w:vAlign w:val="center"/>
          </w:tcPr>
          <w:p w14:paraId="7C9EA6E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-0.98 (-1.16~-0.79)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vAlign w:val="center"/>
          </w:tcPr>
          <w:p w14:paraId="7C9EA6E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l2br w:val="nil"/>
              <w:tr2bl w:val="nil"/>
            </w:tcBorders>
            <w:vAlign w:val="center"/>
          </w:tcPr>
          <w:p w14:paraId="7C9EA6E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l2br w:val="nil"/>
              <w:tr2bl w:val="nil"/>
            </w:tcBorders>
            <w:vAlign w:val="center"/>
          </w:tcPr>
          <w:p w14:paraId="7C9EA6E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-0.77 (-0.97~-0.57)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vAlign w:val="center"/>
          </w:tcPr>
          <w:p w14:paraId="7C9EA6E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6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l2br w:val="nil"/>
              <w:tr2bl w:val="nil"/>
            </w:tcBorders>
            <w:vAlign w:val="center"/>
          </w:tcPr>
          <w:p w14:paraId="7C9EA6E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2399" w:type="dxa"/>
            <w:tcBorders>
              <w:tl2br w:val="nil"/>
              <w:tr2bl w:val="nil"/>
            </w:tcBorders>
            <w:vAlign w:val="center"/>
          </w:tcPr>
          <w:p w14:paraId="7C9EA6E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-0.20 (-0.30~-0.09)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vAlign w:val="center"/>
          </w:tcPr>
          <w:p w14:paraId="7C9EA6E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l2br w:val="nil"/>
              <w:tr2bl w:val="nil"/>
            </w:tcBorders>
            <w:vAlign w:val="center"/>
          </w:tcPr>
          <w:p w14:paraId="7C9EA6E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l2br w:val="nil"/>
              <w:tr2bl w:val="nil"/>
            </w:tcBorders>
            <w:vAlign w:val="center"/>
          </w:tcPr>
          <w:p w14:paraId="7C9EA6E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-0.10 (-0.20~-0.01)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vAlign w:val="center"/>
          </w:tcPr>
          <w:p w14:paraId="7C9EA6E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0.031</w:t>
            </w:r>
          </w:p>
        </w:tc>
      </w:tr>
      <w:tr w14:paraId="7C9EA6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F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PA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239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F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-0.87 (-1.03~-0.71)</w:t>
            </w:r>
          </w:p>
        </w:tc>
        <w:tc>
          <w:tcPr>
            <w:tcW w:w="123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F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F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F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-0.70 (-0.88~-0.53)</w:t>
            </w:r>
          </w:p>
        </w:tc>
        <w:tc>
          <w:tcPr>
            <w:tcW w:w="123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6F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</w:tbl>
    <w:p w14:paraId="7C9EA6F7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1: unadjusted.</w:t>
      </w:r>
    </w:p>
    <w:p w14:paraId="7C9EA6F8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2: adjusted for sex, age, atrial fibrillation, coronary heart disease.</w:t>
      </w:r>
    </w:p>
    <w:p w14:paraId="7C9EA6F9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URWPalladioL-Bold" w:cs="Times New Roman"/>
          <w:color w:val="000000"/>
          <w:sz w:val="21"/>
          <w:szCs w:val="21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PA, phase angle; eGFR, estimated glomerular filtration rate; BMI, body mass index; ECW, extracellular water; TBW, total body water, ICW, intracellular water.</w:t>
      </w:r>
    </w:p>
    <w:p w14:paraId="7C9EA6FA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</w:p>
    <w:p w14:paraId="7C9EA6FB">
      <w:pPr>
        <w:spacing w:line="240" w:lineRule="auto"/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Supplementary 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6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The Association between water distribution and PA with ADHFpEF, a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fter excluding patients with an eGFR &lt;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60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 mL/(min×1.73m2)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.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1130"/>
        <w:gridCol w:w="2021"/>
        <w:gridCol w:w="1154"/>
        <w:gridCol w:w="274"/>
        <w:gridCol w:w="2021"/>
        <w:gridCol w:w="1155"/>
      </w:tblGrid>
      <w:tr w14:paraId="7C9EA7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l2br w:val="nil"/>
              <w:tr2bl w:val="nil"/>
            </w:tcBorders>
            <w:vAlign w:val="center"/>
          </w:tcPr>
          <w:p w14:paraId="7C9EA6FC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529" w:type="pct"/>
            <w:vMerge w:val="restart"/>
            <w:tcBorders>
              <w:tl2br w:val="nil"/>
              <w:tr2bl w:val="nil"/>
            </w:tcBorders>
            <w:vAlign w:val="center"/>
          </w:tcPr>
          <w:p w14:paraId="7C9EA6FD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Cases (%)</w:t>
            </w:r>
          </w:p>
        </w:tc>
        <w:tc>
          <w:tcPr>
            <w:tcW w:w="946" w:type="pct"/>
            <w:tcBorders>
              <w:bottom w:val="single" w:color="auto" w:sz="4" w:space="0"/>
            </w:tcBorders>
            <w:vAlign w:val="center"/>
          </w:tcPr>
          <w:p w14:paraId="7C9EA6FE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1</w:t>
            </w:r>
          </w:p>
        </w:tc>
        <w:tc>
          <w:tcPr>
            <w:tcW w:w="540" w:type="pct"/>
            <w:tcBorders>
              <w:bottom w:val="single" w:color="auto" w:sz="4" w:space="0"/>
            </w:tcBorders>
            <w:vAlign w:val="center"/>
          </w:tcPr>
          <w:p w14:paraId="7C9EA6FF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" w:type="pct"/>
            <w:tcBorders>
              <w:tl2br w:val="nil"/>
              <w:tr2bl w:val="nil"/>
            </w:tcBorders>
            <w:vAlign w:val="center"/>
          </w:tcPr>
          <w:p w14:paraId="7C9EA700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6" w:type="pct"/>
            <w:tcBorders>
              <w:bottom w:val="single" w:color="auto" w:sz="4" w:space="0"/>
            </w:tcBorders>
            <w:vAlign w:val="center"/>
          </w:tcPr>
          <w:p w14:paraId="7C9EA701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2</w:t>
            </w:r>
          </w:p>
        </w:tc>
        <w:tc>
          <w:tcPr>
            <w:tcW w:w="540" w:type="pct"/>
            <w:tcBorders>
              <w:bottom w:val="single" w:color="auto" w:sz="4" w:space="0"/>
            </w:tcBorders>
            <w:vAlign w:val="center"/>
          </w:tcPr>
          <w:p w14:paraId="7C9EA702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7C9EA7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04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529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05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6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706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R (95 % CI)</w:t>
            </w:r>
          </w:p>
        </w:tc>
        <w:tc>
          <w:tcPr>
            <w:tcW w:w="540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707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2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08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6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709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R (95 % CI)</w:t>
            </w:r>
          </w:p>
        </w:tc>
        <w:tc>
          <w:tcPr>
            <w:tcW w:w="540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70A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14:paraId="7C9EA7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single" w:color="auto" w:sz="12" w:space="0"/>
              <w:tl2br w:val="nil"/>
              <w:tr2bl w:val="nil"/>
            </w:tcBorders>
          </w:tcPr>
          <w:p w14:paraId="7C9EA70C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Water Distribution</w:t>
            </w:r>
          </w:p>
        </w:tc>
        <w:tc>
          <w:tcPr>
            <w:tcW w:w="529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0D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0E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0F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10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11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12">
            <w:pPr>
              <w:widowControl w:val="0"/>
              <w:spacing w:line="240" w:lineRule="auto"/>
              <w:ind w:firstLine="180" w:firstLineChars="100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7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bottom w:val="nil"/>
              <w:right w:val="nil"/>
              <w:tl2br w:val="nil"/>
              <w:tr2bl w:val="nil"/>
            </w:tcBorders>
            <w:vAlign w:val="center"/>
          </w:tcPr>
          <w:p w14:paraId="7C9EA71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</w:p>
        </w:tc>
        <w:tc>
          <w:tcPr>
            <w:tcW w:w="1130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1.07 (0.88~1.29)</w:t>
            </w:r>
          </w:p>
        </w:tc>
        <w:tc>
          <w:tcPr>
            <w:tcW w:w="1154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0.498</w:t>
            </w:r>
          </w:p>
        </w:tc>
        <w:tc>
          <w:tcPr>
            <w:tcW w:w="274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0.87 (0.62~1.21)</w:t>
            </w:r>
          </w:p>
        </w:tc>
        <w:tc>
          <w:tcPr>
            <w:tcW w:w="1155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0.398</w:t>
            </w:r>
          </w:p>
        </w:tc>
      </w:tr>
      <w:tr w14:paraId="7C9EA7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1.00 (0.93~1.08)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1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0.982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0.89 (0.77~1.03)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0.123</w:t>
            </w:r>
          </w:p>
        </w:tc>
      </w:tr>
      <w:tr w14:paraId="7C9EA7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ICW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0.97 (0.85~1.11)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0.689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0.78 (0.61~1.00)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0.047</w:t>
            </w:r>
          </w:p>
        </w:tc>
      </w:tr>
      <w:tr w14:paraId="7C9EA7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of whole body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2.55 (1.65~3.96)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2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2.98 (1.53~5.78)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0.001</w:t>
            </w:r>
          </w:p>
        </w:tc>
      </w:tr>
      <w:tr w14:paraId="7C9EA7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2.38 (1.60~3.55)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2.81 (1.53~5.19)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3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0.001</w:t>
            </w:r>
          </w:p>
        </w:tc>
      </w:tr>
      <w:tr w14:paraId="7C9EA7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3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3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3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2.35 (1.57~3.51)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3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4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4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2.67 (1.47~4.85)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4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0.001</w:t>
            </w:r>
          </w:p>
        </w:tc>
      </w:tr>
      <w:tr w14:paraId="7C9EA7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op w:val="single" w:color="auto" w:sz="4" w:space="0"/>
              <w:tl2br w:val="nil"/>
              <w:tr2bl w:val="nil"/>
            </w:tcBorders>
          </w:tcPr>
          <w:p w14:paraId="7C9EA744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hase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 xml:space="preserve"> A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ngle</w:t>
            </w:r>
          </w:p>
        </w:tc>
        <w:tc>
          <w:tcPr>
            <w:tcW w:w="11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4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4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4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4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4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4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7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l2br w:val="nil"/>
              <w:tr2bl w:val="nil"/>
            </w:tcBorders>
            <w:vAlign w:val="center"/>
          </w:tcPr>
          <w:p w14:paraId="7C9EA74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w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hole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ody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 w14:paraId="7C9EA74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7C9EA74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0.30 (0.16~0.57)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7C9EA74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tl2br w:val="nil"/>
              <w:tr2bl w:val="nil"/>
            </w:tcBorders>
            <w:vAlign w:val="center"/>
          </w:tcPr>
          <w:p w14:paraId="7C9EA75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7C9EA75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0.26 (0.10~0.64)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7C9EA75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0.004</w:t>
            </w:r>
          </w:p>
        </w:tc>
      </w:tr>
      <w:tr w14:paraId="7C9EA7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tl2br w:val="nil"/>
              <w:tr2bl w:val="nil"/>
            </w:tcBorders>
            <w:vAlign w:val="center"/>
          </w:tcPr>
          <w:p w14:paraId="7C9EA75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vAlign w:val="center"/>
          </w:tcPr>
          <w:p w14:paraId="7C9EA75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7C9EA75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0.79 (0.58~1.06)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7C9EA75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0.113</w:t>
            </w:r>
          </w:p>
        </w:tc>
        <w:tc>
          <w:tcPr>
            <w:tcW w:w="274" w:type="dxa"/>
            <w:tcBorders>
              <w:tl2br w:val="nil"/>
              <w:tr2bl w:val="nil"/>
            </w:tcBorders>
            <w:vAlign w:val="center"/>
          </w:tcPr>
          <w:p w14:paraId="7C9EA75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tl2br w:val="nil"/>
              <w:tr2bl w:val="nil"/>
            </w:tcBorders>
            <w:vAlign w:val="center"/>
          </w:tcPr>
          <w:p w14:paraId="7C9EA75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0.94 (0.68~1.29)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vAlign w:val="center"/>
          </w:tcPr>
          <w:p w14:paraId="7C9EA75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0.693</w:t>
            </w:r>
          </w:p>
        </w:tc>
      </w:tr>
      <w:tr w14:paraId="7C9EA7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5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PA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113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5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21 (6.6)</w:t>
            </w:r>
          </w:p>
        </w:tc>
        <w:tc>
          <w:tcPr>
            <w:tcW w:w="202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5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0.29 (0.16~0.52)</w:t>
            </w:r>
          </w:p>
        </w:tc>
        <w:tc>
          <w:tcPr>
            <w:tcW w:w="115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5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7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6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02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6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0.22 (0.09~0.49)</w:t>
            </w:r>
          </w:p>
        </w:tc>
        <w:tc>
          <w:tcPr>
            <w:tcW w:w="11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6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</w:tbl>
    <w:p w14:paraId="7C9EA764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1: unadjusted.</w:t>
      </w:r>
    </w:p>
    <w:p w14:paraId="7C9EA765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2: adjusted for sex, age, atrial fibrillation, coronary heart disease.</w:t>
      </w:r>
    </w:p>
    <w:p w14:paraId="7C9EA766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URWPalladioL-Bold" w:cs="Times New Roman"/>
          <w:color w:val="000000"/>
          <w:sz w:val="21"/>
          <w:szCs w:val="21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PA, phase angle; ADHFpEF, acute decompensated heart failure with preserved ejection fraction; eGFR, estimated glomerular filtration rate; BMI, body mass index; ECW, extracellular water; TBW, total body water, ICW, intracellular water.</w:t>
      </w:r>
    </w:p>
    <w:p w14:paraId="7C9EA767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</w:p>
    <w:p w14:paraId="7C9EA768">
      <w:pPr>
        <w:spacing w:line="240" w:lineRule="auto"/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Supplementary 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7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The Association between water distribution and PA with CSHFpEF, a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fter excluding patients with an eGFR &lt;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60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 mL/(min×1.73m2)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.</w:t>
      </w:r>
    </w:p>
    <w:tbl>
      <w:tblPr>
        <w:tblStyle w:val="4"/>
        <w:tblW w:w="4997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1"/>
        <w:gridCol w:w="1444"/>
        <w:gridCol w:w="2008"/>
        <w:gridCol w:w="1021"/>
        <w:gridCol w:w="271"/>
        <w:gridCol w:w="2009"/>
        <w:gridCol w:w="1022"/>
      </w:tblGrid>
      <w:tr w14:paraId="7C9EA7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l2br w:val="nil"/>
              <w:tr2bl w:val="nil"/>
            </w:tcBorders>
            <w:vAlign w:val="center"/>
          </w:tcPr>
          <w:p w14:paraId="7C9EA769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pct"/>
            <w:vMerge w:val="restart"/>
            <w:tcBorders>
              <w:tl2br w:val="nil"/>
              <w:tr2bl w:val="nil"/>
            </w:tcBorders>
            <w:vAlign w:val="center"/>
          </w:tcPr>
          <w:p w14:paraId="7C9EA76A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Cases (%)</w:t>
            </w:r>
          </w:p>
        </w:tc>
        <w:tc>
          <w:tcPr>
            <w:tcW w:w="940" w:type="pct"/>
            <w:tcBorders>
              <w:bottom w:val="single" w:color="auto" w:sz="4" w:space="0"/>
            </w:tcBorders>
            <w:vAlign w:val="center"/>
          </w:tcPr>
          <w:p w14:paraId="7C9EA76B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1</w:t>
            </w:r>
          </w:p>
        </w:tc>
        <w:tc>
          <w:tcPr>
            <w:tcW w:w="478" w:type="pct"/>
            <w:tcBorders>
              <w:bottom w:val="single" w:color="auto" w:sz="4" w:space="0"/>
            </w:tcBorders>
            <w:vAlign w:val="center"/>
          </w:tcPr>
          <w:p w14:paraId="7C9EA76C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" w:type="pct"/>
            <w:tcBorders>
              <w:tl2br w:val="nil"/>
              <w:tr2bl w:val="nil"/>
            </w:tcBorders>
            <w:vAlign w:val="center"/>
          </w:tcPr>
          <w:p w14:paraId="7C9EA76D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bottom w:val="single" w:color="auto" w:sz="4" w:space="0"/>
            </w:tcBorders>
            <w:vAlign w:val="center"/>
          </w:tcPr>
          <w:p w14:paraId="7C9EA76E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2</w:t>
            </w:r>
          </w:p>
        </w:tc>
        <w:tc>
          <w:tcPr>
            <w:tcW w:w="478" w:type="pct"/>
            <w:tcBorders>
              <w:bottom w:val="single" w:color="auto" w:sz="4" w:space="0"/>
            </w:tcBorders>
            <w:vAlign w:val="center"/>
          </w:tcPr>
          <w:p w14:paraId="7C9EA76F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7C9EA7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71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72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773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R (95 % CI)</w:t>
            </w:r>
          </w:p>
        </w:tc>
        <w:tc>
          <w:tcPr>
            <w:tcW w:w="478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774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2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75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776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O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R (95 % CI)</w:t>
            </w:r>
          </w:p>
        </w:tc>
        <w:tc>
          <w:tcPr>
            <w:tcW w:w="478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777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14:paraId="7C9EA7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single" w:color="auto" w:sz="12" w:space="0"/>
              <w:tl2br w:val="nil"/>
              <w:tr2bl w:val="nil"/>
            </w:tcBorders>
          </w:tcPr>
          <w:p w14:paraId="7C9EA779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Water Distribution</w:t>
            </w:r>
          </w:p>
        </w:tc>
        <w:tc>
          <w:tcPr>
            <w:tcW w:w="67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7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7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78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7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7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7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78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7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7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bottom w:val="nil"/>
              <w:right w:val="nil"/>
              <w:tl2br w:val="nil"/>
              <w:tr2bl w:val="nil"/>
            </w:tcBorders>
            <w:vAlign w:val="center"/>
          </w:tcPr>
          <w:p w14:paraId="7C9EA78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</w:p>
        </w:tc>
        <w:tc>
          <w:tcPr>
            <w:tcW w:w="676" w:type="pct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1.08 (0.97~1.20)</w:t>
            </w:r>
          </w:p>
        </w:tc>
        <w:tc>
          <w:tcPr>
            <w:tcW w:w="478" w:type="pct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0.149</w:t>
            </w:r>
          </w:p>
        </w:tc>
        <w:tc>
          <w:tcPr>
            <w:tcW w:w="127" w:type="pct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1.18 (0.98~1.41)</w:t>
            </w:r>
          </w:p>
        </w:tc>
        <w:tc>
          <w:tcPr>
            <w:tcW w:w="478" w:type="pct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0.077</w:t>
            </w:r>
          </w:p>
        </w:tc>
      </w:tr>
      <w:tr w14:paraId="7C9EA7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1.03 (0.99~1.07)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0.213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1.07 (1.00~1.15)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8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0.061</w:t>
            </w:r>
          </w:p>
        </w:tc>
      </w:tr>
      <w:tr w14:paraId="7C9EA7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ICW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1.04 (0.97~1.11)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0.267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1.12 (1.00~1.27)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0.056</w:t>
            </w:r>
          </w:p>
        </w:tc>
      </w:tr>
      <w:tr w14:paraId="7C9EA7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of whole body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1.23 (0.95~1.60)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0.113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0.96 (0.67~1.38)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9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0.829</w:t>
            </w:r>
          </w:p>
        </w:tc>
      </w:tr>
      <w:tr w14:paraId="7C9EA7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A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A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A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1.21 (0.95~1.55)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A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0.125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A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A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0.95 (0.67~1.34)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A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0.776</w:t>
            </w:r>
          </w:p>
        </w:tc>
      </w:tr>
      <w:tr w14:paraId="7C9EA7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A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A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A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1.21 (0.96~1.52)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A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0.101</w:t>
            </w:r>
          </w:p>
        </w:tc>
        <w:tc>
          <w:tcPr>
            <w:tcW w:w="127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A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A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0.99 (0.73~1.36)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7A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0.974</w:t>
            </w:r>
          </w:p>
        </w:tc>
      </w:tr>
      <w:tr w14:paraId="7C9EA7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op w:val="single" w:color="auto" w:sz="4" w:space="0"/>
              <w:tl2br w:val="nil"/>
              <w:tr2bl w:val="nil"/>
            </w:tcBorders>
          </w:tcPr>
          <w:p w14:paraId="7C9EA7B1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hase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 xml:space="preserve"> A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ngle</w:t>
            </w:r>
          </w:p>
        </w:tc>
        <w:tc>
          <w:tcPr>
            <w:tcW w:w="676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B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B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78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B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B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B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78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7B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7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l2br w:val="nil"/>
              <w:tr2bl w:val="nil"/>
            </w:tcBorders>
            <w:vAlign w:val="center"/>
          </w:tcPr>
          <w:p w14:paraId="7C9EA7B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w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hole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ody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7C9EA7B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tl2br w:val="nil"/>
              <w:tr2bl w:val="nil"/>
            </w:tcBorders>
            <w:vAlign w:val="center"/>
          </w:tcPr>
          <w:p w14:paraId="7C9EA7B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0.74 (0.53~1.02)</w:t>
            </w:r>
          </w:p>
        </w:tc>
        <w:tc>
          <w:tcPr>
            <w:tcW w:w="478" w:type="pct"/>
            <w:tcBorders>
              <w:tl2br w:val="nil"/>
              <w:tr2bl w:val="nil"/>
            </w:tcBorders>
            <w:vAlign w:val="center"/>
          </w:tcPr>
          <w:p w14:paraId="7C9EA7B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0.07</w:t>
            </w:r>
          </w:p>
        </w:tc>
        <w:tc>
          <w:tcPr>
            <w:tcW w:w="127" w:type="pct"/>
            <w:tcBorders>
              <w:tl2br w:val="nil"/>
              <w:tr2bl w:val="nil"/>
            </w:tcBorders>
            <w:vAlign w:val="center"/>
          </w:tcPr>
          <w:p w14:paraId="7C9EA7B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l2br w:val="nil"/>
              <w:tr2bl w:val="nil"/>
            </w:tcBorders>
            <w:vAlign w:val="center"/>
          </w:tcPr>
          <w:p w14:paraId="7C9EA7B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0.91 (0.58~1.44)</w:t>
            </w:r>
          </w:p>
        </w:tc>
        <w:tc>
          <w:tcPr>
            <w:tcW w:w="478" w:type="pct"/>
            <w:tcBorders>
              <w:tl2br w:val="nil"/>
              <w:tr2bl w:val="nil"/>
            </w:tcBorders>
            <w:vAlign w:val="center"/>
          </w:tcPr>
          <w:p w14:paraId="7C9EA7B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0.692</w:t>
            </w:r>
          </w:p>
        </w:tc>
      </w:tr>
      <w:tr w14:paraId="7C9EA7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tl2br w:val="nil"/>
              <w:tr2bl w:val="nil"/>
            </w:tcBorders>
            <w:vAlign w:val="center"/>
          </w:tcPr>
          <w:p w14:paraId="7C9EA7C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7C9EA7C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tl2br w:val="nil"/>
              <w:tr2bl w:val="nil"/>
            </w:tcBorders>
            <w:vAlign w:val="center"/>
          </w:tcPr>
          <w:p w14:paraId="7C9EA7C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1.10 (0.93~1.31)</w:t>
            </w:r>
          </w:p>
        </w:tc>
        <w:tc>
          <w:tcPr>
            <w:tcW w:w="478" w:type="pct"/>
            <w:tcBorders>
              <w:tl2br w:val="nil"/>
              <w:tr2bl w:val="nil"/>
            </w:tcBorders>
            <w:vAlign w:val="center"/>
          </w:tcPr>
          <w:p w14:paraId="7C9EA7C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0.265</w:t>
            </w:r>
          </w:p>
        </w:tc>
        <w:tc>
          <w:tcPr>
            <w:tcW w:w="127" w:type="pct"/>
            <w:tcBorders>
              <w:tl2br w:val="nil"/>
              <w:tr2bl w:val="nil"/>
            </w:tcBorders>
            <w:vAlign w:val="center"/>
          </w:tcPr>
          <w:p w14:paraId="7C9EA7C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tl2br w:val="nil"/>
              <w:tr2bl w:val="nil"/>
            </w:tcBorders>
            <w:vAlign w:val="center"/>
          </w:tcPr>
          <w:p w14:paraId="7C9EA7C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1.26 (1.02~1.56)</w:t>
            </w:r>
          </w:p>
        </w:tc>
        <w:tc>
          <w:tcPr>
            <w:tcW w:w="478" w:type="pct"/>
            <w:tcBorders>
              <w:tl2br w:val="nil"/>
              <w:tr2bl w:val="nil"/>
            </w:tcBorders>
            <w:vAlign w:val="center"/>
          </w:tcPr>
          <w:p w14:paraId="7C9EA7C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0.028</w:t>
            </w:r>
          </w:p>
        </w:tc>
      </w:tr>
      <w:tr w14:paraId="7C9EA7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C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PA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676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C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138 (43.3)</w:t>
            </w:r>
          </w:p>
        </w:tc>
        <w:tc>
          <w:tcPr>
            <w:tcW w:w="940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C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0.78 (0.59~1.03)</w:t>
            </w:r>
          </w:p>
        </w:tc>
        <w:tc>
          <w:tcPr>
            <w:tcW w:w="47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C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0.079</w:t>
            </w:r>
          </w:p>
        </w:tc>
        <w:tc>
          <w:tcPr>
            <w:tcW w:w="12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C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40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C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0.93 (0.63~1.36)</w:t>
            </w:r>
          </w:p>
        </w:tc>
        <w:tc>
          <w:tcPr>
            <w:tcW w:w="47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C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0.690</w:t>
            </w:r>
          </w:p>
        </w:tc>
      </w:tr>
    </w:tbl>
    <w:p w14:paraId="7C9EA7D1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1: unadjusted.</w:t>
      </w:r>
    </w:p>
    <w:p w14:paraId="7C9EA7D2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2: adjusted for sex, age, atrial fibrillation, coronary heart disease.</w:t>
      </w:r>
    </w:p>
    <w:p w14:paraId="7C9EA7D3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URWPalladioL-Bold" w:cs="Times New Roman"/>
          <w:color w:val="000000"/>
          <w:sz w:val="21"/>
          <w:szCs w:val="21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PA, phase angle; CSHFpEF, Chronic stable heart failure with preserved ejection fraction; eGFR, estimated glomerular filtration rate; BMI, body mass index; ECW, extracellular water; TBW, total body water, ICW, intracellular water.</w:t>
      </w:r>
    </w:p>
    <w:p w14:paraId="7C9EA7D4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</w:p>
    <w:p w14:paraId="7C9EA7D5">
      <w:pPr>
        <w:spacing w:line="240" w:lineRule="auto"/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Supplementary 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Table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8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The Association between water distribution and PA with ln(NT-proBNP), a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fter excluding patients with an eGFR &lt;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60</w:t>
      </w:r>
      <w:r>
        <w:rPr>
          <w:rFonts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 xml:space="preserve"> mL/(min×1.73m2)</w:t>
      </w:r>
      <w:r>
        <w:rPr>
          <w:rFonts w:hint="eastAsia" w:ascii="Times New Roman" w:hAnsi="Times New Roman" w:eastAsia="URWPalladioL-Bold"/>
          <w:b/>
          <w:bCs/>
          <w:color w:val="000000"/>
          <w:sz w:val="21"/>
          <w:szCs w:val="21"/>
          <w:lang w:eastAsia="zh-CN"/>
        </w:rPr>
        <w:t>.</w:t>
      </w:r>
    </w:p>
    <w:tbl>
      <w:tblPr>
        <w:tblStyle w:val="4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1"/>
        <w:gridCol w:w="2399"/>
        <w:gridCol w:w="1233"/>
        <w:gridCol w:w="293"/>
        <w:gridCol w:w="2399"/>
        <w:gridCol w:w="1233"/>
      </w:tblGrid>
      <w:tr w14:paraId="7C9EA7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l2br w:val="nil"/>
              <w:tr2bl w:val="nil"/>
            </w:tcBorders>
            <w:vAlign w:val="center"/>
          </w:tcPr>
          <w:p w14:paraId="7C9EA7D6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bottom w:val="single" w:color="auto" w:sz="4" w:space="0"/>
            </w:tcBorders>
            <w:vAlign w:val="center"/>
          </w:tcPr>
          <w:p w14:paraId="7C9EA7D7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1</w:t>
            </w:r>
          </w:p>
        </w:tc>
        <w:tc>
          <w:tcPr>
            <w:tcW w:w="577" w:type="pct"/>
            <w:tcBorders>
              <w:bottom w:val="single" w:color="auto" w:sz="4" w:space="0"/>
            </w:tcBorders>
            <w:vAlign w:val="center"/>
          </w:tcPr>
          <w:p w14:paraId="7C9EA7D8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" w:type="pct"/>
            <w:tcBorders>
              <w:tl2br w:val="nil"/>
              <w:tr2bl w:val="nil"/>
            </w:tcBorders>
            <w:vAlign w:val="center"/>
          </w:tcPr>
          <w:p w14:paraId="7C9EA7D9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bottom w:val="single" w:color="auto" w:sz="4" w:space="0"/>
            </w:tcBorders>
            <w:vAlign w:val="center"/>
          </w:tcPr>
          <w:p w14:paraId="7C9EA7DA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Model 2</w:t>
            </w:r>
          </w:p>
        </w:tc>
        <w:tc>
          <w:tcPr>
            <w:tcW w:w="577" w:type="pct"/>
            <w:tcBorders>
              <w:bottom w:val="single" w:color="auto" w:sz="4" w:space="0"/>
            </w:tcBorders>
            <w:vAlign w:val="center"/>
          </w:tcPr>
          <w:p w14:paraId="7C9EA7DB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7C9EA7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DD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7DE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β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 xml:space="preserve"> (95 % CI)</w:t>
            </w:r>
          </w:p>
        </w:tc>
        <w:tc>
          <w:tcPr>
            <w:tcW w:w="577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7DF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3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7E0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3" w:type="pct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C9EA7E1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  <w:lang w:eastAsia="zh-CN"/>
              </w:rPr>
              <w:t>β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 xml:space="preserve"> (95 % CI)</w:t>
            </w:r>
          </w:p>
        </w:tc>
        <w:tc>
          <w:tcPr>
            <w:tcW w:w="577" w:type="pct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7C9EA7E2">
            <w:pPr>
              <w:widowControl w:val="0"/>
              <w:spacing w:line="240" w:lineRule="auto"/>
              <w:jc w:val="both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14:paraId="7C9EA7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single" w:color="auto" w:sz="12" w:space="0"/>
              <w:tl2br w:val="nil"/>
              <w:tr2bl w:val="nil"/>
            </w:tcBorders>
          </w:tcPr>
          <w:p w14:paraId="7C9EA7E4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Water Distribution</w:t>
            </w:r>
          </w:p>
        </w:tc>
        <w:tc>
          <w:tcPr>
            <w:tcW w:w="1123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E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E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E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3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E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C9EA7E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7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bottom w:val="nil"/>
              <w:right w:val="nil"/>
              <w:tl2br w:val="nil"/>
              <w:tr2bl w:val="nil"/>
            </w:tcBorders>
            <w:vAlign w:val="center"/>
          </w:tcPr>
          <w:p w14:paraId="7C9EA7E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</w:p>
        </w:tc>
        <w:tc>
          <w:tcPr>
            <w:tcW w:w="2399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E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-0.07 (-0.14~0.01)</w:t>
            </w:r>
          </w:p>
        </w:tc>
        <w:tc>
          <w:tcPr>
            <w:tcW w:w="1233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E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0.069</w:t>
            </w:r>
          </w:p>
        </w:tc>
        <w:tc>
          <w:tcPr>
            <w:tcW w:w="293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E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E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-0.11 (-0.21~-0.02)</w:t>
            </w:r>
          </w:p>
        </w:tc>
        <w:tc>
          <w:tcPr>
            <w:tcW w:w="1233" w:type="dxa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0.020</w:t>
            </w:r>
          </w:p>
        </w:tc>
      </w:tr>
      <w:tr w14:paraId="7C9EA7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-0.04 (-0.07~-0.02)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-0.07 (-0.11~-0.03)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7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ICW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-0.09 (-0.14~-0.04)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-0.14 (-0.20~-0.08)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7F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8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of whole body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0.65 (0.50~0.80)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0.50 (0.33~0.66)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8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0.63 (0.49~0.77)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0.49 (0.33~0.64)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EA80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80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ECW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TBW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80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0.55 (0.42~0.68)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81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81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812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0.41 (0.27~0.55)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C9EA81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8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op w:val="single" w:color="auto" w:sz="4" w:space="0"/>
              <w:tl2br w:val="nil"/>
              <w:tr2bl w:val="nil"/>
            </w:tcBorders>
          </w:tcPr>
          <w:p w14:paraId="7C9EA815">
            <w:pPr>
              <w:widowControl w:val="0"/>
              <w:spacing w:line="240" w:lineRule="auto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hase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 xml:space="preserve"> A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ngle</w:t>
            </w:r>
          </w:p>
        </w:tc>
        <w:tc>
          <w:tcPr>
            <w:tcW w:w="239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81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81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9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81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819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9EA81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14:paraId="7C9EA8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l2br w:val="nil"/>
              <w:tr2bl w:val="nil"/>
            </w:tcBorders>
            <w:vAlign w:val="center"/>
          </w:tcPr>
          <w:p w14:paraId="7C9EA81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w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hole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ody</w:t>
            </w:r>
          </w:p>
        </w:tc>
        <w:tc>
          <w:tcPr>
            <w:tcW w:w="2399" w:type="dxa"/>
            <w:tcBorders>
              <w:tl2br w:val="nil"/>
              <w:tr2bl w:val="nil"/>
            </w:tcBorders>
            <w:vAlign w:val="center"/>
          </w:tcPr>
          <w:p w14:paraId="7C9EA81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-0.90 (-1.09~-0.70)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vAlign w:val="center"/>
          </w:tcPr>
          <w:p w14:paraId="7C9EA81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tl2br w:val="nil"/>
              <w:tr2bl w:val="nil"/>
            </w:tcBorders>
            <w:vAlign w:val="center"/>
          </w:tcPr>
          <w:p w14:paraId="7C9EA81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l2br w:val="nil"/>
              <w:tr2bl w:val="nil"/>
            </w:tcBorders>
            <w:vAlign w:val="center"/>
          </w:tcPr>
          <w:p w14:paraId="7C9EA820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-0.74 (-0.95~-0.52)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vAlign w:val="center"/>
          </w:tcPr>
          <w:p w14:paraId="7C9EA821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  <w:tr w14:paraId="7C9EA8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tl2br w:val="nil"/>
              <w:tr2bl w:val="nil"/>
            </w:tcBorders>
            <w:vAlign w:val="center"/>
          </w:tcPr>
          <w:p w14:paraId="7C9EA823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PA of t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runk</w:t>
            </w:r>
          </w:p>
        </w:tc>
        <w:tc>
          <w:tcPr>
            <w:tcW w:w="2399" w:type="dxa"/>
            <w:tcBorders>
              <w:tl2br w:val="nil"/>
              <w:tr2bl w:val="nil"/>
            </w:tcBorders>
            <w:vAlign w:val="center"/>
          </w:tcPr>
          <w:p w14:paraId="7C9EA824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-0.17 (-0.28~-0.06)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vAlign w:val="center"/>
          </w:tcPr>
          <w:p w14:paraId="7C9EA825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0.003</w:t>
            </w:r>
          </w:p>
        </w:tc>
        <w:tc>
          <w:tcPr>
            <w:tcW w:w="293" w:type="dxa"/>
            <w:tcBorders>
              <w:tl2br w:val="nil"/>
              <w:tr2bl w:val="nil"/>
            </w:tcBorders>
            <w:vAlign w:val="center"/>
          </w:tcPr>
          <w:p w14:paraId="7C9EA826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tl2br w:val="nil"/>
              <w:tr2bl w:val="nil"/>
            </w:tcBorders>
            <w:vAlign w:val="center"/>
          </w:tcPr>
          <w:p w14:paraId="7C9EA827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-0.08 (-0.18~0.02)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vAlign w:val="center"/>
          </w:tcPr>
          <w:p w14:paraId="7C9EA828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0.101</w:t>
            </w:r>
          </w:p>
        </w:tc>
      </w:tr>
      <w:tr w14:paraId="7C9EA8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82A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URWPalladioL-Bold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PA 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of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 xml:space="preserve"> leg</w:t>
            </w:r>
          </w:p>
        </w:tc>
        <w:tc>
          <w:tcPr>
            <w:tcW w:w="239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82B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-0.80 (-0.96~-0.63)</w:t>
            </w:r>
          </w:p>
        </w:tc>
        <w:tc>
          <w:tcPr>
            <w:tcW w:w="123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82C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29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82D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9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82E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-0.67 (-0.85~-0.49)</w:t>
            </w:r>
          </w:p>
        </w:tc>
        <w:tc>
          <w:tcPr>
            <w:tcW w:w="123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9EA82F">
            <w:pPr>
              <w:widowControl w:val="0"/>
              <w:spacing w:line="240" w:lineRule="auto"/>
              <w:ind w:firstLine="180" w:firstLineChars="100"/>
              <w:jc w:val="both"/>
              <w:rPr>
                <w:rFonts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</w:tr>
    </w:tbl>
    <w:p w14:paraId="7C9EA831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1: unadjusted.</w:t>
      </w:r>
    </w:p>
    <w:p w14:paraId="7C9EA832">
      <w:pPr>
        <w:pStyle w:val="2"/>
        <w:spacing w:beforeAutospacing="0" w:afterAutospacing="0" w:line="240" w:lineRule="auto"/>
        <w:jc w:val="both"/>
        <w:rPr>
          <w:rFonts w:ascii="Times New Roman" w:hAnsi="Times New Roman" w:eastAsia="URWPalladioL-Bold"/>
          <w:color w:val="000000"/>
          <w:sz w:val="21"/>
          <w:szCs w:val="21"/>
        </w:rPr>
      </w:pPr>
      <w:r>
        <w:rPr>
          <w:rFonts w:ascii="Times New Roman" w:hAnsi="Times New Roman" w:eastAsia="URWPalladioL-Bold"/>
          <w:color w:val="000000"/>
          <w:sz w:val="21"/>
          <w:szCs w:val="21"/>
        </w:rPr>
        <w:t>Model 2: adjusted for sex, age, atrial fibrillation, coronary heart disease.</w:t>
      </w:r>
    </w:p>
    <w:p w14:paraId="7C9EA833">
      <w:pPr>
        <w:spacing w:line="240" w:lineRule="auto"/>
        <w:rPr>
          <w:rFonts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ascii="Times New Roman" w:hAnsi="Times New Roman" w:eastAsia="URWPalladioL-Bold" w:cs="Times New Roman"/>
          <w:color w:val="000000"/>
          <w:sz w:val="21"/>
          <w:szCs w:val="21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PA, phase angle; eGFR, estimated glomerular filtration rate; BMI, body mass index; ECW, extracellular water; TBW, total body water, ICW, intracellular water.</w:t>
      </w:r>
    </w:p>
    <w:p w14:paraId="665D9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URWPalladioL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URWPalladioL-It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jMDJiMmZhYWMxMDIwYTQ1MjRiYWUyMDJhNTM5ZjkifQ=="/>
  </w:docVars>
  <w:rsids>
    <w:rsidRoot w:val="00000000"/>
    <w:rsid w:val="006D1B3C"/>
    <w:rsid w:val="00CB5A32"/>
    <w:rsid w:val="02E334E5"/>
    <w:rsid w:val="04D74A36"/>
    <w:rsid w:val="060E24E1"/>
    <w:rsid w:val="08843074"/>
    <w:rsid w:val="0F40288F"/>
    <w:rsid w:val="117E46D0"/>
    <w:rsid w:val="12BB2E2B"/>
    <w:rsid w:val="142A18A2"/>
    <w:rsid w:val="183C72FC"/>
    <w:rsid w:val="1A695C81"/>
    <w:rsid w:val="1BA665A9"/>
    <w:rsid w:val="1E593087"/>
    <w:rsid w:val="20D66F83"/>
    <w:rsid w:val="20E61F8D"/>
    <w:rsid w:val="217D43D2"/>
    <w:rsid w:val="246C0633"/>
    <w:rsid w:val="25916979"/>
    <w:rsid w:val="297A02F3"/>
    <w:rsid w:val="2AC87988"/>
    <w:rsid w:val="2B3E30FF"/>
    <w:rsid w:val="306C7DC6"/>
    <w:rsid w:val="34E940DB"/>
    <w:rsid w:val="39BD0020"/>
    <w:rsid w:val="3CF46D1B"/>
    <w:rsid w:val="3E6673A8"/>
    <w:rsid w:val="3EA13418"/>
    <w:rsid w:val="409F3916"/>
    <w:rsid w:val="44A47F95"/>
    <w:rsid w:val="453374A0"/>
    <w:rsid w:val="463A2C0A"/>
    <w:rsid w:val="46E42955"/>
    <w:rsid w:val="47397C27"/>
    <w:rsid w:val="4CF6539B"/>
    <w:rsid w:val="4F974A08"/>
    <w:rsid w:val="553B4087"/>
    <w:rsid w:val="5697353F"/>
    <w:rsid w:val="593210AB"/>
    <w:rsid w:val="5A6B4414"/>
    <w:rsid w:val="5DB21091"/>
    <w:rsid w:val="60E27AAD"/>
    <w:rsid w:val="60E47381"/>
    <w:rsid w:val="654152E7"/>
    <w:rsid w:val="6D4713C4"/>
    <w:rsid w:val="6EF81D81"/>
    <w:rsid w:val="73FD58D7"/>
    <w:rsid w:val="77B96678"/>
    <w:rsid w:val="7EF9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MS Mincho" w:cs="宋体"/>
      <w:sz w:val="24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</w:pPr>
    <w:rPr>
      <w:rFonts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1132</Words>
  <Characters>5810</Characters>
  <Lines>0</Lines>
  <Paragraphs>0</Paragraphs>
  <TotalTime>2</TotalTime>
  <ScaleCrop>false</ScaleCrop>
  <LinksUpToDate>false</LinksUpToDate>
  <CharactersWithSpaces>6560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2024-11-14T02:01:00Z</dcterms:created>
  <dc:creator>lenovo</dc:creator>
  <cp:lastModifiedBy>杨红</cp:lastModifiedBy>
  <dcterms:modified xsi:type="dcterms:W3CDTF">2026-08-15T08:23:54Z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6214C3E4E2E3494D9B2BB4B51DDAEB4F_13</vt:lpwstr>
  </property>
  <property fmtid="{D5CDD505-2E9C-101B-9397-08002B2CF9AE}" pid="4" name="KSOTemplateDocerSaveRecord">
    <vt:lpwstr>eyJoZGlkIjoiYTI5YTYzNWZmZDMzOTBlMDNkNmM2ZDk0MDI4YzlhZmUiLCJ1c2VySWQiOiI1NjUzNjA4MzgifQ==</vt:lpwstr>
  </property>
</Properties>
</file>