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1EA9D" w14:textId="391FFA53" w:rsidR="00DA66E0" w:rsidRPr="00F220D8" w:rsidRDefault="00135850" w:rsidP="00DA66E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rPr>
          <w:rFonts w:ascii="Segoe UI" w:hAnsi="Segoe UI" w:cs="Segoe UI"/>
          <w:color w:val="FF0000"/>
          <w:sz w:val="22"/>
          <w:lang w:val="en-US"/>
        </w:rPr>
      </w:pPr>
      <w:r w:rsidRPr="00F220D8">
        <w:rPr>
          <w:rFonts w:ascii="Segoe UI" w:hAnsi="Segoe UI" w:cs="Segoe UI"/>
          <w:color w:val="FF0000"/>
          <w:sz w:val="22"/>
          <w:lang w:val="en-US"/>
        </w:rPr>
        <w:t xml:space="preserve">Supplementary Table </w:t>
      </w:r>
      <w:r w:rsidR="00F86523" w:rsidRPr="00F220D8">
        <w:rPr>
          <w:rFonts w:ascii="Segoe UI" w:hAnsi="Segoe UI" w:cs="Segoe UI"/>
          <w:color w:val="FF0000"/>
          <w:sz w:val="22"/>
          <w:lang w:val="en-US"/>
        </w:rPr>
        <w:t>S</w:t>
      </w:r>
      <w:r w:rsidR="00DA66E0" w:rsidRPr="00F220D8">
        <w:rPr>
          <w:rFonts w:ascii="Segoe UI" w:hAnsi="Segoe UI" w:cs="Segoe UI"/>
          <w:color w:val="FF0000"/>
          <w:sz w:val="22"/>
          <w:lang w:val="en-US"/>
        </w:rPr>
        <w:t>5</w:t>
      </w:r>
      <w:r w:rsidR="00F86523" w:rsidRPr="00F220D8">
        <w:rPr>
          <w:rFonts w:ascii="Segoe UI" w:hAnsi="Segoe UI" w:cs="Segoe UI"/>
          <w:color w:val="FF0000"/>
          <w:sz w:val="22"/>
          <w:lang w:val="en-US"/>
        </w:rPr>
        <w:t xml:space="preserve">. </w:t>
      </w:r>
      <w:r w:rsidR="00DA66E0" w:rsidRPr="00F220D8">
        <w:rPr>
          <w:rFonts w:ascii="Segoe UI" w:hAnsi="Segoe UI" w:cs="Segoe UI"/>
          <w:color w:val="FF0000"/>
          <w:sz w:val="22"/>
          <w:lang w:val="en-US"/>
        </w:rPr>
        <w:t>Comparison of frailty between low-gradient and high-gradient aortic stenosis groups</w:t>
      </w:r>
    </w:p>
    <w:p w14:paraId="301C4E7D" w14:textId="77777777" w:rsidR="00DA66E0" w:rsidRPr="00F220D8" w:rsidRDefault="00DA66E0" w:rsidP="00DA66E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rPr>
          <w:rFonts w:ascii="Segoe UI" w:hAnsi="Segoe UI" w:cs="Segoe UI"/>
          <w:color w:val="FF0000"/>
          <w:sz w:val="22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8"/>
        <w:gridCol w:w="1963"/>
        <w:gridCol w:w="2103"/>
        <w:gridCol w:w="1269"/>
        <w:gridCol w:w="765"/>
      </w:tblGrid>
      <w:tr w:rsidR="00DA66E0" w14:paraId="06074517" w14:textId="77777777">
        <w:tc>
          <w:tcPr>
            <w:tcW w:w="3227" w:type="dxa"/>
            <w:hideMark/>
          </w:tcPr>
          <w:p w14:paraId="72B2612F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b/>
                <w:bCs/>
                <w:color w:val="FF0000"/>
                <w:kern w:val="2"/>
                <w:sz w:val="22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FF0000"/>
                <w:kern w:val="2"/>
                <w:sz w:val="22"/>
              </w:rPr>
              <w:t>Parameter</w:t>
            </w:r>
            <w:proofErr w:type="spellEnd"/>
          </w:p>
        </w:tc>
        <w:tc>
          <w:tcPr>
            <w:tcW w:w="1984" w:type="dxa"/>
            <w:hideMark/>
          </w:tcPr>
          <w:p w14:paraId="40474FF5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b/>
                <w:bCs/>
                <w:color w:val="FF0000"/>
                <w:kern w:val="2"/>
                <w:sz w:val="22"/>
              </w:rPr>
            </w:pPr>
            <w:proofErr w:type="spellStart"/>
            <w:r>
              <w:rPr>
                <w:rFonts w:ascii="Segoe UI" w:hAnsi="Segoe UI" w:cs="Segoe UI"/>
                <w:b/>
                <w:bCs/>
                <w:color w:val="FF0000"/>
                <w:kern w:val="2"/>
                <w:sz w:val="22"/>
              </w:rPr>
              <w:t>Low</w:t>
            </w:r>
            <w:proofErr w:type="spellEnd"/>
            <w:r>
              <w:rPr>
                <w:rFonts w:ascii="Segoe UI" w:hAnsi="Segoe UI" w:cs="Segoe UI"/>
                <w:b/>
                <w:bCs/>
                <w:color w:val="FF0000"/>
                <w:kern w:val="2"/>
                <w:sz w:val="22"/>
              </w:rPr>
              <w:t>-gradient AS, n=15</w:t>
            </w:r>
          </w:p>
        </w:tc>
        <w:tc>
          <w:tcPr>
            <w:tcW w:w="2127" w:type="dxa"/>
            <w:hideMark/>
          </w:tcPr>
          <w:p w14:paraId="0AD34040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b/>
                <w:bCs/>
                <w:color w:val="FF0000"/>
                <w:kern w:val="2"/>
                <w:sz w:val="22"/>
              </w:rPr>
            </w:pPr>
            <w:r>
              <w:rPr>
                <w:rFonts w:ascii="Segoe UI" w:hAnsi="Segoe UI" w:cs="Segoe UI"/>
                <w:b/>
                <w:bCs/>
                <w:color w:val="FF0000"/>
                <w:kern w:val="2"/>
                <w:sz w:val="22"/>
              </w:rPr>
              <w:t>High-gradient AS, n=98</w:t>
            </w:r>
          </w:p>
        </w:tc>
        <w:tc>
          <w:tcPr>
            <w:tcW w:w="1275" w:type="dxa"/>
            <w:hideMark/>
          </w:tcPr>
          <w:p w14:paraId="65548D59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b/>
                <w:bCs/>
                <w:color w:val="FF0000"/>
                <w:kern w:val="2"/>
                <w:sz w:val="22"/>
              </w:rPr>
            </w:pPr>
            <w:r>
              <w:rPr>
                <w:rFonts w:ascii="Segoe UI" w:hAnsi="Segoe UI" w:cs="Segoe UI"/>
                <w:b/>
                <w:bCs/>
                <w:color w:val="FF0000"/>
                <w:kern w:val="2"/>
                <w:sz w:val="22"/>
              </w:rPr>
              <w:t xml:space="preserve">Test </w:t>
            </w:r>
            <w:proofErr w:type="spellStart"/>
            <w:r>
              <w:rPr>
                <w:rFonts w:ascii="Segoe UI" w:hAnsi="Segoe UI" w:cs="Segoe UI"/>
                <w:b/>
                <w:bCs/>
                <w:color w:val="FF0000"/>
                <w:kern w:val="2"/>
                <w:sz w:val="22"/>
              </w:rPr>
              <w:t>statistic</w:t>
            </w:r>
            <w:proofErr w:type="spellEnd"/>
          </w:p>
        </w:tc>
        <w:tc>
          <w:tcPr>
            <w:tcW w:w="675" w:type="dxa"/>
            <w:hideMark/>
          </w:tcPr>
          <w:p w14:paraId="77BF6EB6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b/>
                <w:bCs/>
                <w:color w:val="FF0000"/>
                <w:kern w:val="2"/>
                <w:sz w:val="22"/>
              </w:rPr>
            </w:pPr>
            <w:r>
              <w:rPr>
                <w:rFonts w:ascii="Segoe UI" w:hAnsi="Segoe UI" w:cs="Segoe UI"/>
                <w:b/>
                <w:bCs/>
                <w:color w:val="FF0000"/>
                <w:kern w:val="2"/>
                <w:sz w:val="22"/>
              </w:rPr>
              <w:t>p-</w:t>
            </w:r>
            <w:proofErr w:type="spellStart"/>
            <w:r>
              <w:rPr>
                <w:rFonts w:ascii="Segoe UI" w:hAnsi="Segoe UI" w:cs="Segoe UI"/>
                <w:b/>
                <w:bCs/>
                <w:color w:val="FF0000"/>
                <w:kern w:val="2"/>
                <w:sz w:val="22"/>
              </w:rPr>
              <w:t>value</w:t>
            </w:r>
            <w:proofErr w:type="spellEnd"/>
          </w:p>
        </w:tc>
      </w:tr>
      <w:tr w:rsidR="00DA66E0" w14:paraId="12A05E54" w14:textId="77777777">
        <w:tc>
          <w:tcPr>
            <w:tcW w:w="3227" w:type="dxa"/>
            <w:hideMark/>
          </w:tcPr>
          <w:p w14:paraId="5FF23854" w14:textId="19E24493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  <w:lang w:val="en-US"/>
              </w:rPr>
            </w:pPr>
            <w:r>
              <w:rPr>
                <w:rFonts w:ascii="Segoe UI" w:hAnsi="Segoe UI" w:cs="Segoe UI"/>
                <w:color w:val="FF0000"/>
                <w:kern w:val="2"/>
                <w:sz w:val="22"/>
                <w:lang w:val="en-US"/>
              </w:rPr>
              <w:t xml:space="preserve">Physical TFI, </w:t>
            </w:r>
            <w:r>
              <w:rPr>
                <w:rFonts w:ascii="Segoe UI" w:hAnsi="Segoe UI" w:cs="Segoe UI"/>
                <w:color w:val="FF0000"/>
                <w:kern w:val="2"/>
                <w:sz w:val="22"/>
                <w:lang w:val="en-US"/>
              </w:rPr>
              <w:t>Me</w:t>
            </w:r>
            <w:r>
              <w:rPr>
                <w:rFonts w:ascii="Segoe UI" w:hAnsi="Segoe UI" w:cs="Segoe UI"/>
                <w:color w:val="FF0000"/>
                <w:kern w:val="2"/>
                <w:sz w:val="22"/>
                <w:lang w:val="en-US"/>
              </w:rPr>
              <w:t xml:space="preserve"> (Q1–Q3)</w:t>
            </w:r>
          </w:p>
        </w:tc>
        <w:tc>
          <w:tcPr>
            <w:tcW w:w="1984" w:type="dxa"/>
            <w:hideMark/>
          </w:tcPr>
          <w:p w14:paraId="6A67D876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</w:rPr>
            </w:pPr>
            <w:r>
              <w:rPr>
                <w:rFonts w:ascii="Segoe UI" w:hAnsi="Segoe UI" w:cs="Segoe UI"/>
                <w:color w:val="FF0000"/>
                <w:kern w:val="2"/>
                <w:sz w:val="22"/>
              </w:rPr>
              <w:t>3.0 (3.0–5.0)</w:t>
            </w:r>
          </w:p>
        </w:tc>
        <w:tc>
          <w:tcPr>
            <w:tcW w:w="2127" w:type="dxa"/>
            <w:hideMark/>
          </w:tcPr>
          <w:p w14:paraId="2CE820ED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</w:rPr>
            </w:pPr>
            <w:r>
              <w:rPr>
                <w:rFonts w:ascii="Segoe UI" w:hAnsi="Segoe UI" w:cs="Segoe UI"/>
                <w:color w:val="FF0000"/>
                <w:kern w:val="2"/>
                <w:sz w:val="22"/>
              </w:rPr>
              <w:t>4.0 (3.0–5.75)</w:t>
            </w:r>
          </w:p>
        </w:tc>
        <w:tc>
          <w:tcPr>
            <w:tcW w:w="1275" w:type="dxa"/>
            <w:hideMark/>
          </w:tcPr>
          <w:p w14:paraId="6043F9D0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</w:rPr>
            </w:pPr>
            <w:r>
              <w:rPr>
                <w:rFonts w:ascii="Segoe UI" w:hAnsi="Segoe UI" w:cs="Segoe UI"/>
                <w:color w:val="FF0000"/>
                <w:kern w:val="2"/>
                <w:sz w:val="22"/>
              </w:rPr>
              <w:t>U = 659.0</w:t>
            </w:r>
          </w:p>
        </w:tc>
        <w:tc>
          <w:tcPr>
            <w:tcW w:w="675" w:type="dxa"/>
            <w:hideMark/>
          </w:tcPr>
          <w:p w14:paraId="2AD398F9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</w:rPr>
            </w:pPr>
            <w:r>
              <w:rPr>
                <w:rFonts w:ascii="Segoe UI" w:hAnsi="Segoe UI" w:cs="Segoe UI"/>
                <w:color w:val="FF0000"/>
                <w:kern w:val="2"/>
                <w:sz w:val="22"/>
              </w:rPr>
              <w:t>0.518</w:t>
            </w:r>
          </w:p>
        </w:tc>
      </w:tr>
      <w:tr w:rsidR="00DA66E0" w14:paraId="738A997A" w14:textId="77777777">
        <w:tc>
          <w:tcPr>
            <w:tcW w:w="3227" w:type="dxa"/>
            <w:hideMark/>
          </w:tcPr>
          <w:p w14:paraId="2D4F7623" w14:textId="682031D1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</w:rPr>
            </w:pPr>
            <w:proofErr w:type="spellStart"/>
            <w:r>
              <w:rPr>
                <w:rFonts w:ascii="Segoe UI" w:hAnsi="Segoe UI" w:cs="Segoe UI"/>
                <w:color w:val="FF0000"/>
                <w:kern w:val="2"/>
                <w:sz w:val="22"/>
              </w:rPr>
              <w:t>Psychological</w:t>
            </w:r>
            <w:proofErr w:type="spellEnd"/>
            <w:r>
              <w:rPr>
                <w:rFonts w:ascii="Segoe UI" w:hAnsi="Segoe UI" w:cs="Segoe UI"/>
                <w:color w:val="FF0000"/>
                <w:kern w:val="2"/>
                <w:sz w:val="22"/>
              </w:rPr>
              <w:t xml:space="preserve"> TFI, </w:t>
            </w:r>
            <w:r>
              <w:rPr>
                <w:rFonts w:ascii="Segoe UI" w:hAnsi="Segoe UI" w:cs="Segoe UI"/>
                <w:color w:val="FF0000"/>
                <w:kern w:val="2"/>
                <w:sz w:val="22"/>
              </w:rPr>
              <w:t>Me</w:t>
            </w:r>
            <w:r>
              <w:rPr>
                <w:rFonts w:ascii="Segoe UI" w:hAnsi="Segoe UI" w:cs="Segoe UI"/>
                <w:color w:val="FF0000"/>
                <w:kern w:val="2"/>
                <w:sz w:val="22"/>
              </w:rPr>
              <w:t xml:space="preserve"> (Q1–Q3)</w:t>
            </w:r>
          </w:p>
        </w:tc>
        <w:tc>
          <w:tcPr>
            <w:tcW w:w="1984" w:type="dxa"/>
            <w:hideMark/>
          </w:tcPr>
          <w:p w14:paraId="5C73EA57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</w:rPr>
            </w:pPr>
            <w:r>
              <w:rPr>
                <w:rFonts w:ascii="Segoe UI" w:hAnsi="Segoe UI" w:cs="Segoe UI"/>
                <w:color w:val="FF0000"/>
                <w:kern w:val="2"/>
                <w:sz w:val="22"/>
              </w:rPr>
              <w:t>2.0 (1.0–2.5)</w:t>
            </w:r>
          </w:p>
        </w:tc>
        <w:tc>
          <w:tcPr>
            <w:tcW w:w="2127" w:type="dxa"/>
            <w:hideMark/>
          </w:tcPr>
          <w:p w14:paraId="65F1EC56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</w:rPr>
            </w:pPr>
            <w:r>
              <w:rPr>
                <w:rFonts w:ascii="Segoe UI" w:hAnsi="Segoe UI" w:cs="Segoe UI"/>
                <w:color w:val="FF0000"/>
                <w:kern w:val="2"/>
                <w:sz w:val="22"/>
              </w:rPr>
              <w:t>2.0 (1.0–3.0)</w:t>
            </w:r>
          </w:p>
        </w:tc>
        <w:tc>
          <w:tcPr>
            <w:tcW w:w="1275" w:type="dxa"/>
            <w:hideMark/>
          </w:tcPr>
          <w:p w14:paraId="0D048C31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</w:rPr>
            </w:pPr>
            <w:r>
              <w:rPr>
                <w:rFonts w:ascii="Segoe UI" w:hAnsi="Segoe UI" w:cs="Segoe UI"/>
                <w:color w:val="FF0000"/>
                <w:kern w:val="2"/>
                <w:sz w:val="22"/>
              </w:rPr>
              <w:t>U = 723.5</w:t>
            </w:r>
          </w:p>
        </w:tc>
        <w:tc>
          <w:tcPr>
            <w:tcW w:w="675" w:type="dxa"/>
            <w:hideMark/>
          </w:tcPr>
          <w:p w14:paraId="0282EB54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</w:rPr>
            </w:pPr>
            <w:r>
              <w:rPr>
                <w:rFonts w:ascii="Segoe UI" w:hAnsi="Segoe UI" w:cs="Segoe UI"/>
                <w:color w:val="FF0000"/>
                <w:kern w:val="2"/>
                <w:sz w:val="22"/>
              </w:rPr>
              <w:t>0.923</w:t>
            </w:r>
          </w:p>
        </w:tc>
      </w:tr>
      <w:tr w:rsidR="00DA66E0" w14:paraId="3EBFAF3B" w14:textId="77777777">
        <w:tc>
          <w:tcPr>
            <w:tcW w:w="3227" w:type="dxa"/>
            <w:hideMark/>
          </w:tcPr>
          <w:p w14:paraId="272EE4B8" w14:textId="6EAB6A66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  <w:lang w:val="en-US"/>
              </w:rPr>
            </w:pPr>
            <w:r>
              <w:rPr>
                <w:rFonts w:ascii="Segoe UI" w:hAnsi="Segoe UI" w:cs="Segoe UI"/>
                <w:color w:val="FF0000"/>
                <w:kern w:val="2"/>
                <w:sz w:val="22"/>
                <w:lang w:val="en-US"/>
              </w:rPr>
              <w:t xml:space="preserve">Social TFI, </w:t>
            </w:r>
            <w:r>
              <w:rPr>
                <w:rFonts w:ascii="Segoe UI" w:hAnsi="Segoe UI" w:cs="Segoe UI"/>
                <w:color w:val="FF0000"/>
                <w:kern w:val="2"/>
                <w:sz w:val="22"/>
                <w:lang w:val="en-US"/>
              </w:rPr>
              <w:t>Me</w:t>
            </w:r>
            <w:r>
              <w:rPr>
                <w:rFonts w:ascii="Segoe UI" w:hAnsi="Segoe UI" w:cs="Segoe UI"/>
                <w:color w:val="FF0000"/>
                <w:kern w:val="2"/>
                <w:sz w:val="22"/>
                <w:lang w:val="en-US"/>
              </w:rPr>
              <w:t xml:space="preserve"> (Q1–Q3)</w:t>
            </w:r>
          </w:p>
        </w:tc>
        <w:tc>
          <w:tcPr>
            <w:tcW w:w="1984" w:type="dxa"/>
            <w:hideMark/>
          </w:tcPr>
          <w:p w14:paraId="4D0939F0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</w:rPr>
            </w:pPr>
            <w:r>
              <w:rPr>
                <w:rFonts w:ascii="Segoe UI" w:hAnsi="Segoe UI" w:cs="Segoe UI"/>
                <w:color w:val="FF0000"/>
                <w:kern w:val="2"/>
                <w:sz w:val="22"/>
              </w:rPr>
              <w:t>1.0 (1.0–2.0)</w:t>
            </w:r>
          </w:p>
        </w:tc>
        <w:tc>
          <w:tcPr>
            <w:tcW w:w="2127" w:type="dxa"/>
            <w:hideMark/>
          </w:tcPr>
          <w:p w14:paraId="760096E2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</w:rPr>
            </w:pPr>
            <w:r>
              <w:rPr>
                <w:rFonts w:ascii="Segoe UI" w:hAnsi="Segoe UI" w:cs="Segoe UI"/>
                <w:color w:val="FF0000"/>
                <w:kern w:val="2"/>
                <w:sz w:val="22"/>
              </w:rPr>
              <w:t>1.0 (1.0–2.0)</w:t>
            </w:r>
          </w:p>
        </w:tc>
        <w:tc>
          <w:tcPr>
            <w:tcW w:w="1275" w:type="dxa"/>
            <w:hideMark/>
          </w:tcPr>
          <w:p w14:paraId="0FA94F1F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</w:rPr>
            </w:pPr>
            <w:r>
              <w:rPr>
                <w:rFonts w:ascii="Segoe UI" w:hAnsi="Segoe UI" w:cs="Segoe UI"/>
                <w:color w:val="FF0000"/>
                <w:kern w:val="2"/>
                <w:sz w:val="22"/>
              </w:rPr>
              <w:t>U = 842.0</w:t>
            </w:r>
          </w:p>
        </w:tc>
        <w:tc>
          <w:tcPr>
            <w:tcW w:w="675" w:type="dxa"/>
            <w:hideMark/>
          </w:tcPr>
          <w:p w14:paraId="6D4D04D7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</w:rPr>
            </w:pPr>
            <w:r>
              <w:rPr>
                <w:rFonts w:ascii="Segoe UI" w:hAnsi="Segoe UI" w:cs="Segoe UI"/>
                <w:color w:val="FF0000"/>
                <w:kern w:val="2"/>
                <w:sz w:val="22"/>
              </w:rPr>
              <w:t>0.332</w:t>
            </w:r>
          </w:p>
        </w:tc>
      </w:tr>
      <w:tr w:rsidR="00DA66E0" w14:paraId="55FE5018" w14:textId="77777777">
        <w:tc>
          <w:tcPr>
            <w:tcW w:w="3227" w:type="dxa"/>
            <w:hideMark/>
          </w:tcPr>
          <w:p w14:paraId="5AB23F7A" w14:textId="66AF7DFC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  <w:lang w:val="en-US"/>
              </w:rPr>
            </w:pPr>
            <w:r>
              <w:rPr>
                <w:rFonts w:ascii="Segoe UI" w:hAnsi="Segoe UI" w:cs="Segoe UI"/>
                <w:color w:val="FF0000"/>
                <w:kern w:val="2"/>
                <w:sz w:val="22"/>
                <w:lang w:val="en-US"/>
              </w:rPr>
              <w:t xml:space="preserve">Overall TFI score, </w:t>
            </w:r>
            <w:r>
              <w:rPr>
                <w:rFonts w:ascii="Segoe UI" w:hAnsi="Segoe UI" w:cs="Segoe UI"/>
                <w:color w:val="FF0000"/>
                <w:kern w:val="2"/>
                <w:sz w:val="22"/>
                <w:lang w:val="en-US"/>
              </w:rPr>
              <w:t>Me</w:t>
            </w:r>
            <w:r>
              <w:rPr>
                <w:rFonts w:ascii="Segoe UI" w:hAnsi="Segoe UI" w:cs="Segoe UI"/>
                <w:color w:val="FF0000"/>
                <w:kern w:val="2"/>
                <w:sz w:val="22"/>
                <w:lang w:val="en-US"/>
              </w:rPr>
              <w:t xml:space="preserve"> (Q1–Q3)</w:t>
            </w:r>
          </w:p>
        </w:tc>
        <w:tc>
          <w:tcPr>
            <w:tcW w:w="1984" w:type="dxa"/>
            <w:hideMark/>
          </w:tcPr>
          <w:p w14:paraId="033A0B62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</w:rPr>
            </w:pPr>
            <w:r>
              <w:rPr>
                <w:rFonts w:ascii="Segoe UI" w:hAnsi="Segoe UI" w:cs="Segoe UI"/>
                <w:color w:val="FF0000"/>
                <w:kern w:val="2"/>
                <w:sz w:val="22"/>
              </w:rPr>
              <w:t>7.0 (5.5–9.0)</w:t>
            </w:r>
          </w:p>
        </w:tc>
        <w:tc>
          <w:tcPr>
            <w:tcW w:w="2127" w:type="dxa"/>
            <w:hideMark/>
          </w:tcPr>
          <w:p w14:paraId="64D35CD5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</w:rPr>
            </w:pPr>
            <w:r>
              <w:rPr>
                <w:rFonts w:ascii="Segoe UI" w:hAnsi="Segoe UI" w:cs="Segoe UI"/>
                <w:color w:val="FF0000"/>
                <w:kern w:val="2"/>
                <w:sz w:val="22"/>
              </w:rPr>
              <w:t>7.0 (5.25–9.0)</w:t>
            </w:r>
          </w:p>
        </w:tc>
        <w:tc>
          <w:tcPr>
            <w:tcW w:w="1275" w:type="dxa"/>
            <w:hideMark/>
          </w:tcPr>
          <w:p w14:paraId="1B9D33FF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</w:rPr>
            </w:pPr>
            <w:r>
              <w:rPr>
                <w:rFonts w:ascii="Segoe UI" w:hAnsi="Segoe UI" w:cs="Segoe UI"/>
                <w:color w:val="FF0000"/>
                <w:kern w:val="2"/>
                <w:sz w:val="22"/>
              </w:rPr>
              <w:t>U = 720.5</w:t>
            </w:r>
          </w:p>
        </w:tc>
        <w:tc>
          <w:tcPr>
            <w:tcW w:w="675" w:type="dxa"/>
            <w:hideMark/>
          </w:tcPr>
          <w:p w14:paraId="78E0753B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</w:rPr>
            </w:pPr>
            <w:r>
              <w:rPr>
                <w:rFonts w:ascii="Segoe UI" w:hAnsi="Segoe UI" w:cs="Segoe UI"/>
                <w:color w:val="FF0000"/>
                <w:kern w:val="2"/>
                <w:sz w:val="22"/>
              </w:rPr>
              <w:t>0.905</w:t>
            </w:r>
          </w:p>
        </w:tc>
      </w:tr>
      <w:tr w:rsidR="00DA66E0" w14:paraId="2385D177" w14:textId="77777777">
        <w:tc>
          <w:tcPr>
            <w:tcW w:w="3227" w:type="dxa"/>
            <w:hideMark/>
          </w:tcPr>
          <w:p w14:paraId="185385B5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</w:rPr>
            </w:pPr>
            <w:proofErr w:type="spellStart"/>
            <w:r>
              <w:rPr>
                <w:rFonts w:ascii="Segoe UI" w:hAnsi="Segoe UI" w:cs="Segoe UI"/>
                <w:color w:val="FF0000"/>
                <w:kern w:val="2"/>
                <w:sz w:val="22"/>
              </w:rPr>
              <w:t>Frailty</w:t>
            </w:r>
            <w:proofErr w:type="spellEnd"/>
            <w:r>
              <w:rPr>
                <w:rFonts w:ascii="Segoe UI" w:hAnsi="Segoe UI" w:cs="Segoe UI"/>
                <w:color w:val="FF0000"/>
                <w:kern w:val="2"/>
                <w:sz w:val="22"/>
              </w:rPr>
              <w:t>, n (%)</w:t>
            </w:r>
          </w:p>
        </w:tc>
        <w:tc>
          <w:tcPr>
            <w:tcW w:w="1984" w:type="dxa"/>
            <w:hideMark/>
          </w:tcPr>
          <w:p w14:paraId="573D3430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</w:rPr>
            </w:pPr>
            <w:r>
              <w:rPr>
                <w:rFonts w:ascii="Segoe UI" w:hAnsi="Segoe UI" w:cs="Segoe UI"/>
                <w:color w:val="FF0000"/>
                <w:kern w:val="2"/>
                <w:sz w:val="22"/>
              </w:rPr>
              <w:t>12 (80.0%)</w:t>
            </w:r>
          </w:p>
        </w:tc>
        <w:tc>
          <w:tcPr>
            <w:tcW w:w="2127" w:type="dxa"/>
            <w:hideMark/>
          </w:tcPr>
          <w:p w14:paraId="6208018F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</w:rPr>
            </w:pPr>
            <w:r>
              <w:rPr>
                <w:rFonts w:ascii="Segoe UI" w:hAnsi="Segoe UI" w:cs="Segoe UI"/>
                <w:color w:val="FF0000"/>
                <w:kern w:val="2"/>
                <w:sz w:val="22"/>
              </w:rPr>
              <w:t>81 (82.7%)</w:t>
            </w:r>
          </w:p>
        </w:tc>
        <w:tc>
          <w:tcPr>
            <w:tcW w:w="1275" w:type="dxa"/>
            <w:vMerge w:val="restart"/>
            <w:hideMark/>
          </w:tcPr>
          <w:p w14:paraId="6830A8E8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</w:rPr>
            </w:pPr>
            <w:proofErr w:type="spellStart"/>
            <w:r>
              <w:rPr>
                <w:rFonts w:ascii="Segoe UI" w:hAnsi="Segoe UI" w:cs="Segoe UI"/>
                <w:color w:val="FF0000"/>
                <w:kern w:val="2"/>
                <w:sz w:val="22"/>
              </w:rPr>
              <w:t>Fisher’s</w:t>
            </w:r>
            <w:proofErr w:type="spellEnd"/>
            <w:r>
              <w:rPr>
                <w:rFonts w:ascii="Segoe UI" w:hAnsi="Segoe UI" w:cs="Segoe UI"/>
                <w:color w:val="FF0000"/>
                <w:kern w:val="2"/>
                <w:sz w:val="22"/>
              </w:rPr>
              <w:t xml:space="preserve"> </w:t>
            </w:r>
            <w:proofErr w:type="spellStart"/>
            <w:r>
              <w:rPr>
                <w:rFonts w:ascii="Segoe UI" w:hAnsi="Segoe UI" w:cs="Segoe UI"/>
                <w:color w:val="FF0000"/>
                <w:kern w:val="2"/>
                <w:sz w:val="22"/>
              </w:rPr>
              <w:t>exact</w:t>
            </w:r>
            <w:proofErr w:type="spellEnd"/>
            <w:r>
              <w:rPr>
                <w:rFonts w:ascii="Segoe UI" w:hAnsi="Segoe UI" w:cs="Segoe UI"/>
                <w:color w:val="FF0000"/>
                <w:kern w:val="2"/>
                <w:sz w:val="22"/>
              </w:rPr>
              <w:t xml:space="preserve"> test</w:t>
            </w:r>
          </w:p>
        </w:tc>
        <w:tc>
          <w:tcPr>
            <w:tcW w:w="675" w:type="dxa"/>
            <w:vMerge w:val="restart"/>
            <w:hideMark/>
          </w:tcPr>
          <w:p w14:paraId="2DCCC3F1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</w:rPr>
            </w:pPr>
            <w:r>
              <w:rPr>
                <w:rFonts w:ascii="Segoe UI" w:hAnsi="Segoe UI" w:cs="Segoe UI"/>
                <w:color w:val="FF0000"/>
                <w:kern w:val="2"/>
                <w:sz w:val="22"/>
              </w:rPr>
              <w:t>0.728</w:t>
            </w:r>
          </w:p>
        </w:tc>
      </w:tr>
      <w:tr w:rsidR="00DA66E0" w14:paraId="7BDC3657" w14:textId="77777777">
        <w:tc>
          <w:tcPr>
            <w:tcW w:w="3227" w:type="dxa"/>
            <w:hideMark/>
          </w:tcPr>
          <w:p w14:paraId="5FC17EB2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</w:rPr>
            </w:pPr>
            <w:r>
              <w:rPr>
                <w:rFonts w:ascii="Segoe UI" w:hAnsi="Segoe UI" w:cs="Segoe UI"/>
                <w:color w:val="FF0000"/>
                <w:kern w:val="2"/>
                <w:sz w:val="22"/>
              </w:rPr>
              <w:t xml:space="preserve">No </w:t>
            </w:r>
            <w:proofErr w:type="spellStart"/>
            <w:r>
              <w:rPr>
                <w:rFonts w:ascii="Segoe UI" w:hAnsi="Segoe UI" w:cs="Segoe UI"/>
                <w:color w:val="FF0000"/>
                <w:kern w:val="2"/>
                <w:sz w:val="22"/>
              </w:rPr>
              <w:t>frailty</w:t>
            </w:r>
            <w:proofErr w:type="spellEnd"/>
            <w:r>
              <w:rPr>
                <w:rFonts w:ascii="Segoe UI" w:hAnsi="Segoe UI" w:cs="Segoe UI"/>
                <w:color w:val="FF0000"/>
                <w:kern w:val="2"/>
                <w:sz w:val="22"/>
              </w:rPr>
              <w:t>, n (%)</w:t>
            </w:r>
          </w:p>
        </w:tc>
        <w:tc>
          <w:tcPr>
            <w:tcW w:w="1984" w:type="dxa"/>
            <w:hideMark/>
          </w:tcPr>
          <w:p w14:paraId="1D2662E9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</w:rPr>
            </w:pPr>
            <w:r>
              <w:rPr>
                <w:rFonts w:ascii="Segoe UI" w:hAnsi="Segoe UI" w:cs="Segoe UI"/>
                <w:color w:val="FF0000"/>
                <w:kern w:val="2"/>
                <w:sz w:val="22"/>
              </w:rPr>
              <w:t>3 (20.0%)</w:t>
            </w:r>
          </w:p>
        </w:tc>
        <w:tc>
          <w:tcPr>
            <w:tcW w:w="2127" w:type="dxa"/>
            <w:hideMark/>
          </w:tcPr>
          <w:p w14:paraId="64AD3BDD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</w:rPr>
            </w:pPr>
            <w:r>
              <w:rPr>
                <w:rFonts w:ascii="Segoe UI" w:hAnsi="Segoe UI" w:cs="Segoe UI"/>
                <w:color w:val="FF0000"/>
                <w:kern w:val="2"/>
                <w:sz w:val="22"/>
              </w:rPr>
              <w:t>17 (17.3%)</w:t>
            </w:r>
          </w:p>
        </w:tc>
        <w:tc>
          <w:tcPr>
            <w:tcW w:w="1275" w:type="dxa"/>
            <w:vMerge/>
            <w:hideMark/>
          </w:tcPr>
          <w:p w14:paraId="64DE8877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</w:rPr>
            </w:pPr>
          </w:p>
        </w:tc>
        <w:tc>
          <w:tcPr>
            <w:tcW w:w="675" w:type="dxa"/>
            <w:vMerge/>
            <w:hideMark/>
          </w:tcPr>
          <w:p w14:paraId="48262EBF" w14:textId="77777777" w:rsidR="00DA66E0" w:rsidRDefault="00DA66E0">
            <w:pPr>
              <w:spacing w:after="160" w:line="276" w:lineRule="auto"/>
              <w:rPr>
                <w:rFonts w:ascii="Segoe UI" w:hAnsi="Segoe UI" w:cs="Segoe UI"/>
                <w:color w:val="FF0000"/>
                <w:kern w:val="2"/>
                <w:sz w:val="22"/>
              </w:rPr>
            </w:pPr>
          </w:p>
        </w:tc>
      </w:tr>
    </w:tbl>
    <w:p w14:paraId="2D56F672" w14:textId="03CE50A1" w:rsidR="00F86523" w:rsidRPr="00F220D8" w:rsidRDefault="00F86523" w:rsidP="00DA66E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rPr>
          <w:rFonts w:ascii="Segoe UI" w:hAnsi="Segoe UI" w:cs="Segoe UI"/>
          <w:color w:val="FF0000"/>
          <w:sz w:val="22"/>
          <w:lang w:val="en-US"/>
        </w:rPr>
      </w:pPr>
      <w:r w:rsidRPr="00F220D8">
        <w:rPr>
          <w:rFonts w:ascii="Segoe UI" w:hAnsi="Segoe UI" w:cs="Segoe UI"/>
          <w:color w:val="FF0000"/>
          <w:sz w:val="22"/>
          <w:lang w:val="en-GB"/>
        </w:rPr>
        <w:t xml:space="preserve">Me – median; </w:t>
      </w:r>
      <w:r w:rsidR="00DA66E0" w:rsidRPr="00F220D8">
        <w:rPr>
          <w:rFonts w:ascii="Segoe UI" w:hAnsi="Segoe UI" w:cs="Segoe UI"/>
          <w:color w:val="FF0000"/>
          <w:sz w:val="22"/>
          <w:lang w:val="en-GB"/>
        </w:rPr>
        <w:t xml:space="preserve">Q1 - </w:t>
      </w:r>
      <w:r w:rsidR="00FB056B" w:rsidRPr="00F220D8">
        <w:rPr>
          <w:rFonts w:ascii="Segoe UI" w:hAnsi="Segoe UI" w:cs="Segoe UI"/>
          <w:color w:val="FF0000"/>
          <w:sz w:val="22"/>
          <w:lang w:val="en-US"/>
        </w:rPr>
        <w:t>first quartile; Q3</w:t>
      </w:r>
      <w:r w:rsidR="00FB056B" w:rsidRPr="00F220D8">
        <w:rPr>
          <w:rFonts w:ascii="Segoe UI" w:hAnsi="Segoe UI" w:cs="Segoe UI"/>
          <w:color w:val="FF0000"/>
          <w:sz w:val="22"/>
          <w:lang w:val="en-US"/>
        </w:rPr>
        <w:t xml:space="preserve"> -</w:t>
      </w:r>
      <w:r w:rsidR="00FB056B" w:rsidRPr="00F220D8">
        <w:rPr>
          <w:rFonts w:ascii="Segoe UI" w:hAnsi="Segoe UI" w:cs="Segoe UI"/>
          <w:color w:val="FF0000"/>
          <w:sz w:val="22"/>
          <w:lang w:val="en-US"/>
        </w:rPr>
        <w:t xml:space="preserve"> third quartile</w:t>
      </w:r>
      <w:r w:rsidR="00DA66E0" w:rsidRPr="00F220D8">
        <w:rPr>
          <w:rFonts w:ascii="Segoe UI" w:hAnsi="Segoe UI" w:cs="Segoe UI"/>
          <w:color w:val="FF0000"/>
          <w:sz w:val="22"/>
          <w:lang w:val="en-GB"/>
        </w:rPr>
        <w:t xml:space="preserve">; n </w:t>
      </w:r>
      <w:r w:rsidR="00FB056B" w:rsidRPr="00F220D8">
        <w:rPr>
          <w:rFonts w:ascii="Segoe UI" w:hAnsi="Segoe UI" w:cs="Segoe UI"/>
          <w:color w:val="FF0000"/>
          <w:sz w:val="22"/>
          <w:lang w:val="en-GB"/>
        </w:rPr>
        <w:t>– number of patients</w:t>
      </w:r>
      <w:r w:rsidR="00DA66E0" w:rsidRPr="00F220D8">
        <w:rPr>
          <w:rFonts w:ascii="Segoe UI" w:hAnsi="Segoe UI" w:cs="Segoe UI"/>
          <w:color w:val="FF0000"/>
          <w:sz w:val="22"/>
          <w:lang w:val="en-GB"/>
        </w:rPr>
        <w:t xml:space="preserve">; </w:t>
      </w:r>
      <w:r w:rsidRPr="00F220D8">
        <w:rPr>
          <w:rFonts w:ascii="Segoe UI" w:hAnsi="Segoe UI" w:cs="Segoe UI"/>
          <w:color w:val="FF0000"/>
          <w:sz w:val="22"/>
          <w:lang w:val="en-GB"/>
        </w:rPr>
        <w:t xml:space="preserve"> </w:t>
      </w:r>
      <w:r w:rsidR="00DA66E0" w:rsidRPr="00F220D8">
        <w:rPr>
          <w:rFonts w:ascii="Segoe UI" w:hAnsi="Segoe UI" w:cs="Segoe UI"/>
          <w:color w:val="FF0000"/>
          <w:sz w:val="22"/>
          <w:lang w:val="en-GB"/>
        </w:rPr>
        <w:t xml:space="preserve">AS – aortic stenosis; </w:t>
      </w:r>
      <w:r w:rsidRPr="00F220D8">
        <w:rPr>
          <w:rFonts w:ascii="Segoe UI" w:hAnsi="Segoe UI" w:cs="Segoe UI"/>
          <w:color w:val="FF0000"/>
          <w:sz w:val="22"/>
          <w:lang w:val="en-GB"/>
        </w:rPr>
        <w:t>TFI - Tilburg Frailty Index</w:t>
      </w:r>
      <w:r w:rsidR="00DA66E0" w:rsidRPr="00F220D8">
        <w:rPr>
          <w:rFonts w:ascii="Segoe UI" w:hAnsi="Segoe UI" w:cs="Segoe UI"/>
          <w:color w:val="FF0000"/>
          <w:sz w:val="22"/>
          <w:lang w:val="en-GB"/>
        </w:rPr>
        <w:t>.</w:t>
      </w:r>
    </w:p>
    <w:sectPr w:rsidR="00F86523" w:rsidRPr="00F220D8" w:rsidSect="009A50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2385"/>
    <w:rsid w:val="000B475F"/>
    <w:rsid w:val="00132DD8"/>
    <w:rsid w:val="00135850"/>
    <w:rsid w:val="002C45B2"/>
    <w:rsid w:val="004B759E"/>
    <w:rsid w:val="004E3EF8"/>
    <w:rsid w:val="006C7D19"/>
    <w:rsid w:val="008D5BDF"/>
    <w:rsid w:val="00911D08"/>
    <w:rsid w:val="00914EC4"/>
    <w:rsid w:val="009A50FB"/>
    <w:rsid w:val="00A5408C"/>
    <w:rsid w:val="00AA2385"/>
    <w:rsid w:val="00B620AB"/>
    <w:rsid w:val="00B92122"/>
    <w:rsid w:val="00BF6A9D"/>
    <w:rsid w:val="00C8396D"/>
    <w:rsid w:val="00D3230A"/>
    <w:rsid w:val="00D353F4"/>
    <w:rsid w:val="00D75E59"/>
    <w:rsid w:val="00DA66E0"/>
    <w:rsid w:val="00E160C6"/>
    <w:rsid w:val="00F220D8"/>
    <w:rsid w:val="00F86523"/>
    <w:rsid w:val="00F9004A"/>
    <w:rsid w:val="00FB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3945C"/>
  <w15:chartTrackingRefBased/>
  <w15:docId w15:val="{B73557CF-C2B0-4A41-A38D-DA0510A79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Calibri" w:hAnsi="Apto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5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2385"/>
    <w:pPr>
      <w:spacing w:after="120"/>
      <w:jc w:val="both"/>
    </w:pPr>
    <w:rPr>
      <w:rFonts w:ascii="Times New Roman" w:eastAsia="Times New Roman" w:hAnsi="Times New Roman"/>
      <w:sz w:val="24"/>
      <w:szCs w:val="22"/>
      <w:lang w:eastAsia="ja-JP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C8396D"/>
    <w:pPr>
      <w:keepNext/>
      <w:keepLines/>
      <w:spacing w:before="240" w:after="0"/>
      <w:outlineLvl w:val="0"/>
    </w:pPr>
    <w:rPr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C8396D"/>
    <w:pPr>
      <w:keepNext/>
      <w:spacing w:before="240" w:after="60"/>
      <w:outlineLvl w:val="1"/>
    </w:pPr>
    <w:rPr>
      <w:b/>
      <w:bCs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5"/>
    <w:unhideWhenUsed/>
    <w:qFormat/>
    <w:rsid w:val="004B759E"/>
    <w:pPr>
      <w:keepNext/>
      <w:keepLines/>
      <w:spacing w:before="40" w:after="0"/>
      <w:outlineLvl w:val="2"/>
    </w:pPr>
    <w:rPr>
      <w:b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A2385"/>
    <w:pPr>
      <w:keepNext/>
      <w:keepLines/>
      <w:spacing w:before="80" w:after="40"/>
      <w:outlineLvl w:val="3"/>
    </w:pPr>
    <w:rPr>
      <w:rFonts w:ascii="Aptos" w:hAnsi="Aptos"/>
      <w:i/>
      <w:iCs/>
      <w:color w:val="0F476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A2385"/>
    <w:pPr>
      <w:keepNext/>
      <w:keepLines/>
      <w:spacing w:before="80" w:after="40"/>
      <w:outlineLvl w:val="4"/>
    </w:pPr>
    <w:rPr>
      <w:rFonts w:ascii="Aptos" w:hAnsi="Aptos"/>
      <w:color w:val="0F476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A2385"/>
    <w:pPr>
      <w:keepNext/>
      <w:keepLines/>
      <w:spacing w:before="40" w:after="0"/>
      <w:outlineLvl w:val="5"/>
    </w:pPr>
    <w:rPr>
      <w:rFonts w:ascii="Aptos" w:hAnsi="Aptos"/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A2385"/>
    <w:pPr>
      <w:keepNext/>
      <w:keepLines/>
      <w:spacing w:before="40" w:after="0"/>
      <w:outlineLvl w:val="6"/>
    </w:pPr>
    <w:rPr>
      <w:rFonts w:ascii="Aptos" w:hAnsi="Aptos"/>
      <w:color w:val="595959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A2385"/>
    <w:pPr>
      <w:keepNext/>
      <w:keepLines/>
      <w:spacing w:after="0"/>
      <w:outlineLvl w:val="7"/>
    </w:pPr>
    <w:rPr>
      <w:rFonts w:ascii="Aptos" w:hAnsi="Aptos"/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A2385"/>
    <w:pPr>
      <w:keepNext/>
      <w:keepLines/>
      <w:spacing w:after="0"/>
      <w:outlineLvl w:val="8"/>
    </w:pPr>
    <w:rPr>
      <w:rFonts w:ascii="Aptos" w:hAnsi="Aptos"/>
      <w:color w:val="272727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uiPriority w:val="5"/>
    <w:rsid w:val="004B759E"/>
    <w:rPr>
      <w:rFonts w:ascii="Times New Roman" w:eastAsia="Times New Roman" w:hAnsi="Times New Roman" w:cs="Times New Roman"/>
      <w:b/>
      <w:sz w:val="24"/>
      <w:szCs w:val="24"/>
      <w:lang w:val="en-GB"/>
    </w:rPr>
  </w:style>
  <w:style w:type="character" w:customStyle="1" w:styleId="Nagwek1Znak">
    <w:name w:val="Nagłówek 1 Znak"/>
    <w:link w:val="Nagwek1"/>
    <w:uiPriority w:val="9"/>
    <w:rsid w:val="00C8396D"/>
    <w:rPr>
      <w:rFonts w:ascii="Times New Roman" w:eastAsia="Times New Roman" w:hAnsi="Times New Roman"/>
      <w:b/>
      <w:sz w:val="32"/>
      <w:szCs w:val="32"/>
    </w:rPr>
  </w:style>
  <w:style w:type="character" w:customStyle="1" w:styleId="Nagwek2Znak">
    <w:name w:val="Nagłówek 2 Znak"/>
    <w:link w:val="Nagwek2"/>
    <w:uiPriority w:val="9"/>
    <w:rsid w:val="00C8396D"/>
    <w:rPr>
      <w:rFonts w:ascii="Times New Roman" w:eastAsia="Times New Roman" w:hAnsi="Times New Roman" w:cs="Times New Roman"/>
      <w:b/>
      <w:bCs/>
      <w:iCs/>
      <w:sz w:val="28"/>
      <w:szCs w:val="28"/>
    </w:rPr>
  </w:style>
  <w:style w:type="character" w:customStyle="1" w:styleId="Nagwek4Znak">
    <w:name w:val="Nagłówek 4 Znak"/>
    <w:link w:val="Nagwek4"/>
    <w:uiPriority w:val="9"/>
    <w:semiHidden/>
    <w:rsid w:val="00AA2385"/>
    <w:rPr>
      <w:rFonts w:eastAsia="Times New Roman" w:cs="Times New Roman"/>
      <w:i/>
      <w:iCs/>
      <w:color w:val="0F4761"/>
      <w:kern w:val="0"/>
      <w:sz w:val="24"/>
    </w:rPr>
  </w:style>
  <w:style w:type="character" w:customStyle="1" w:styleId="Nagwek5Znak">
    <w:name w:val="Nagłówek 5 Znak"/>
    <w:link w:val="Nagwek5"/>
    <w:uiPriority w:val="9"/>
    <w:semiHidden/>
    <w:rsid w:val="00AA2385"/>
    <w:rPr>
      <w:rFonts w:eastAsia="Times New Roman" w:cs="Times New Roman"/>
      <w:color w:val="0F4761"/>
      <w:kern w:val="0"/>
      <w:sz w:val="24"/>
    </w:rPr>
  </w:style>
  <w:style w:type="character" w:customStyle="1" w:styleId="Nagwek6Znak">
    <w:name w:val="Nagłówek 6 Znak"/>
    <w:link w:val="Nagwek6"/>
    <w:uiPriority w:val="9"/>
    <w:semiHidden/>
    <w:rsid w:val="00AA2385"/>
    <w:rPr>
      <w:rFonts w:eastAsia="Times New Roman" w:cs="Times New Roman"/>
      <w:i/>
      <w:iCs/>
      <w:color w:val="595959"/>
      <w:kern w:val="0"/>
      <w:sz w:val="24"/>
    </w:rPr>
  </w:style>
  <w:style w:type="character" w:customStyle="1" w:styleId="Nagwek7Znak">
    <w:name w:val="Nagłówek 7 Znak"/>
    <w:link w:val="Nagwek7"/>
    <w:uiPriority w:val="9"/>
    <w:semiHidden/>
    <w:rsid w:val="00AA2385"/>
    <w:rPr>
      <w:rFonts w:eastAsia="Times New Roman" w:cs="Times New Roman"/>
      <w:color w:val="595959"/>
      <w:kern w:val="0"/>
      <w:sz w:val="24"/>
    </w:rPr>
  </w:style>
  <w:style w:type="character" w:customStyle="1" w:styleId="Nagwek8Znak">
    <w:name w:val="Nagłówek 8 Znak"/>
    <w:link w:val="Nagwek8"/>
    <w:uiPriority w:val="9"/>
    <w:semiHidden/>
    <w:rsid w:val="00AA2385"/>
    <w:rPr>
      <w:rFonts w:eastAsia="Times New Roman" w:cs="Times New Roman"/>
      <w:i/>
      <w:iCs/>
      <w:color w:val="272727"/>
      <w:kern w:val="0"/>
      <w:sz w:val="24"/>
    </w:rPr>
  </w:style>
  <w:style w:type="character" w:customStyle="1" w:styleId="Nagwek9Znak">
    <w:name w:val="Nagłówek 9 Znak"/>
    <w:link w:val="Nagwek9"/>
    <w:uiPriority w:val="9"/>
    <w:semiHidden/>
    <w:rsid w:val="00AA2385"/>
    <w:rPr>
      <w:rFonts w:eastAsia="Times New Roman" w:cs="Times New Roman"/>
      <w:color w:val="272727"/>
      <w:kern w:val="0"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AA2385"/>
    <w:pPr>
      <w:spacing w:after="80"/>
      <w:contextualSpacing/>
    </w:pPr>
    <w:rPr>
      <w:rFonts w:ascii="Aptos Display" w:hAnsi="Aptos Display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AA2385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2385"/>
    <w:pPr>
      <w:numPr>
        <w:ilvl w:val="1"/>
      </w:numPr>
    </w:pPr>
    <w:rPr>
      <w:rFonts w:ascii="Aptos" w:hAnsi="Aptos"/>
      <w:color w:val="595959"/>
      <w:spacing w:val="15"/>
      <w:sz w:val="28"/>
      <w:szCs w:val="28"/>
    </w:rPr>
  </w:style>
  <w:style w:type="character" w:customStyle="1" w:styleId="PodtytuZnak">
    <w:name w:val="Podtytuł Znak"/>
    <w:link w:val="Podtytu"/>
    <w:uiPriority w:val="11"/>
    <w:rsid w:val="00AA2385"/>
    <w:rPr>
      <w:rFonts w:eastAsia="Times New Roman" w:cs="Times New Roman"/>
      <w:color w:val="595959"/>
      <w:spacing w:val="15"/>
      <w:kern w:val="0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A2385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link w:val="Cytat"/>
    <w:uiPriority w:val="29"/>
    <w:rsid w:val="00AA2385"/>
    <w:rPr>
      <w:rFonts w:ascii="Times New Roman" w:hAnsi="Times New Roman" w:cs="Times New Roman"/>
      <w:i/>
      <w:iCs/>
      <w:color w:val="404040"/>
      <w:kern w:val="0"/>
      <w:sz w:val="24"/>
    </w:rPr>
  </w:style>
  <w:style w:type="paragraph" w:styleId="Akapitzlist">
    <w:name w:val="List Paragraph"/>
    <w:basedOn w:val="Normalny"/>
    <w:uiPriority w:val="34"/>
    <w:qFormat/>
    <w:rsid w:val="00AA2385"/>
    <w:pPr>
      <w:ind w:left="720"/>
      <w:contextualSpacing/>
    </w:pPr>
  </w:style>
  <w:style w:type="character" w:styleId="Wyrnienieintensywne">
    <w:name w:val="Intense Emphasis"/>
    <w:uiPriority w:val="21"/>
    <w:qFormat/>
    <w:rsid w:val="00AA2385"/>
    <w:rPr>
      <w:i/>
      <w:iCs/>
      <w:color w:val="0F476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A2385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link w:val="Cytatintensywny"/>
    <w:uiPriority w:val="30"/>
    <w:rsid w:val="00AA2385"/>
    <w:rPr>
      <w:rFonts w:ascii="Times New Roman" w:hAnsi="Times New Roman" w:cs="Times New Roman"/>
      <w:i/>
      <w:iCs/>
      <w:color w:val="0F4761"/>
      <w:kern w:val="0"/>
      <w:sz w:val="24"/>
    </w:rPr>
  </w:style>
  <w:style w:type="character" w:styleId="Odwoanieintensywne">
    <w:name w:val="Intense Reference"/>
    <w:uiPriority w:val="32"/>
    <w:qFormat/>
    <w:rsid w:val="00AA2385"/>
    <w:rPr>
      <w:b/>
      <w:bCs/>
      <w:smallCaps/>
      <w:color w:val="0F4761"/>
      <w:spacing w:val="5"/>
    </w:rPr>
  </w:style>
  <w:style w:type="paragraph" w:customStyle="1" w:styleId="Podpistabeli">
    <w:name w:val="Podpis tabeli"/>
    <w:basedOn w:val="Normalny"/>
    <w:next w:val="Normalny"/>
    <w:qFormat/>
    <w:rsid w:val="00AA2385"/>
    <w:pPr>
      <w:contextualSpacing/>
    </w:pPr>
    <w:rPr>
      <w:sz w:val="18"/>
    </w:rPr>
  </w:style>
  <w:style w:type="table" w:styleId="Tabela-Siatka">
    <w:name w:val="Table Grid"/>
    <w:basedOn w:val="Standardowy"/>
    <w:uiPriority w:val="39"/>
    <w:rsid w:val="002C45B2"/>
    <w:rPr>
      <w:rFonts w:eastAsia="Aptos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SL</dc:creator>
  <cp:keywords/>
  <dc:description/>
  <cp:lastModifiedBy>Natalia SL</cp:lastModifiedBy>
  <cp:revision>4</cp:revision>
  <dcterms:created xsi:type="dcterms:W3CDTF">2026-05-17T21:02:00Z</dcterms:created>
  <dcterms:modified xsi:type="dcterms:W3CDTF">2026-07-18T19:09:00Z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1b422c6c-e2bc-474b-965d-52598ad532cc</vt:lpwstr>
  </property>
</Properties>
</file>