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9F60F" w14:textId="77777777" w:rsidR="00541385" w:rsidRPr="006A7336" w:rsidRDefault="00541385" w:rsidP="00BA1DF3">
      <w:pPr>
        <w:spacing w:line="360" w:lineRule="auto"/>
        <w:rPr>
          <w:rFonts w:ascii="Segoe UI" w:hAnsi="Segoe UI" w:cs="Segoe UI"/>
          <w:b/>
          <w:bCs/>
          <w:sz w:val="22"/>
          <w:lang w:val="en-US"/>
        </w:rPr>
      </w:pPr>
      <w:r w:rsidRPr="006A7336">
        <w:rPr>
          <w:rFonts w:ascii="Segoe UI" w:hAnsi="Segoe UI" w:cs="Segoe UI"/>
          <w:b/>
          <w:bCs/>
          <w:sz w:val="22"/>
          <w:lang w:val="en-US"/>
        </w:rPr>
        <w:t>Prevalence of frailty syndrome among patients with severe aortic stenosis qualified for TAVI</w:t>
      </w:r>
    </w:p>
    <w:p w14:paraId="68715605" w14:textId="77777777" w:rsidR="00013C94" w:rsidRPr="006A7336" w:rsidRDefault="00013C94" w:rsidP="00BA1DF3">
      <w:pPr>
        <w:spacing w:line="360" w:lineRule="auto"/>
        <w:rPr>
          <w:rFonts w:ascii="Segoe UI" w:hAnsi="Segoe UI" w:cs="Segoe UI"/>
          <w:sz w:val="22"/>
          <w:vertAlign w:val="superscript"/>
        </w:rPr>
      </w:pPr>
      <w:r w:rsidRPr="006A7336">
        <w:rPr>
          <w:rFonts w:ascii="Segoe UI" w:hAnsi="Segoe UI" w:cs="Segoe UI"/>
          <w:sz w:val="22"/>
        </w:rPr>
        <w:t>Natalia Świątoniowska-Lonc</w:t>
      </w:r>
      <w:r w:rsidRPr="006A7336">
        <w:rPr>
          <w:rFonts w:ascii="Segoe UI" w:hAnsi="Segoe UI" w:cs="Segoe UI"/>
          <w:sz w:val="22"/>
          <w:vertAlign w:val="superscript"/>
        </w:rPr>
        <w:t>1</w:t>
      </w:r>
      <w:r w:rsidRPr="006A7336">
        <w:rPr>
          <w:rFonts w:ascii="Segoe UI" w:hAnsi="Segoe UI" w:cs="Segoe UI"/>
          <w:sz w:val="22"/>
        </w:rPr>
        <w:t xml:space="preserve">, </w:t>
      </w:r>
      <w:r w:rsidR="00541385" w:rsidRPr="006A7336">
        <w:rPr>
          <w:rFonts w:ascii="Segoe UI" w:hAnsi="Segoe UI" w:cs="Segoe UI"/>
          <w:sz w:val="22"/>
        </w:rPr>
        <w:t>Kinga Węgrzynowska-Teodorczyk</w:t>
      </w:r>
      <w:r w:rsidR="00541385" w:rsidRPr="006A7336">
        <w:rPr>
          <w:rFonts w:ascii="Segoe UI" w:hAnsi="Segoe UI" w:cs="Segoe UI"/>
          <w:sz w:val="22"/>
          <w:vertAlign w:val="superscript"/>
        </w:rPr>
        <w:t>1,2</w:t>
      </w:r>
      <w:r w:rsidR="00541385" w:rsidRPr="006A7336">
        <w:rPr>
          <w:rFonts w:ascii="Segoe UI" w:hAnsi="Segoe UI" w:cs="Segoe UI"/>
          <w:sz w:val="22"/>
        </w:rPr>
        <w:t xml:space="preserve">, </w:t>
      </w:r>
      <w:r w:rsidR="00CB6F29" w:rsidRPr="006A7336">
        <w:rPr>
          <w:rFonts w:ascii="Segoe UI" w:hAnsi="Segoe UI" w:cs="Segoe UI"/>
          <w:sz w:val="22"/>
        </w:rPr>
        <w:t>Francesco Perone</w:t>
      </w:r>
      <w:r w:rsidR="00541385" w:rsidRPr="006A7336">
        <w:rPr>
          <w:rFonts w:ascii="Segoe UI" w:hAnsi="Segoe UI" w:cs="Segoe UI"/>
          <w:sz w:val="22"/>
          <w:vertAlign w:val="superscript"/>
        </w:rPr>
        <w:t>3</w:t>
      </w:r>
      <w:r w:rsidR="00541385" w:rsidRPr="006A7336">
        <w:rPr>
          <w:rFonts w:ascii="Segoe UI" w:hAnsi="Segoe UI" w:cs="Segoe UI"/>
          <w:sz w:val="22"/>
        </w:rPr>
        <w:t xml:space="preserve">, </w:t>
      </w:r>
      <w:r w:rsidR="00DE4FDE" w:rsidRPr="006A7336">
        <w:rPr>
          <w:rFonts w:ascii="Segoe UI" w:hAnsi="Segoe UI" w:cs="Segoe UI"/>
          <w:sz w:val="22"/>
        </w:rPr>
        <w:t>Krzysztof Ściborski</w:t>
      </w:r>
      <w:r w:rsidR="00DE4FDE" w:rsidRPr="006A7336">
        <w:rPr>
          <w:rFonts w:ascii="Segoe UI" w:hAnsi="Segoe UI" w:cs="Segoe UI"/>
          <w:sz w:val="22"/>
          <w:vertAlign w:val="superscript"/>
        </w:rPr>
        <w:t>1</w:t>
      </w:r>
      <w:r w:rsidR="00626168" w:rsidRPr="006A7336">
        <w:rPr>
          <w:rFonts w:ascii="Segoe UI" w:hAnsi="Segoe UI" w:cs="Segoe UI"/>
          <w:sz w:val="22"/>
          <w:vertAlign w:val="superscript"/>
        </w:rPr>
        <w:t>,4</w:t>
      </w:r>
      <w:r w:rsidRPr="006A7336">
        <w:rPr>
          <w:rFonts w:ascii="Segoe UI" w:hAnsi="Segoe UI" w:cs="Segoe UI"/>
          <w:sz w:val="22"/>
        </w:rPr>
        <w:t>, Waldemar Banasiak</w:t>
      </w:r>
      <w:r w:rsidRPr="006A7336">
        <w:rPr>
          <w:rFonts w:ascii="Segoe UI" w:hAnsi="Segoe UI" w:cs="Segoe UI"/>
          <w:sz w:val="22"/>
          <w:vertAlign w:val="superscript"/>
        </w:rPr>
        <w:t>1,4</w:t>
      </w:r>
      <w:r w:rsidRPr="006A7336">
        <w:rPr>
          <w:rFonts w:ascii="Segoe UI" w:hAnsi="Segoe UI" w:cs="Segoe UI"/>
          <w:sz w:val="22"/>
        </w:rPr>
        <w:t>, Adrian Doroszko</w:t>
      </w:r>
      <w:r w:rsidRPr="006A7336">
        <w:rPr>
          <w:rFonts w:ascii="Segoe UI" w:hAnsi="Segoe UI" w:cs="Segoe UI"/>
          <w:sz w:val="22"/>
          <w:vertAlign w:val="superscript"/>
        </w:rPr>
        <w:t>1,4</w:t>
      </w:r>
    </w:p>
    <w:p w14:paraId="5EFDDCF9" w14:textId="77777777" w:rsidR="00013C94" w:rsidRPr="006A7336" w:rsidRDefault="00013C94" w:rsidP="00BA1DF3">
      <w:pPr>
        <w:spacing w:line="360" w:lineRule="auto"/>
        <w:rPr>
          <w:rFonts w:ascii="Segoe UI" w:hAnsi="Segoe UI" w:cs="Segoe UI"/>
          <w:sz w:val="22"/>
        </w:rPr>
      </w:pPr>
    </w:p>
    <w:p w14:paraId="4C133085" w14:textId="77777777" w:rsidR="00013C94" w:rsidRPr="006A7336" w:rsidRDefault="00013C94" w:rsidP="00BA1DF3">
      <w:pPr>
        <w:spacing w:line="360" w:lineRule="auto"/>
        <w:rPr>
          <w:rFonts w:ascii="Segoe UI" w:hAnsi="Segoe UI" w:cs="Segoe UI"/>
          <w:sz w:val="22"/>
          <w:lang w:val="en-US"/>
        </w:rPr>
      </w:pPr>
      <w:r w:rsidRPr="006A7336">
        <w:rPr>
          <w:rFonts w:ascii="Segoe UI" w:hAnsi="Segoe UI" w:cs="Segoe UI"/>
          <w:sz w:val="22"/>
          <w:vertAlign w:val="superscript"/>
          <w:lang w:val="en-US"/>
        </w:rPr>
        <w:t>1</w:t>
      </w:r>
      <w:r w:rsidRPr="006A7336">
        <w:rPr>
          <w:rFonts w:ascii="Segoe UI" w:hAnsi="Segoe UI" w:cs="Segoe UI"/>
          <w:sz w:val="22"/>
          <w:lang w:val="en-US"/>
        </w:rPr>
        <w:t>Department of Cardiology, Cen</w:t>
      </w:r>
      <w:r w:rsidR="00DE015D" w:rsidRPr="006A7336">
        <w:rPr>
          <w:rFonts w:ascii="Segoe UI" w:hAnsi="Segoe UI" w:cs="Segoe UI"/>
          <w:sz w:val="22"/>
          <w:lang w:val="en-US"/>
        </w:rPr>
        <w:t>ter</w:t>
      </w:r>
      <w:r w:rsidRPr="006A7336">
        <w:rPr>
          <w:rFonts w:ascii="Segoe UI" w:hAnsi="Segoe UI" w:cs="Segoe UI"/>
          <w:sz w:val="22"/>
          <w:lang w:val="en-US"/>
        </w:rPr>
        <w:t xml:space="preserve"> for Heart Diseases, 4th Military Hospital, Wroclaw, Poland;</w:t>
      </w:r>
    </w:p>
    <w:p w14:paraId="17394605" w14:textId="77777777" w:rsidR="00541385" w:rsidRPr="006A7336" w:rsidRDefault="00541385" w:rsidP="00BA1DF3">
      <w:pPr>
        <w:spacing w:line="360" w:lineRule="auto"/>
        <w:rPr>
          <w:rFonts w:ascii="Segoe UI" w:hAnsi="Segoe UI" w:cs="Segoe UI"/>
          <w:sz w:val="22"/>
          <w:lang w:val="en-US"/>
        </w:rPr>
      </w:pPr>
      <w:r w:rsidRPr="006A7336">
        <w:rPr>
          <w:rFonts w:ascii="Segoe UI" w:hAnsi="Segoe UI" w:cs="Segoe UI"/>
          <w:sz w:val="22"/>
          <w:vertAlign w:val="superscript"/>
          <w:lang w:val="en-US"/>
        </w:rPr>
        <w:t>2</w:t>
      </w:r>
      <w:r w:rsidRPr="006A7336">
        <w:rPr>
          <w:rFonts w:ascii="Segoe UI" w:hAnsi="Segoe UI" w:cs="Segoe UI"/>
          <w:sz w:val="22"/>
          <w:lang w:val="en-US"/>
        </w:rPr>
        <w:t>Faculty of Physiotherapy, University of Health and Sport Sciences in Wroclaw, Poland;</w:t>
      </w:r>
    </w:p>
    <w:p w14:paraId="0B3FF048" w14:textId="77777777" w:rsidR="00541385" w:rsidRPr="006A7336" w:rsidRDefault="00541385" w:rsidP="00BA1DF3">
      <w:pPr>
        <w:spacing w:line="360" w:lineRule="auto"/>
        <w:rPr>
          <w:rFonts w:ascii="Segoe UI" w:hAnsi="Segoe UI" w:cs="Segoe UI"/>
          <w:sz w:val="22"/>
          <w:lang w:val="it-IT"/>
        </w:rPr>
      </w:pPr>
      <w:r w:rsidRPr="006A7336">
        <w:rPr>
          <w:rFonts w:ascii="Segoe UI" w:hAnsi="Segoe UI" w:cs="Segoe UI"/>
          <w:sz w:val="22"/>
          <w:vertAlign w:val="superscript"/>
          <w:lang w:val="it-IT"/>
        </w:rPr>
        <w:t>3</w:t>
      </w:r>
      <w:r w:rsidR="00CB6F29" w:rsidRPr="006A7336">
        <w:rPr>
          <w:rFonts w:ascii="Segoe UI" w:hAnsi="Segoe UI" w:cs="Segoe UI"/>
          <w:sz w:val="22"/>
          <w:lang w:val="it-IT"/>
        </w:rPr>
        <w:t>Cardiac Rehabilitation Unit, Rehabilitation Clinic "Villa delle Magnolie", 81020 Castel Morrone, Caserta, Italy.</w:t>
      </w:r>
    </w:p>
    <w:p w14:paraId="2EF1B20E" w14:textId="77777777" w:rsidR="00013C94" w:rsidRPr="006A7336" w:rsidRDefault="00013C94" w:rsidP="00BA1DF3">
      <w:pPr>
        <w:spacing w:line="360" w:lineRule="auto"/>
        <w:rPr>
          <w:rFonts w:ascii="Segoe UI" w:hAnsi="Segoe UI" w:cs="Segoe UI"/>
          <w:sz w:val="22"/>
          <w:lang w:val="en-US"/>
        </w:rPr>
      </w:pPr>
      <w:r w:rsidRPr="006A7336">
        <w:rPr>
          <w:rFonts w:ascii="Segoe UI" w:hAnsi="Segoe UI" w:cs="Segoe UI"/>
          <w:sz w:val="22"/>
          <w:vertAlign w:val="superscript"/>
          <w:lang w:val="en-US"/>
        </w:rPr>
        <w:t>4</w:t>
      </w:r>
      <w:r w:rsidRPr="006A7336">
        <w:rPr>
          <w:rFonts w:ascii="Segoe UI" w:hAnsi="Segoe UI" w:cs="Segoe UI"/>
          <w:sz w:val="22"/>
          <w:lang w:val="en-US"/>
        </w:rPr>
        <w:t>Clinical Department of Cardiology, Faculty of Medicine, Wroclaw University of Science and Technology, Wroclaw, Poland</w:t>
      </w:r>
    </w:p>
    <w:p w14:paraId="094889E6" w14:textId="77777777" w:rsidR="00541385" w:rsidRPr="006A7336" w:rsidRDefault="00541385" w:rsidP="00BA1DF3">
      <w:pPr>
        <w:spacing w:line="360" w:lineRule="auto"/>
        <w:rPr>
          <w:rFonts w:ascii="Segoe UI" w:hAnsi="Segoe UI" w:cs="Segoe UI"/>
          <w:sz w:val="22"/>
          <w:lang w:val="en-US"/>
        </w:rPr>
      </w:pPr>
    </w:p>
    <w:p w14:paraId="3EDEE29E" w14:textId="77777777" w:rsidR="00013C94" w:rsidRPr="006A7336" w:rsidRDefault="00DE4FDE" w:rsidP="00BA1DF3">
      <w:pPr>
        <w:spacing w:line="360" w:lineRule="auto"/>
        <w:rPr>
          <w:rFonts w:ascii="Segoe UI" w:hAnsi="Segoe UI" w:cs="Segoe UI"/>
          <w:b/>
          <w:bCs/>
          <w:sz w:val="22"/>
          <w:lang w:val="en-US"/>
        </w:rPr>
      </w:pPr>
      <w:r w:rsidRPr="006A7336">
        <w:rPr>
          <w:rFonts w:ascii="Segoe UI" w:hAnsi="Segoe UI" w:cs="Segoe UI"/>
          <w:b/>
          <w:bCs/>
          <w:sz w:val="22"/>
          <w:lang w:val="en-US"/>
        </w:rPr>
        <w:t xml:space="preserve">Correspondence to: </w:t>
      </w:r>
      <w:r w:rsidRPr="006A7336">
        <w:rPr>
          <w:rFonts w:ascii="Segoe UI" w:hAnsi="Segoe UI" w:cs="Segoe UI"/>
          <w:sz w:val="22"/>
          <w:lang w:val="en-US"/>
        </w:rPr>
        <w:t>Natalia Świątoniowska-</w:t>
      </w:r>
      <w:proofErr w:type="spellStart"/>
      <w:r w:rsidRPr="006A7336">
        <w:rPr>
          <w:rFonts w:ascii="Segoe UI" w:hAnsi="Segoe UI" w:cs="Segoe UI"/>
          <w:sz w:val="22"/>
          <w:lang w:val="en-US"/>
        </w:rPr>
        <w:t>Lonc</w:t>
      </w:r>
      <w:proofErr w:type="spellEnd"/>
      <w:r w:rsidRPr="006A7336">
        <w:rPr>
          <w:rFonts w:ascii="Segoe UI" w:hAnsi="Segoe UI" w:cs="Segoe UI"/>
          <w:sz w:val="22"/>
          <w:lang w:val="en-US"/>
        </w:rPr>
        <w:t xml:space="preserve">, PhD, Department of Cardiology, </w:t>
      </w:r>
      <w:r w:rsidR="00DE015D" w:rsidRPr="006A7336">
        <w:rPr>
          <w:rFonts w:ascii="Segoe UI" w:hAnsi="Segoe UI" w:cs="Segoe UI"/>
          <w:sz w:val="22"/>
          <w:lang w:val="en-US"/>
        </w:rPr>
        <w:t xml:space="preserve">Center </w:t>
      </w:r>
      <w:r w:rsidRPr="006A7336">
        <w:rPr>
          <w:rFonts w:ascii="Segoe UI" w:hAnsi="Segoe UI" w:cs="Segoe UI"/>
          <w:sz w:val="22"/>
          <w:lang w:val="en-US"/>
        </w:rPr>
        <w:t xml:space="preserve">for Heart Diseases, 4th Military Hospital, </w:t>
      </w:r>
      <w:proofErr w:type="spellStart"/>
      <w:r w:rsidRPr="006A7336">
        <w:rPr>
          <w:rFonts w:ascii="Segoe UI" w:hAnsi="Segoe UI" w:cs="Segoe UI"/>
          <w:sz w:val="22"/>
          <w:lang w:val="en-US"/>
        </w:rPr>
        <w:t>Weigla</w:t>
      </w:r>
      <w:proofErr w:type="spellEnd"/>
      <w:r w:rsidRPr="006A7336">
        <w:rPr>
          <w:rFonts w:ascii="Segoe UI" w:hAnsi="Segoe UI" w:cs="Segoe UI"/>
          <w:sz w:val="22"/>
          <w:lang w:val="en-US"/>
        </w:rPr>
        <w:t xml:space="preserve"> 5, 50-981 Wroclaw, Poland, phone: +48 885 929 994, e-mail: natalia.swiat@o2.pl</w:t>
      </w:r>
    </w:p>
    <w:p w14:paraId="07A8ABBB" w14:textId="77777777" w:rsidR="003F330A" w:rsidRPr="006A7336" w:rsidRDefault="003F330A" w:rsidP="00BA1DF3">
      <w:pPr>
        <w:spacing w:line="360" w:lineRule="auto"/>
        <w:rPr>
          <w:rFonts w:ascii="Segoe UI" w:hAnsi="Segoe UI" w:cs="Segoe UI"/>
          <w:sz w:val="22"/>
          <w:lang w:val="en-US"/>
        </w:rPr>
      </w:pPr>
    </w:p>
    <w:p w14:paraId="6CD0E0B9" w14:textId="77777777" w:rsidR="00013C94" w:rsidRPr="006A7336" w:rsidRDefault="00013C94" w:rsidP="00BA1DF3">
      <w:pPr>
        <w:pStyle w:val="Tytu"/>
        <w:spacing w:line="360" w:lineRule="auto"/>
        <w:jc w:val="left"/>
        <w:rPr>
          <w:rFonts w:ascii="Segoe UI" w:hAnsi="Segoe UI" w:cs="Segoe UI"/>
          <w:color w:val="auto"/>
          <w:sz w:val="22"/>
          <w:szCs w:val="22"/>
          <w:lang w:val="en-GB"/>
        </w:rPr>
      </w:pPr>
      <w:r w:rsidRPr="006A7336">
        <w:rPr>
          <w:rFonts w:ascii="Segoe UI" w:hAnsi="Segoe UI" w:cs="Segoe UI"/>
          <w:color w:val="auto"/>
          <w:sz w:val="22"/>
          <w:szCs w:val="22"/>
          <w:lang w:val="en-GB"/>
        </w:rPr>
        <w:t>Abstract</w:t>
      </w:r>
    </w:p>
    <w:p w14:paraId="244A1777" w14:textId="77777777" w:rsidR="00954D05" w:rsidRPr="006A7336" w:rsidRDefault="00954D05" w:rsidP="00BA1DF3">
      <w:pPr>
        <w:spacing w:line="360" w:lineRule="auto"/>
        <w:rPr>
          <w:rFonts w:ascii="Segoe UI" w:hAnsi="Segoe UI" w:cs="Segoe UI"/>
          <w:sz w:val="22"/>
          <w:lang w:val="en-GB"/>
        </w:rPr>
      </w:pPr>
      <w:r w:rsidRPr="006A7336">
        <w:rPr>
          <w:rFonts w:ascii="Segoe UI" w:hAnsi="Segoe UI" w:cs="Segoe UI"/>
          <w:b/>
          <w:bCs/>
          <w:sz w:val="22"/>
          <w:lang w:val="en-GB"/>
        </w:rPr>
        <w:t>Background</w:t>
      </w:r>
      <w:r w:rsidRPr="006A7336">
        <w:rPr>
          <w:rFonts w:ascii="Segoe UI" w:hAnsi="Segoe UI" w:cs="Segoe UI"/>
          <w:sz w:val="22"/>
          <w:lang w:val="en-GB"/>
        </w:rPr>
        <w:t>. Frailty syndrome is a common comorbidity in elderly patients with severe aortic stenosis (AS), significantly influencing outcomes of transcatheter aortic valve implantation (TAVI). Early identification of frailty and its determinants is essential for optimizing care and improving quality of life.</w:t>
      </w:r>
    </w:p>
    <w:p w14:paraId="4972E641" w14:textId="77777777" w:rsidR="00954D05" w:rsidRPr="006A7336" w:rsidRDefault="00954D05" w:rsidP="00BA1DF3">
      <w:pPr>
        <w:spacing w:line="360" w:lineRule="auto"/>
        <w:rPr>
          <w:rFonts w:ascii="Segoe UI" w:hAnsi="Segoe UI" w:cs="Segoe UI"/>
          <w:sz w:val="22"/>
          <w:lang w:val="en-GB"/>
        </w:rPr>
      </w:pPr>
      <w:r w:rsidRPr="006A7336">
        <w:rPr>
          <w:rFonts w:ascii="Segoe UI" w:hAnsi="Segoe UI" w:cs="Segoe UI"/>
          <w:b/>
          <w:bCs/>
          <w:sz w:val="22"/>
          <w:lang w:val="en-GB"/>
        </w:rPr>
        <w:t>Methods</w:t>
      </w:r>
      <w:r w:rsidRPr="006A7336">
        <w:rPr>
          <w:rFonts w:ascii="Segoe UI" w:hAnsi="Segoe UI" w:cs="Segoe UI"/>
          <w:sz w:val="22"/>
          <w:lang w:val="en-GB"/>
        </w:rPr>
        <w:t>. This cross-sectional, observational study included 113 Polish patients qualified for TAVI between January and September 2024. Frailty was assessed using the Tilburg Frailty Indicator (TFI). Quality of life, mental health, and social support were evaluated with TASQ, HADS, and MSPSS questionnaires. Logistic regression was used to identify predictors of frailty.</w:t>
      </w:r>
    </w:p>
    <w:p w14:paraId="57F82407" w14:textId="77777777" w:rsidR="00954D05" w:rsidRPr="006A7336" w:rsidRDefault="00954D05" w:rsidP="00BA1DF3">
      <w:pPr>
        <w:spacing w:line="360" w:lineRule="auto"/>
        <w:rPr>
          <w:rFonts w:ascii="Segoe UI" w:hAnsi="Segoe UI" w:cs="Segoe UI"/>
          <w:sz w:val="22"/>
          <w:lang w:val="en-GB"/>
        </w:rPr>
      </w:pPr>
      <w:r w:rsidRPr="006A7336">
        <w:rPr>
          <w:rFonts w:ascii="Segoe UI" w:hAnsi="Segoe UI" w:cs="Segoe UI"/>
          <w:b/>
          <w:bCs/>
          <w:sz w:val="22"/>
          <w:lang w:val="en-GB"/>
        </w:rPr>
        <w:lastRenderedPageBreak/>
        <w:t>Results</w:t>
      </w:r>
      <w:r w:rsidRPr="006A7336">
        <w:rPr>
          <w:rFonts w:ascii="Segoe UI" w:hAnsi="Segoe UI" w:cs="Segoe UI"/>
          <w:sz w:val="22"/>
          <w:lang w:val="en-GB"/>
        </w:rPr>
        <w:t>. Frailty syndrome was present in 82.3% of patients. Higher frailty levels were associated with worse NYHA class, unhealthy lifestyle, and increased emotional burden. Depression and anxiety were significantly correlated with frailty, especially its psychological domain. Logistic regression revealed that NYHA class, emotional impact (TASQ), and unhealthy lifestyle were independent predictors of frailty. Social support negatively correlated with social frailty scores, suggesting a protective effect.</w:t>
      </w:r>
    </w:p>
    <w:p w14:paraId="658B0745" w14:textId="77777777" w:rsidR="00013C94" w:rsidRPr="006A7336" w:rsidRDefault="00954D05" w:rsidP="00BA1DF3">
      <w:pPr>
        <w:spacing w:line="360" w:lineRule="auto"/>
        <w:rPr>
          <w:rFonts w:ascii="Segoe UI" w:hAnsi="Segoe UI" w:cs="Segoe UI"/>
          <w:sz w:val="22"/>
          <w:lang w:val="en-GB"/>
        </w:rPr>
      </w:pPr>
      <w:r w:rsidRPr="006A7336">
        <w:rPr>
          <w:rFonts w:ascii="Segoe UI" w:hAnsi="Segoe UI" w:cs="Segoe UI"/>
          <w:b/>
          <w:bCs/>
          <w:sz w:val="22"/>
          <w:lang w:val="en-GB"/>
        </w:rPr>
        <w:t>Conclusions</w:t>
      </w:r>
      <w:r w:rsidRPr="006A7336">
        <w:rPr>
          <w:rFonts w:ascii="Segoe UI" w:hAnsi="Segoe UI" w:cs="Segoe UI"/>
          <w:sz w:val="22"/>
          <w:lang w:val="en-GB"/>
        </w:rPr>
        <w:t>. Frailty is highly prevalent among patients with severe AS undergoing TAVI. Comprehensive preprocedural assessment should include physical, emotional, and social factors. Targeted interventions</w:t>
      </w:r>
      <w:r w:rsidR="00BA1DF3" w:rsidRPr="006A7336">
        <w:rPr>
          <w:rFonts w:ascii="Segoe UI" w:hAnsi="Segoe UI" w:cs="Segoe UI"/>
          <w:sz w:val="22"/>
          <w:lang w:val="en-GB"/>
        </w:rPr>
        <w:t xml:space="preserve"> - </w:t>
      </w:r>
      <w:r w:rsidRPr="006A7336">
        <w:rPr>
          <w:rFonts w:ascii="Segoe UI" w:hAnsi="Segoe UI" w:cs="Segoe UI"/>
          <w:sz w:val="22"/>
          <w:lang w:val="en-GB"/>
        </w:rPr>
        <w:t>particularly prehabilitation and psychosocial support</w:t>
      </w:r>
      <w:r w:rsidR="00DD0B94" w:rsidRPr="006A7336">
        <w:rPr>
          <w:rFonts w:ascii="Segoe UI" w:hAnsi="Segoe UI" w:cs="Segoe UI"/>
          <w:sz w:val="22"/>
          <w:lang w:val="en-GB"/>
        </w:rPr>
        <w:t xml:space="preserve"> - </w:t>
      </w:r>
      <w:r w:rsidR="00DD0B94" w:rsidRPr="006A7336">
        <w:rPr>
          <w:rFonts w:ascii="Segoe UI" w:hAnsi="Segoe UI" w:cs="Segoe UI"/>
          <w:sz w:val="22"/>
          <w:lang w:val="en-US"/>
        </w:rPr>
        <w:t xml:space="preserve">may help address modifiable components of frailty </w:t>
      </w:r>
      <w:r w:rsidRPr="006A7336">
        <w:rPr>
          <w:rFonts w:ascii="Segoe UI" w:hAnsi="Segoe UI" w:cs="Segoe UI"/>
          <w:sz w:val="22"/>
          <w:lang w:val="en-GB"/>
        </w:rPr>
        <w:t>in this population.</w:t>
      </w:r>
    </w:p>
    <w:p w14:paraId="21A2BD08" w14:textId="77777777" w:rsidR="00954D05" w:rsidRPr="006A7336" w:rsidRDefault="00954D05" w:rsidP="00BA1DF3">
      <w:pPr>
        <w:spacing w:line="360" w:lineRule="auto"/>
        <w:rPr>
          <w:rFonts w:ascii="Segoe UI" w:hAnsi="Segoe UI" w:cs="Segoe UI"/>
          <w:sz w:val="22"/>
          <w:lang w:val="en-GB"/>
        </w:rPr>
      </w:pPr>
      <w:r w:rsidRPr="006A7336">
        <w:rPr>
          <w:rFonts w:ascii="Segoe UI" w:hAnsi="Segoe UI" w:cs="Segoe UI"/>
          <w:b/>
          <w:bCs/>
          <w:sz w:val="22"/>
          <w:lang w:val="en-GB"/>
        </w:rPr>
        <w:t>Key words</w:t>
      </w:r>
      <w:r w:rsidRPr="006A7336">
        <w:rPr>
          <w:rFonts w:ascii="Segoe UI" w:hAnsi="Segoe UI" w:cs="Segoe UI"/>
          <w:sz w:val="22"/>
          <w:lang w:val="en-GB"/>
        </w:rPr>
        <w:t>: frailty syndrome, aortic stenosis, transcatheter aortic valve implantation (TAVI), quality of life</w:t>
      </w:r>
    </w:p>
    <w:p w14:paraId="7B3AA303" w14:textId="77777777" w:rsidR="00954D05" w:rsidRPr="006A7336" w:rsidRDefault="00954D05" w:rsidP="00BA1DF3">
      <w:pPr>
        <w:spacing w:line="360" w:lineRule="auto"/>
        <w:rPr>
          <w:rFonts w:ascii="Segoe UI" w:hAnsi="Segoe UI" w:cs="Segoe UI"/>
          <w:sz w:val="22"/>
          <w:lang w:val="en-GB"/>
        </w:rPr>
      </w:pPr>
    </w:p>
    <w:p w14:paraId="138C9265" w14:textId="77777777" w:rsidR="00013C94" w:rsidRPr="006A7336" w:rsidRDefault="00013C94" w:rsidP="00BA1DF3">
      <w:pPr>
        <w:pStyle w:val="Tytu"/>
        <w:spacing w:line="360" w:lineRule="auto"/>
        <w:jc w:val="left"/>
        <w:rPr>
          <w:rFonts w:ascii="Segoe UI" w:hAnsi="Segoe UI" w:cs="Segoe UI"/>
          <w:color w:val="auto"/>
          <w:sz w:val="22"/>
          <w:szCs w:val="22"/>
          <w:lang w:val="en-US"/>
        </w:rPr>
      </w:pPr>
      <w:r w:rsidRPr="006A7336">
        <w:rPr>
          <w:rFonts w:ascii="Segoe UI" w:hAnsi="Segoe UI" w:cs="Segoe UI"/>
          <w:color w:val="auto"/>
          <w:sz w:val="22"/>
          <w:szCs w:val="22"/>
          <w:lang w:val="en-GB"/>
        </w:rPr>
        <w:t>Background</w:t>
      </w:r>
    </w:p>
    <w:p w14:paraId="12D8DA2D" w14:textId="5419940A" w:rsidR="00714602" w:rsidRPr="006A7336" w:rsidRDefault="0010571D"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Aortic stenosis is one of the most commonly diagnosed and treated heart defects among elderly patients. </w:t>
      </w:r>
      <w:r w:rsidR="00714602" w:rsidRPr="006A7336">
        <w:rPr>
          <w:rFonts w:ascii="Segoe UI" w:hAnsi="Segoe UI" w:cs="Segoe UI"/>
          <w:sz w:val="22"/>
          <w:lang w:val="en-US"/>
        </w:rPr>
        <w:t>It is characterized by the narrowing of the aortic valve, leading to impaired blood flow from the left ventricle to the aorta and subsequent systemic circulation. Over time, this condition can result in heart failure, reduced exercise tolerance, and increased mortality. Advances in medical technology, particularly the development of transcatheter aortic valve implantation (TAVI) and surgical aortic valve replacement (SAVR), have significantly improved the treatment landscape for AS, offering life-saving interventions to those affected</w:t>
      </w:r>
      <w:r w:rsidR="00045085" w:rsidRPr="006A7336">
        <w:rPr>
          <w:rFonts w:ascii="Segoe UI" w:hAnsi="Segoe UI" w:cs="Segoe UI"/>
          <w:sz w:val="22"/>
          <w:lang w:val="en-US"/>
        </w:rPr>
        <w:t xml:space="preserve"> </w:t>
      </w:r>
      <w:r w:rsidR="00045085"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OOqgbs4c","properties":{"formattedCitation":"[1\\uc0\\u8211{}3]","plainCitation":"[1–3]","noteIndex":0},"citationItems":[{"id":2339,"uris":["http://zotero.org/users/local/mYpTJneC/items/NZKZ63GL"],"itemData":{"id":2339,"type":"article-journal","abstract":"OBJECTIVES: The U.K. Transcatheter Aortic Valve Implantation Registry reported 30-day and 1-year mortality rates of 7.1% and 21.4%, respectively, for patients who underwent transcatheter aortic valve replacement (TAVR) in the United Kingdom between 2007 and 2009. The study aim was to report long-term outcomes in this same cohort of patients.\nBACKGROUND: There are few data on outcomes beyond 3 years after TAVR in any notable number of patients.\nMETHODS: Data from all TAVR procedures performed in the United Kingdom between January 2007 and December 2009 were prospectively collected. All-cause mortality status was reported in March 2014. Mortality tracking was achieved in 97.7% patients.\nRESULTS: The minimal time from replacement to census was 4.1 years, and the maximal time was 7.0 years. The 3- and 5-year survival rates were 61.2% and 45.5%, respectively. Independent predictors of 3-year mortality were renal dysfunction (hazard ratio [HR]: 1.65), atrial fibrillation (HR: 1.36), logistic European System for Cardiac Operative Risk Evaluation (EuroSCORE) ≥18.5 (HR: 1.33), respiratory dysfunction (HR: 1.28), and ventricular dysfunction (left ventricular ejection fraction &lt;30%) (HR: 1.53). Coronary artery disease (HR: 1.28) and age (HR: 1.03) were additional independent predictors of mortality at 5 years. Stroke within 30 days of TAVR was the only independent procedural predictor of mortality at 3 and 5 years (HR: 2.17 at 3 years). Device type, access route, and paravalvular leak did not independently predict long-term outcome.\nCONCLUSIONS: In the large U.K. Transcatheter Aortic Valve Implantation Registry, long-term outcomes after TAVR are favorable with 3- and 5-year survival rates of 61.2% and 45.5%, respectively. Long-term survival after TAVR is largely determined by intrinsic patient factors. Other than stroke, procedural variables, including paravalvular aortic leak, did not appear to be independent predictors of long-term survival.","container-title":"JACC. Cardiovascular interventions","DOI":"10.1016/j.jcin.2015.01.009","ISSN":"1876-7605","issue":"5","journalAbbreviation":"JACC Cardiovasc Interv","language":"eng","page":"645-653","PMID":"25946435","source":"PubMed","title":"Long-term outcomes after transcatheter aortic valve replacement in high-risk patients with severe aortic stenosis: the U.K. Transcatheter Aortic Valve Implantation Registry","title-short":"Long-term outcomes after transcatheter aortic valve replacement in high-risk patients with severe aortic stenosis","volume":"8","author":[{"family":"Duncan","given":"Alison"},{"family":"Ludman","given":"Peter"},{"family":"Banya","given":"Winston"},{"family":"Cunningham","given":"David"},{"family":"Marlee","given":"Damian"},{"family":"Davies","given":"Simon"},{"family":"Mullen","given":"Michael"},{"family":"Kovac","given":"Jan"},{"family":"Spyt","given":"Thomas"},{"family":"Moat","given":"Neil"}],"issued":{"date-parts":[["2015",4,27]]}}},{"id":2485,"uris":["http://zotero.org/users/local/mYpTJneC/items/R2BAVU3B"],"itemData":{"id":2485,"type":"article-journal","abstract":"OBJECTIVE: To assess long-term clinical outcomes of consecutive high-risk patients with severe aortic stenosis according to treatment allocation to transcatheter aortic valve implantation (TAVI), surgical aortic valve replacement (SAVR) or medical treatment (MT).\nMETHODS: Patients with severe aortic stenosis were consecutively enrolled into a prospective single centre registry.\nRESULTS: Among 442 patients (median age 83 years, median STS-score 4.7) allocated to MT (n=78), SAVR (n=107), or TAVI (n=257) all-cause mortality amounted to 81%, 37% and 43% after a median duration of follow-up of 3.9 years (p&lt;0.001). Rates of major adverse cerebro-cardiovascular events were lower in patients undergoing SAVR or TAVI as compared with MT (SAVR vs MT: HR 0.31, 95% CI 0.21 to 0.46) (TAVI vs MT: HR 0.34, 95% CI 0.25 to 0.46), with no significant difference between SAVR and TAVI (HR 0.88, 95% CI 0.62 to 1.25). Whereas SAVR (HR 0.39, 95% CI 0.24 to 0.61), TAVI (HR 0.37, 95% CI 0.26 to 0.52), and female gender (HR 0.72, 95% CI 0.53 to 0.99) were associated with improved survival, body mass index ≤20 kg/m(2) (HR 1.60, 95% CI 1.04 to 2.47), diabetes (HR 1.48, 95% CI 1.03 to 2.12), peripheral vascular disease (HR 2.01, 95% CI 1.44 to 2.81), atrial fibrillation (HR 1.74, 95% CI 1.28 to 2.37) and pulmonary hypertension (HR 1.43, 95% CI 1.03 to 2.00) were identified as independent predictors of mortality.\nCONCLUSIONS: Among high-risk patients with severe aortic stenosis, long-term clinical outcome through 5 years was comparable between patients allocated to SAVR or TAVI. In contrast, patients with MT had a dismal prognosis.","container-title":"Heart (British Cardiac Society)","DOI":"10.1136/heartjnl-2014-306106","ISSN":"1468-201X","issue":"1","journalAbbreviation":"Heart","language":"eng","page":"30-36","PMID":"25163691","source":"PubMed","title":"Long-term outcome of elderly patients with severe aortic stenosis as a function of treatment modality","volume":"101","author":[{"family":"Pilgrim","given":"Thomas"},{"family":"Englberger","given":"Lars"},{"family":"Rothenbühler","given":"Martina"},{"family":"Stortecky","given":"Stefan"},{"family":"Ceylan","given":"Osman"},{"family":"O'Sullivan","given":"Crochan J."},{"family":"Huber","given":"Christoph"},{"family":"Praz","given":"Fabien"},{"family":"Buellesfeld","given":"Lutz"},{"family":"Langhammer","given":"Bettina"},{"family":"Meier","given":"Bernhard"},{"family":"Jüni","given":"Peter"},{"family":"Carrel","given":"Thierry"},{"family":"Windecker","given":"Stephan"},{"family":"Wenaweser","given":"Peter"}],"issued":{"date-parts":[["2015",1]]}}},{"id":4503,"uris":["http://zotero.org/users/local/mYpTJneC/items/SXGR3XJW"],"itemData":{"id":4503,"type":"article-journal","container-title":"European Heart Journal","DOI":"10.1093/eurheartj/ehx391","ISSN":"1522-9645","issue":"36","journalAbbreviation":"Eur Heart J","language":"eng","page":"2739-2791","PMID":"28886619","source":"PubMed","title":"2017 ESC/EACTS Guidelines for the management of valvular heart disease","volume":"38","author":[{"family":"Baumgartner","given":"Helmut"},{"family":"Falk","given":"Volkmar"},{"family":"Bax","given":"Jeroen J."},{"family":"De Bonis","given":"Michele"},{"family":"Hamm","given":"Christian"},{"family":"Holm","given":"Per Johan"},{"family":"Iung","given":"Bernard"},{"family":"Lancellotti","given":"Patrizio"},{"family":"Lansac","given":"Emmanuel"},{"family":"Rodriguez Muñoz","given":"Daniel"},{"family":"Rosenhek","given":"Raphael"},{"family":"Sjögren","given":"Johan"},{"family":"Tornos Mas","given":"Pilar"},{"family":"Vahanian","given":"Alec"},{"family":"Walther","given":"Thomas"},{"family":"Wendler","given":"Olaf"},{"family":"Windecker","given":"Stephan"},{"family":"Zamorano","given":"Jose Luis"},{"literal":"ESC Scientific Document Group"}],"issued":{"date-parts":[["2017",9,21]]}}}],"schema":"https://github.com/citation-style-language/schema/raw/master/csl-citation.json"} </w:instrText>
      </w:r>
      <w:r w:rsidR="00045085" w:rsidRPr="006A7336">
        <w:rPr>
          <w:rFonts w:ascii="Segoe UI" w:hAnsi="Segoe UI" w:cs="Segoe UI"/>
          <w:sz w:val="22"/>
          <w:lang w:val="en-US"/>
        </w:rPr>
        <w:fldChar w:fldCharType="separate"/>
      </w:r>
      <w:r w:rsidR="00045085" w:rsidRPr="006A7336">
        <w:rPr>
          <w:rFonts w:ascii="Segoe UI" w:hAnsi="Segoe UI" w:cs="Segoe UI"/>
          <w:sz w:val="22"/>
          <w:lang w:val="en-US"/>
        </w:rPr>
        <w:t>[1–3]</w:t>
      </w:r>
      <w:r w:rsidR="00045085" w:rsidRPr="006A7336">
        <w:rPr>
          <w:rFonts w:ascii="Segoe UI" w:hAnsi="Segoe UI" w:cs="Segoe UI"/>
          <w:sz w:val="22"/>
          <w:lang w:val="en-US"/>
        </w:rPr>
        <w:fldChar w:fldCharType="end"/>
      </w:r>
      <w:r w:rsidR="00714602" w:rsidRPr="006A7336">
        <w:rPr>
          <w:rFonts w:ascii="Segoe UI" w:hAnsi="Segoe UI" w:cs="Segoe UI"/>
          <w:sz w:val="22"/>
          <w:lang w:val="en-US"/>
        </w:rPr>
        <w:t>. However, the efficacy and outcomes of these procedures can be greatly influenced by the presence of frailty syndrome, a condition that commonly coexists with AS in older adults</w:t>
      </w:r>
      <w:r w:rsidR="003874C9" w:rsidRPr="006A7336">
        <w:rPr>
          <w:rFonts w:ascii="Segoe UI" w:hAnsi="Segoe UI" w:cs="Segoe UI"/>
          <w:sz w:val="22"/>
          <w:lang w:val="en-US"/>
        </w:rPr>
        <w:t xml:space="preserve"> </w:t>
      </w:r>
      <w:r w:rsidR="003874C9"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{"citationID":"tvlmjPhW","properties":{"formattedCitation":"[4, 5]","plainCitation":"[4, 5]","noteIndex":0},"citationItems":[{"id":2354,"uris":["http://zotero.org/users/local/mYpTJneC/items/S5DKNJWU"],"itemData":{"id":2354,"type":"article-journal","container-title":"European Journal of Preventive Cardiology","DOI":"10.1093/eurjpc/zwad304","ISSN":"2047-4881","journalAbbreviation":"Eur J Prev Cardiol","language":"eng","page":"zwad304","PMID":"37804173","source":"PubMed","title":"Preinterventional frailty assessment in patients scheduled for cardiac surgery or transcatheter aortic valve implantation: a consensus statement of the European Association for Cardio-Thoracic Surgery (EACTS) and the European Association of Preventive Cardiology (EAPC) of the European Society of Cardiology (ESC)","title-short":"Preinterventional frailty assessment in patients scheduled for cardiac surgery or transcatheter aortic valve implantation","author":[{"family":"Niebauer","given":"Josef"},{"family":"Bäck","given":"Caroline"},{"family":"Bischoff-Ferrari","given":"Heike A."},{"family":"Dehbi","given":"Hakim-Moulay"},{"family":"Szekely","given":"Andrea"},{"family":"Völler","given":"Heinz"},{"family":"Sündermann","given":"Simon H."}],"issued":{"date-parts":[["2023",10,7]]}}},{"id":5279,"uris":["http://zotero.org/users/local/mYpTJneC/items/QGBR8PN6"],"itemData":{"id":5279,"type":"article-journal","abstract":"Backround/Objectives: Aortic stenosis (AS) is the most commonly acquired valvular disorder. Patient risk stratification and the development of an accurate and reliable tool are crucial in identifying suitable candidates for TAVI. The present review summarized the current state of knowledge on the influence of selected factors on the outcomes and course of patients with AS undergoing transcatheter aortic valve implantation (TAVI). Methods: The inclusion criteria for the present systematic review were as follows: (1) studies indexed in the medical databases PubMed, MEDLINE, EMBASE, CINAHL, Web of Science, and Scopus; (2) full-text articles available in English; (3) papers published between 2013 and 2023; and (4) addressing the topic of assessing the impact of factors on the outcomes of patients with aortic stenosis undergoing TAVI. This review used PRISMA 2020 reporting guidelines for systematic reviews and meta-analyses. Results: One hundred and thirty-two studies were eligible for this review. The available studies showed an association of psychosocial and socioeconomic factors, valve parameters, comorbidities, clinical factors, treatment-related factors, biomarkers, and treatment methods with the outcomes of patients with AS undergoing TAVI. Conclusions: Given the conflicting results obtained regarding the impact of right ventricular dysfunction, paravalvular leaks, and treatment method on the mortality of patients undergoing aortic valve implantation, further research in these areas is needed. In view of the researchers' differing views on some of the factors affecting patient outcomes after TAVI, further analysis is needed to develop a new tool for assessing predictive outcomes in AS patients. This study is registered at PROSPERO (CRD42024612752).","container-title":"Journal of Clinical Medicine","DOI":"10.3390/jcm14051426","ISSN":"2077-0383","issue":"5","journalAbbreviation":"J Clin Med","language":"eng","page":"1426","PMID":"40094858","PMCID":"PMC11900397","source":"PubMed","title":"Multiparametric Outcome Assessment After Transcatheter Aortic Valve Implantation-A Systematic Review","volume":"14","author":[{"family":"Świątoniowska-Lonc","given":"Natalia"},{"family":"Klausa","given":"Filip"},{"family":"Ściborski","given":"Krzysztof"},{"family":"Wysokińska-Kordybach","given":"Agnieszka"},{"family":"Banasiak","given":"Waldemar"},{"family":"Doroszko","given":"Adrian"}],"issued":{"date-parts":[["2025",2,20]]}}}],"schema":"https://github.com/citation-style-language/schema/raw/master/csl-citation.json"} </w:instrText>
      </w:r>
      <w:r w:rsidR="003874C9" w:rsidRPr="006A7336">
        <w:rPr>
          <w:rFonts w:ascii="Segoe UI" w:hAnsi="Segoe UI" w:cs="Segoe UI"/>
          <w:sz w:val="22"/>
          <w:lang w:val="en-US"/>
        </w:rPr>
        <w:fldChar w:fldCharType="separate"/>
      </w:r>
      <w:r w:rsidR="00D559B9" w:rsidRPr="006A7336">
        <w:rPr>
          <w:rFonts w:ascii="Segoe UI" w:hAnsi="Segoe UI" w:cs="Segoe UI"/>
          <w:sz w:val="22"/>
          <w:lang w:val="en-US"/>
        </w:rPr>
        <w:t>[4, 5]</w:t>
      </w:r>
      <w:r w:rsidR="003874C9" w:rsidRPr="006A7336">
        <w:rPr>
          <w:rFonts w:ascii="Segoe UI" w:hAnsi="Segoe UI" w:cs="Segoe UI"/>
          <w:sz w:val="22"/>
          <w:lang w:val="en-US"/>
        </w:rPr>
        <w:fldChar w:fldCharType="end"/>
      </w:r>
      <w:r w:rsidR="00714602" w:rsidRPr="006A7336">
        <w:rPr>
          <w:rFonts w:ascii="Segoe UI" w:hAnsi="Segoe UI" w:cs="Segoe UI"/>
          <w:sz w:val="22"/>
          <w:lang w:val="en-US"/>
        </w:rPr>
        <w:t>.</w:t>
      </w:r>
    </w:p>
    <w:p w14:paraId="2436ADA4" w14:textId="1A5956ED" w:rsidR="00714602" w:rsidRPr="006A7336" w:rsidRDefault="00714602" w:rsidP="00BA1DF3">
      <w:pPr>
        <w:spacing w:line="360" w:lineRule="auto"/>
        <w:ind w:firstLine="708"/>
        <w:rPr>
          <w:rFonts w:ascii="Segoe UI" w:hAnsi="Segoe UI" w:cs="Segoe UI"/>
          <w:sz w:val="22"/>
          <w:lang w:val="en-US"/>
        </w:rPr>
      </w:pPr>
      <w:r w:rsidRPr="006A7336">
        <w:rPr>
          <w:rFonts w:ascii="Segoe UI" w:hAnsi="Segoe UI" w:cs="Segoe UI"/>
          <w:sz w:val="22"/>
          <w:lang w:val="en-US"/>
        </w:rPr>
        <w:t>Frailty syndrome represents a state of increased vulnerability due to a decline in physiological reserves and resilience against stressors</w:t>
      </w:r>
      <w:r w:rsidR="003874C9" w:rsidRPr="006A7336">
        <w:rPr>
          <w:rFonts w:ascii="Segoe UI" w:hAnsi="Segoe UI" w:cs="Segoe UI"/>
          <w:sz w:val="22"/>
          <w:lang w:val="en-US"/>
        </w:rPr>
        <w:t xml:space="preserve"> </w:t>
      </w:r>
      <w:r w:rsidR="003874C9"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{"citationID":"qco1szK9","properties":{"formattedCitation":"[6]","plainCitation":"[6]","noteIndex":0},"citationItems":[{"id":4465,"uris":["http://zotero.org/users/local/mYpTJneC/items/2DRH8T8D"],"itemData":{"id":4465,"type":"article-journal","abstract":"Frailty, which is a geriatric syndrome that affects 5% to 17% of older adults, is a state of increased vulnerability across multiple health domains that leads to adverse health outcomes. Frail older adults are at increased risk of falls, disability, hospitalizations, and death. Frailty may initially be overlooked or incorrectly identified as part of the normal aging process because of the variable nature of the presentation and diagnosis. Symptoms include generalized weakness, exhaustion, slow gait, poor balance, decreased physical activity, cognitive impairment, and weight loss. There is no current recommendation for routine screening. A comprehensive geriatric assessment can identify risk factors and symptoms that suggest frailty. Several validated frailty assessment tools can evaluate a patient for frailty. Patients are diagnosed as not-frail, prefrail, or frail. Patients with a larger number of frail attributes are at higher risk of poor outcomes. The management of frail patients must be individualized and tailored to each patient's goals of care and life expectancy. Physical activity and balance exercises may be suitable for patients who are less frail. Palliative care and symptom control may be appropriate for those who are more frail.","container-title":"American Family Physician","ISSN":"1532-0650","issue":"4","journalAbbreviation":"Am Fam Physician","language":"eng","page":"219-226","PMID":"33587574","source":"PubMed","title":"Frailty: Evaluation and Management","title-short":"Frailty","volume":"103","author":[{"family":"Allison","given":"Robert"},{"family":"Assadzandi","given":"Shauna"},{"family":"Adelman","given":"Megan"}],"issued":{"date-parts":[["2021",2,15]]}}}],"schema":"https://github.com/citation-style-language/schema/raw/master/csl-citation.json"} </w:instrText>
      </w:r>
      <w:r w:rsidR="003874C9" w:rsidRPr="006A7336">
        <w:rPr>
          <w:rFonts w:ascii="Segoe UI" w:hAnsi="Segoe UI" w:cs="Segoe UI"/>
          <w:sz w:val="22"/>
          <w:lang w:val="en-US"/>
        </w:rPr>
        <w:fldChar w:fldCharType="separate"/>
      </w:r>
      <w:r w:rsidR="00D559B9" w:rsidRPr="006A7336">
        <w:rPr>
          <w:rFonts w:ascii="Segoe UI" w:hAnsi="Segoe UI" w:cs="Segoe UI"/>
          <w:sz w:val="22"/>
          <w:lang w:val="en-US"/>
        </w:rPr>
        <w:t>[6]</w:t>
      </w:r>
      <w:r w:rsidR="003874C9" w:rsidRPr="006A7336">
        <w:rPr>
          <w:rFonts w:ascii="Segoe UI" w:hAnsi="Segoe UI" w:cs="Segoe UI"/>
          <w:sz w:val="22"/>
          <w:lang w:val="en-US"/>
        </w:rPr>
        <w:fldChar w:fldCharType="end"/>
      </w:r>
      <w:r w:rsidRPr="006A7336">
        <w:rPr>
          <w:rFonts w:ascii="Segoe UI" w:hAnsi="Segoe UI" w:cs="Segoe UI"/>
          <w:sz w:val="22"/>
          <w:lang w:val="en-US"/>
        </w:rPr>
        <w:t xml:space="preserve">. This multifaceted syndrome manifests through symptoms such as physical slowing, muscular weakness, fatigue, cachexia, malnutrition, reduced endurance, inactivity, and progressive loss of independence. The underlying pathophysiology of frailty is complex, involving interactions between chronic inflammation, sarcopenia, metabolic dysregulation, and psychosocial factors. As a result, </w:t>
      </w:r>
      <w:r w:rsidRPr="006A7336">
        <w:rPr>
          <w:rFonts w:ascii="Segoe UI" w:hAnsi="Segoe UI" w:cs="Segoe UI"/>
          <w:sz w:val="22"/>
          <w:lang w:val="en-US"/>
        </w:rPr>
        <w:lastRenderedPageBreak/>
        <w:t>frailty cannot be captured by a single diagnostic test and requires a multidimensional approach for assessment, incorporating both clinical and psychosocial evaluations</w:t>
      </w:r>
      <w:r w:rsidR="003874C9" w:rsidRPr="006A7336">
        <w:rPr>
          <w:rFonts w:ascii="Segoe UI" w:hAnsi="Segoe UI" w:cs="Segoe UI"/>
          <w:sz w:val="22"/>
          <w:lang w:val="en-US"/>
        </w:rPr>
        <w:t xml:space="preserve"> </w:t>
      </w:r>
      <w:r w:rsidR="003874C9"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{"citationID":"pAp9fwuf","properties":{"formattedCitation":"[7]","plainCitation":"[7]","noteIndex":0},"citationItems":[{"id":4418,"uris":["http://zotero.org/users/local/mYpTJneC/items/2FTDE9P7"],"itemData":{"id":4418,"type":"article-journal","abstract":"BACKGROUND: Frailty is considered highly prevalent in old age and to confer high risk for falls, disability, hospitalization, and mortality. Frailty has been considered synonymous with disability, comorbidity, and other characteristics, but it is recognized that it may have a biologic basis and be a distinct clinical syndrome. A standardized definition has not yet been established.\nMETHODS: To develop and operationalize a phenotype of frailty in older adults and assess concurrent and predictive validity, the study used data from the Cardiovascular Health Study. Participants were 5,317 men and women 65 years and older (4,735 from an original cohort recruited in 1989-90 and 582 from an African American cohort recruited in 1992-93). Both cohorts received almost identical baseline evaluations and 7 and 4 years of follow-up, respectively, with annual examinations and surveillance for outcomes including incident disease, hospitalization, falls, disability, and mortality.\nRESULTS: Frailty was defined as a clinical syndrome in which three or more of the following criteria were present: unintentional weight loss (10 lbs in past year), self-reported exhaustion, weakness (grip strength), slow walking speed, and low physical activity. The overall prevalence of frailty in this community-dwelling population was 6.9%; it increased with age and was greater in women than men. Four-year incidence was 7.2%. Frailty was associated with being African American, having lower education and income, poorer health, and having higher rates of comorbid chronic diseases and disability. There was overlap, but not concordance, in the cooccurrence of frailty, comorbidity, and disability. This frailty phenotype was independently predictive (over 3 years) of incident falls, worsening mobility or ADL disability, hospitalization, and death, with hazard ratios ranging from 1.82 to 4.46, unadjusted, and 1.29-2.24, adjusted for a number of health, disease, and social characteristics predictive of 5-year mortality. Intermediate frailty status, as indicated by the presence of one or two criteria, showed intermediate risk of these outcomes as well as increased risk of becoming frail over 3-4 years of follow-up (odds ratios for incident frailty = 4.51 unadjusted and 2.63 adjusted for covariates, compared to those with no frailty criteria at baseline).\nCONCLUSIONS: This study provides a potential standardized definition for frailty in community-dwelling older adults and offers concurrent and predictive validity for the definition. It also finds that there is an intermediate stage identifying those at high risk of frailty. Finally, it provides evidence that frailty is not synonymous with either comorbidity or disability, but comorbidity is an etiologic risk factor for, and disability is an outcome of, frailty. This provides a potential basis for clinical assessment for those who are frail or at risk, and for future research to develop interventions for frailty based on a standardized ascertainment of frailty.","container-title":"The Journals of Gerontology. Series A, Biological Sciences and Medical Sciences","DOI":"10.1093/gerona/56.3.m146","ISSN":"1079-5006","issue":"3","journalAbbreviation":"J Gerontol A Biol Sci Med Sci","language":"eng","page":"M146-156","PMID":"11253156","source":"PubMed","title":"Frailty in older adults: evidence for a phenotype","title-short":"Frailty in older adults","volume":"56","author":[{"family":"Fried","given":"L. P."},{"family":"Tangen","given":"C. M."},{"family":"Walston","given":"J."},{"family":"Newman","given":"A. B."},{"family":"Hirsch","given":"C."},{"family":"Gottdiener","given":"J."},{"family":"Seeman","given":"T."},{"family":"Tracy","given":"R."},{"family":"Kop","given":"W. J."},{"family":"Burke","given":"G."},{"family":"McBurnie","given":"M. A."},{"literal":"Cardiovascular Health Study Collaborative Research Group"}],"issued":{"date-parts":[["2001",3]]}}}],"schema":"https://github.com/citation-style-language/schema/raw/master/csl-citation.json"} </w:instrText>
      </w:r>
      <w:r w:rsidR="003874C9" w:rsidRPr="006A7336">
        <w:rPr>
          <w:rFonts w:ascii="Segoe UI" w:hAnsi="Segoe UI" w:cs="Segoe UI"/>
          <w:sz w:val="22"/>
          <w:lang w:val="en-US"/>
        </w:rPr>
        <w:fldChar w:fldCharType="separate"/>
      </w:r>
      <w:r w:rsidR="00D559B9" w:rsidRPr="006A7336">
        <w:rPr>
          <w:rFonts w:ascii="Segoe UI" w:hAnsi="Segoe UI" w:cs="Segoe UI"/>
          <w:sz w:val="22"/>
          <w:lang w:val="en-US"/>
        </w:rPr>
        <w:t>[7]</w:t>
      </w:r>
      <w:r w:rsidR="003874C9" w:rsidRPr="006A7336">
        <w:rPr>
          <w:rFonts w:ascii="Segoe UI" w:hAnsi="Segoe UI" w:cs="Segoe UI"/>
          <w:sz w:val="22"/>
          <w:lang w:val="en-US"/>
        </w:rPr>
        <w:fldChar w:fldCharType="end"/>
      </w:r>
      <w:r w:rsidRPr="006A7336">
        <w:rPr>
          <w:rFonts w:ascii="Segoe UI" w:hAnsi="Segoe UI" w:cs="Segoe UI"/>
          <w:sz w:val="22"/>
          <w:lang w:val="en-US"/>
        </w:rPr>
        <w:t>.</w:t>
      </w:r>
    </w:p>
    <w:p w14:paraId="60B03661" w14:textId="5E9F0E69" w:rsidR="00714602" w:rsidRPr="006A7336" w:rsidRDefault="00714602" w:rsidP="00BA1DF3">
      <w:pPr>
        <w:spacing w:line="360" w:lineRule="auto"/>
        <w:ind w:firstLine="708"/>
        <w:rPr>
          <w:rFonts w:ascii="Segoe UI" w:hAnsi="Segoe UI" w:cs="Segoe UI"/>
          <w:sz w:val="22"/>
          <w:lang w:val="en-US"/>
        </w:rPr>
      </w:pPr>
      <w:r w:rsidRPr="006A7336">
        <w:rPr>
          <w:rFonts w:ascii="Segoe UI" w:hAnsi="Segoe UI" w:cs="Segoe UI"/>
          <w:sz w:val="22"/>
          <w:lang w:val="en-US"/>
        </w:rPr>
        <w:t>The implications of frailty syndrome in patients undergoing cardiac procedures are profound. Both frailty and its precursor state, prefrailty, have been linked to worse postoperative outcomes, including prolonged recovery periods, increased risk of complications, and higher mortality rates</w:t>
      </w:r>
      <w:r w:rsidR="003874C9" w:rsidRPr="006A7336">
        <w:rPr>
          <w:rFonts w:ascii="Segoe UI" w:hAnsi="Segoe UI" w:cs="Segoe UI"/>
          <w:sz w:val="22"/>
          <w:lang w:val="en-US"/>
        </w:rPr>
        <w:t xml:space="preserve"> </w:t>
      </w:r>
      <w:r w:rsidR="003874C9"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{"citationID":"YWyxs6S8","properties":{"formattedCitation":"[4, 8, 9]","plainCitation":"[4, 8, 9]","noteIndex":0},"citationItems":[{"id":2354,"uris":["http://zotero.org/users/local/mYpTJneC/items/S5DKNJWU"],"itemData":{"id":2354,"type":"article-journal","container-title":"European Journal of Preventive Cardiology","DOI":"10.1093/eurjpc/zwad304","ISSN":"2047-4881","journalAbbreviation":"Eur J Prev Cardiol","language":"eng","page":"zwad304","PMID":"37804173","source":"PubMed","title":"Preinterventional frailty assessment in patients scheduled for cardiac surgery or transcatheter aortic valve implantation: a consensus statement of the European Association for Cardio-Thoracic Surgery (EACTS) and the European Association of Preventive Cardiology (EAPC) of the European Society of Cardiology (ESC)","title-short":"Preinterventional frailty assessment in patients scheduled for cardiac surgery or transcatheter aortic valve implantation","author":[{"family":"Niebauer","given":"Josef"},{"family":"Bäck","given":"Caroline"},{"family":"Bischoff-Ferrari","given":"Heike A."},{"family":"Dehbi","given":"Hakim-Moulay"},{"family":"Szekely","given":"Andrea"},{"family":"Völler","given":"Heinz"},{"family":"Sündermann","given":"Simon H."}],"issued":{"date-parts":[["2023",10,7]]}}},{"id":2011,"uris":["http://zotero.org/users/local/mYpTJneC/items/3TA3HVWI"],"itemData":{"id":2011,"type":"article-journal","abstract":"BACKGROUND: Transcatheter aortic valve implantation (TAVI) brings symptom relief and improvement in health-related quality of life (HRQoL) in the majority of patients treated for symptomatic, severe aortic stenosis. However, there is a substantial group of patients that do not benefit from TAVI. The aim of this study is to investigate the impact of frailty on HRQoL 1 year after TAVI.\nMETHODS: The TAVI Care &amp; Cure Program is an ongoing, prospective, observational study including patients referred for TAVI to our institution. A comprehensive geriatric assessment was performed to evaluate existence of frailty using the Erasmus Frailty Score (EFS). HRQoL was assessed using the EQ-5D-5 L at baseline and 1 year after TAVI.\nRESULTS: 239 patients underwent TAVI and completed HRQoL assessment 1 year after TAVI. Seventy (29.3%) patients were classified as frail (EFS ≥ 3). In non-frail patients, the EQ-5D-5 L index did not change (0.71(± 0.22) to 0.68(± 0.33) points, P = 0.22); in frail patients, the EQ-5D-5 L index decreased from 0.55(±0.26) to 0.44 points (±0.33) (P = 0.022). Frailty was an independent predictor of deteriorated HRQoL 1 year after TAVI (OR 2.24, 95% CI 1.07-4.70, P = 0.003). In frail patients, the absence of peripheral artery disease (OR 0.17, 95% 0.05-0.50, P = 0.001) and renal dysfunction (OR 0.13, 95% CI 0.04-0.41, P = &lt;0.001) at baseline was associated with improved HRQoL 1 year after TAVI.\nCONCLUSION: Frailty is associated with deterioration of HRQoL 1 year after TAVI. Notably, HRQoL did improve in frail patients with no peripheral arterial disease or renal impairment at baseline.","container-title":"Age and Ageing","DOI":"10.1093/ageing/afaa071","ISSN":"1468-2834","issue":"6","journalAbbreviation":"Age Ageing","language":"eng","page":"989-994","PMID":"32421189","PMCID":"PMC7583518","source":"PubMed","title":"Impact of frailty on health-related quality of life 1 year after transcatheter aortic valve implantation","volume":"49","author":[{"family":"Goudzwaard","given":"Jeannette A."},{"family":"Ronde-Tillmans","given":"Marjo J. A. G.","non-dropping-particle":"de"},{"family":"Hoorn","given":"Fleurance E. D.","non-dropping-particle":"van"},{"family":"Kwekkeboom","given":"Eline H. C."},{"family":"Lenzen","given":"Mattie J."},{"family":"Wiechen","given":"Maarten P. H.","non-dropping-particle":"van"},{"family":"Ooms","given":"Joris F. W."},{"family":"Nuis","given":"Rutger-Jan"},{"family":"Van Mieghem","given":"Nicolas M."},{"family":"Daemen","given":"Joost"},{"family":"Jaegere","given":"Peter P. T.","non-dropping-particle":"de"},{"family":"Mattace-Raso","given":"Francesco U. S."}],"issued":{"date-parts":[["2020",10,23]]}}},{"id":4423,"uris":["http://zotero.org/users/local/mYpTJneC/items/UM7JMGWL"],"itemData":{"id":4423,"type":"article-journal","abstract":"Frailty is a known risk factor for those aged 65 and over, and its prevalence increases with age. Definitions of frailty vary widely, and prevalence estimates are affected by the way frailty is defined. Systematic reviews have yet to examine the literature on the association between definitions of frailty and mortality. We examined the definitions and prevalence of frailty and its association with survival in older community-dwelling adults. We conducted a systematic review of observational population-based studies published in English. We calculated pooled prevalence of frailty with a random effects model. We identified 24 population-based studies that examined frailty in community-dwelling older adults. The pooled prevalence was 14% when frailty was defined as a phenotype exhibiting three or more of the following: weight loss, fatigue/exhaustion, weakness, low physical activity/slowness, and mobility impairment. The pooled prevalence was 24% when frailty was defined by accumulation of deficits indices that included up to 75 diseases and impairments. The prevalence of frailty increased with age and was greater in women and in African Americans. Frailty in older adults was associated with poor survival with a dose-responsive reduction in survival per increasing number of frailty criteria. Taking into account population prevalence and multivariate adjusted relative risks, we estimated that 3-5% of deaths among older adults could be delayed if frailty was prevented. Frailty is a prevalent and important geriatric syndrome associated with decreased survival. Geriatric assessment of frailty provides clinically important information about functional status and survival of older adults.","container-title":"Ageing Research Reviews","DOI":"10.1016/j.arr.2012.03.001","ISSN":"1872-9649","issue":"2","journalAbbreviation":"Ageing Res Rev","language":"eng","page":"719-736","PMID":"22426304","source":"PubMed","title":"Association of frailty with survival: a systematic literature review","title-short":"Association of frailty with survival","volume":"12","author":[{"family":"Shamliyan","given":"Tatyana"},{"family":"Talley","given":"Kristine M. C."},{"family":"Ramakrishnan","given":"Rema"},{"family":"Kane","given":"Robert L."}],"issued":{"date-parts":[["2013",3]]}}}],"schema":"https://github.com/citation-style-language/schema/raw/master/csl-citation.json"} </w:instrText>
      </w:r>
      <w:r w:rsidR="003874C9" w:rsidRPr="006A7336">
        <w:rPr>
          <w:rFonts w:ascii="Segoe UI" w:hAnsi="Segoe UI" w:cs="Segoe UI"/>
          <w:sz w:val="22"/>
          <w:lang w:val="en-US"/>
        </w:rPr>
        <w:fldChar w:fldCharType="separate"/>
      </w:r>
      <w:r w:rsidR="00D559B9" w:rsidRPr="006A7336">
        <w:rPr>
          <w:rFonts w:ascii="Segoe UI" w:hAnsi="Segoe UI" w:cs="Segoe UI"/>
          <w:sz w:val="22"/>
          <w:lang w:val="en-US"/>
        </w:rPr>
        <w:t>[4, 8, 9]</w:t>
      </w:r>
      <w:r w:rsidR="003874C9" w:rsidRPr="006A7336">
        <w:rPr>
          <w:rFonts w:ascii="Segoe UI" w:hAnsi="Segoe UI" w:cs="Segoe UI"/>
          <w:sz w:val="22"/>
          <w:lang w:val="en-US"/>
        </w:rPr>
        <w:fldChar w:fldCharType="end"/>
      </w:r>
      <w:r w:rsidRPr="006A7336">
        <w:rPr>
          <w:rFonts w:ascii="Segoe UI" w:hAnsi="Segoe UI" w:cs="Segoe UI"/>
          <w:sz w:val="22"/>
          <w:lang w:val="en-US"/>
        </w:rPr>
        <w:t>. These challenges underscore the need for thorough pre-interventional evaluation of frailty in patients with severe AS who are candidates for TAVI or SAVR. Recognizing this, the recently updated European Society of Cardiology (ESC) guidelines have emphasized the integration of frailty assessments into routine preoperative evaluations</w:t>
      </w:r>
      <w:r w:rsidR="003874C9" w:rsidRPr="006A7336">
        <w:rPr>
          <w:rFonts w:ascii="Segoe UI" w:hAnsi="Segoe UI" w:cs="Segoe UI"/>
          <w:sz w:val="22"/>
          <w:lang w:val="en-US"/>
        </w:rPr>
        <w:t xml:space="preserve"> </w:t>
      </w:r>
      <w:r w:rsidR="003874C9"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{"citationID":"Drrus6ht","properties":{"formattedCitation":"[4]","plainCitation":"[4]","noteIndex":0},"citationItems":[{"id":2354,"uris":["http://zotero.org/users/local/mYpTJneC/items/S5DKNJWU"],"itemData":{"id":2354,"type":"article-journal","container-title":"European Journal of Preventive Cardiology","DOI":"10.1093/eurjpc/zwad304","ISSN":"2047-4881","journalAbbreviation":"Eur J Prev Cardiol","language":"eng","page":"zwad304","PMID":"37804173","source":"PubMed","title":"Preinterventional frailty assessment in patients scheduled for cardiac surgery or transcatheter aortic valve implantation: a consensus statement of the European Association for Cardio-Thoracic Surgery (EACTS) and the European Association of Preventive Cardiology (EAPC) of the European Society of Cardiology (ESC)","title-short":"Preinterventional frailty assessment in patients scheduled for cardiac surgery or transcatheter aortic valve implantation","author":[{"family":"Niebauer","given":"Josef"},{"family":"Bäck","given":"Caroline"},{"family":"Bischoff-Ferrari","given":"Heike A."},{"family":"Dehbi","given":"Hakim-Moulay"},{"family":"Szekely","given":"Andrea"},{"family":"Völler","given":"Heinz"},{"family":"Sündermann","given":"Simon H."}],"issued":{"date-parts":[["2023",10,7]]}}}],"schema":"https://github.com/citation-style-language/schema/raw/master/csl-citation.json"} </w:instrText>
      </w:r>
      <w:r w:rsidR="003874C9" w:rsidRPr="006A7336">
        <w:rPr>
          <w:rFonts w:ascii="Segoe UI" w:hAnsi="Segoe UI" w:cs="Segoe UI"/>
          <w:sz w:val="22"/>
          <w:lang w:val="en-US"/>
        </w:rPr>
        <w:fldChar w:fldCharType="separate"/>
      </w:r>
      <w:r w:rsidR="003874C9" w:rsidRPr="006A7336">
        <w:rPr>
          <w:rFonts w:ascii="Segoe UI" w:hAnsi="Segoe UI" w:cs="Segoe UI"/>
          <w:sz w:val="22"/>
          <w:lang w:val="en-US"/>
        </w:rPr>
        <w:t>[4]</w:t>
      </w:r>
      <w:r w:rsidR="003874C9" w:rsidRPr="006A7336">
        <w:rPr>
          <w:rFonts w:ascii="Segoe UI" w:hAnsi="Segoe UI" w:cs="Segoe UI"/>
          <w:sz w:val="22"/>
          <w:lang w:val="en-US"/>
        </w:rPr>
        <w:fldChar w:fldCharType="end"/>
      </w:r>
      <w:r w:rsidR="003874C9" w:rsidRPr="006A7336">
        <w:rPr>
          <w:rFonts w:ascii="Segoe UI" w:hAnsi="Segoe UI" w:cs="Segoe UI"/>
          <w:sz w:val="22"/>
          <w:lang w:val="en-US"/>
        </w:rPr>
        <w:t xml:space="preserve">. </w:t>
      </w:r>
      <w:r w:rsidRPr="006A7336">
        <w:rPr>
          <w:rFonts w:ascii="Segoe UI" w:hAnsi="Segoe UI" w:cs="Segoe UI"/>
          <w:sz w:val="22"/>
          <w:lang w:val="en-US"/>
        </w:rPr>
        <w:t>Such assessments are instrumental in risk stratification, tailoring perioperative care, and optimizing shared decision-making processes between patients, their families, and healthcare providers.</w:t>
      </w:r>
    </w:p>
    <w:p w14:paraId="63232438" w14:textId="7E159CF1" w:rsidR="00714602" w:rsidRPr="006A7336" w:rsidRDefault="00714602" w:rsidP="00BA1DF3">
      <w:pPr>
        <w:spacing w:line="360" w:lineRule="auto"/>
        <w:ind w:firstLine="708"/>
        <w:rPr>
          <w:rFonts w:ascii="Segoe UI" w:hAnsi="Segoe UI" w:cs="Segoe UI"/>
          <w:sz w:val="22"/>
          <w:lang w:val="en-US"/>
        </w:rPr>
      </w:pPr>
      <w:r w:rsidRPr="006A7336">
        <w:rPr>
          <w:rFonts w:ascii="Segoe UI" w:hAnsi="Segoe UI" w:cs="Segoe UI"/>
          <w:sz w:val="22"/>
          <w:lang w:val="en-US"/>
        </w:rPr>
        <w:t>Despite the existence of multiple tools for measuring frailty, such as the Tilburg Frailty Index (TFI)</w:t>
      </w:r>
      <w:r w:rsidR="003874C9" w:rsidRPr="006A7336">
        <w:rPr>
          <w:rFonts w:ascii="Segoe UI" w:hAnsi="Segoe UI" w:cs="Segoe UI"/>
          <w:sz w:val="22"/>
          <w:lang w:val="en-US"/>
        </w:rPr>
        <w:t xml:space="preserve"> </w:t>
      </w:r>
      <w:r w:rsidR="003874C9"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{"citationID":"vnCcwRMr","properties":{"formattedCitation":"[10]","plainCitation":"[10]","noteIndex":0},"citationItems":[{"id":4639,"uris":["http://zotero.org/users/local/mYpTJneC/items/TLLFSI4C"],"itemData":{"id":4639,"type":"article-journal","abstract":"OBJECTIVES: To assess the reliability, construct validity, and predictive (concurrent) validity of the Tilburg Frailty Indicator (TFI), a self-report questionnaire for measuring frailty in older persons.\nDESIGN: Cross-sectional.\nSETTING: Community-based.\nPARTICIPANTS: Two representative samples of community-dwelling persons aged 75 years and older (n = 245; n = 234).\nMEASUREMENTS: The TFI was validated using the LASA Physical Activity Questionnaire, BMI, Timed Up &amp; Go test, Four test balance scale, Grip strength test, Shortened Fatigue Questionnaire, Mini-Mental State Examination, Center for Epidemiologic Studies Depression Scale, Anxiety subscale of the Hospital Anxiety and Depression Scale, Mastery Scale, Loneliness Scale, and the Social Support List. Adverse outcomes were measured using the Groningen Activity Restriction Scale and questions regarding health care use. Quality of life was measured using the WHOQOL-BREF.\nRESULTS: The test-retest reliability of the TFI was good: 0.79 for frailty, and from 0.67 to 0.78 for its domains for a 1-year time interval. The 15 single components, and the frailty domains (physical, psychological, social) of the TFI correlated as expected with validated measures, demonstrating both convergent and divergent construct validity of the TFI. The predictive validity of the TFI and its physical domain was good for quality of life and the adverse outcomes disability and receiving personal care, nursing, and informal care.\nCONCLUSION: This study demonstrates that the psychometric properties of the TFI are good, when performed in 2 samples of community-dwelling older people. The results regarding the TFI's validity provide strong evidence for an integral definition of frailty consisting of physical, psychological, and social domains.","container-title":"Journal of the American Medical Directors Association","DOI":"10.1016/j.jamda.2009.11.003","ISSN":"1538-9375","issue":"5","journalAbbreviation":"J Am Med Dir Assoc","language":"eng","page":"344-355","PMID":"20511102","source":"PubMed","title":"The Tilburg Frailty Indicator: psychometric properties","title-short":"The Tilburg Frailty Indicator","volume":"11","author":[{"family":"Gobbens","given":"Robbert J. J."},{"family":"Assen","given":"Marcel A. L. M.","non-dropping-particle":"van"},{"family":"Luijkx","given":"Katrien G."},{"family":"Wijnen-Sponselee","given":"Maria Th"},{"family":"Schols","given":"Jos M. G. A."}],"issued":{"date-parts":[["2010",6]]}}}],"schema":"https://github.com/citation-style-language/schema/raw/master/csl-citation.json"} </w:instrText>
      </w:r>
      <w:r w:rsidR="003874C9" w:rsidRPr="006A7336">
        <w:rPr>
          <w:rFonts w:ascii="Segoe UI" w:hAnsi="Segoe UI" w:cs="Segoe UI"/>
          <w:sz w:val="22"/>
          <w:lang w:val="en-US"/>
        </w:rPr>
        <w:fldChar w:fldCharType="separate"/>
      </w:r>
      <w:r w:rsidR="00D559B9" w:rsidRPr="006A7336">
        <w:rPr>
          <w:rFonts w:ascii="Segoe UI" w:hAnsi="Segoe UI" w:cs="Segoe UI"/>
          <w:sz w:val="22"/>
          <w:lang w:val="en-US"/>
        </w:rPr>
        <w:t>[10]</w:t>
      </w:r>
      <w:r w:rsidR="003874C9" w:rsidRPr="006A7336">
        <w:rPr>
          <w:rFonts w:ascii="Segoe UI" w:hAnsi="Segoe UI" w:cs="Segoe UI"/>
          <w:sz w:val="22"/>
          <w:lang w:val="en-US"/>
        </w:rPr>
        <w:fldChar w:fldCharType="end"/>
      </w:r>
      <w:r w:rsidRPr="006A7336">
        <w:rPr>
          <w:rFonts w:ascii="Segoe UI" w:hAnsi="Segoe UI" w:cs="Segoe UI"/>
          <w:sz w:val="22"/>
          <w:lang w:val="en-US"/>
        </w:rPr>
        <w:t xml:space="preserve"> and Fried's Frailty Phenotype</w:t>
      </w:r>
      <w:r w:rsidR="003874C9" w:rsidRPr="006A7336">
        <w:rPr>
          <w:rFonts w:ascii="Segoe UI" w:hAnsi="Segoe UI" w:cs="Segoe UI"/>
          <w:sz w:val="22"/>
          <w:lang w:val="en-US"/>
        </w:rPr>
        <w:t xml:space="preserve"> </w:t>
      </w:r>
      <w:r w:rsidR="003874C9"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{"citationID":"gE17p187","properties":{"formattedCitation":"[7]","plainCitation":"[7]","noteIndex":0},"citationItems":[{"id":4418,"uris":["http://zotero.org/users/local/mYpTJneC/items/2FTDE9P7"],"itemData":{"id":4418,"type":"article-journal","abstract":"BACKGROUND: Frailty is considered highly prevalent in old age and to confer high risk for falls, disability, hospitalization, and mortality. Frailty has been considered synonymous with disability, comorbidity, and other characteristics, but it is recognized that it may have a biologic basis and be a distinct clinical syndrome. A standardized definition has not yet been established.\nMETHODS: To develop and operationalize a phenotype of frailty in older adults and assess concurrent and predictive validity, the study used data from the Cardiovascular Health Study. Participants were 5,317 men and women 65 years and older (4,735 from an original cohort recruited in 1989-90 and 582 from an African American cohort recruited in 1992-93). Both cohorts received almost identical baseline evaluations and 7 and 4 years of follow-up, respectively, with annual examinations and surveillance for outcomes including incident disease, hospitalization, falls, disability, and mortality.\nRESULTS: Frailty was defined as a clinical syndrome in which three or more of the following criteria were present: unintentional weight loss (10 lbs in past year), self-reported exhaustion, weakness (grip strength), slow walking speed, and low physical activity. The overall prevalence of frailty in this community-dwelling population was 6.9%; it increased with age and was greater in women than men. Four-year incidence was 7.2%. Frailty was associated with being African American, having lower education and income, poorer health, and having higher rates of comorbid chronic diseases and disability. There was overlap, but not concordance, in the cooccurrence of frailty, comorbidity, and disability. This frailty phenotype was independently predictive (over 3 years) of incident falls, worsening mobility or ADL disability, hospitalization, and death, with hazard ratios ranging from 1.82 to 4.46, unadjusted, and 1.29-2.24, adjusted for a number of health, disease, and social characteristics predictive of 5-year mortality. Intermediate frailty status, as indicated by the presence of one or two criteria, showed intermediate risk of these outcomes as well as increased risk of becoming frail over 3-4 years of follow-up (odds ratios for incident frailty = 4.51 unadjusted and 2.63 adjusted for covariates, compared to those with no frailty criteria at baseline).\nCONCLUSIONS: This study provides a potential standardized definition for frailty in community-dwelling older adults and offers concurrent and predictive validity for the definition. It also finds that there is an intermediate stage identifying those at high risk of frailty. Finally, it provides evidence that frailty is not synonymous with either comorbidity or disability, but comorbidity is an etiologic risk factor for, and disability is an outcome of, frailty. This provides a potential basis for clinical assessment for those who are frail or at risk, and for future research to develop interventions for frailty based on a standardized ascertainment of frailty.","container-title":"The Journals of Gerontology. Series A, Biological Sciences and Medical Sciences","DOI":"10.1093/gerona/56.3.m146","ISSN":"1079-5006","issue":"3","journalAbbreviation":"J Gerontol A Biol Sci Med Sci","language":"eng","page":"M146-156","PMID":"11253156","source":"PubMed","title":"Frailty in older adults: evidence for a phenotype","title-short":"Frailty in older adults","volume":"56","author":[{"family":"Fried","given":"L. P."},{"family":"Tangen","given":"C. M."},{"family":"Walston","given":"J."},{"family":"Newman","given":"A. B."},{"family":"Hirsch","given":"C."},{"family":"Gottdiener","given":"J."},{"family":"Seeman","given":"T."},{"family":"Tracy","given":"R."},{"family":"Kop","given":"W. J."},{"family":"Burke","given":"G."},{"family":"McBurnie","given":"M. A."},{"literal":"Cardiovascular Health Study Collaborative Research Group"}],"issued":{"date-parts":[["2001",3]]}}}],"schema":"https://github.com/citation-style-language/schema/raw/master/csl-citation.json"} </w:instrText>
      </w:r>
      <w:r w:rsidR="003874C9" w:rsidRPr="006A7336">
        <w:rPr>
          <w:rFonts w:ascii="Segoe UI" w:hAnsi="Segoe UI" w:cs="Segoe UI"/>
          <w:sz w:val="22"/>
          <w:lang w:val="en-US"/>
        </w:rPr>
        <w:fldChar w:fldCharType="separate"/>
      </w:r>
      <w:r w:rsidR="00D559B9" w:rsidRPr="006A7336">
        <w:rPr>
          <w:rFonts w:ascii="Segoe UI" w:hAnsi="Segoe UI" w:cs="Segoe UI"/>
          <w:sz w:val="22"/>
          <w:lang w:val="en-US"/>
        </w:rPr>
        <w:t>[7]</w:t>
      </w:r>
      <w:r w:rsidR="003874C9" w:rsidRPr="006A7336">
        <w:rPr>
          <w:rFonts w:ascii="Segoe UI" w:hAnsi="Segoe UI" w:cs="Segoe UI"/>
          <w:sz w:val="22"/>
          <w:lang w:val="en-US"/>
        </w:rPr>
        <w:fldChar w:fldCharType="end"/>
      </w:r>
      <w:r w:rsidRPr="006A7336">
        <w:rPr>
          <w:rFonts w:ascii="Segoe UI" w:hAnsi="Segoe UI" w:cs="Segoe UI"/>
          <w:sz w:val="22"/>
          <w:lang w:val="en-US"/>
        </w:rPr>
        <w:t>, current methodologies often fail to capture all the nuances of this complex condition. There is a growing recognition of the need to identify modifiable factors contributing to frailty, such as physical activity levels, nutritional status, and psychosocial support. By addressing these factors through prehabilitation</w:t>
      </w:r>
      <w:r w:rsidR="00BA1DF3" w:rsidRPr="006A7336">
        <w:rPr>
          <w:rFonts w:ascii="Segoe UI" w:hAnsi="Segoe UI" w:cs="Segoe UI"/>
          <w:sz w:val="22"/>
          <w:lang w:val="en-US"/>
        </w:rPr>
        <w:t xml:space="preserve"> - </w:t>
      </w:r>
      <w:r w:rsidRPr="006A7336">
        <w:rPr>
          <w:rFonts w:ascii="Segoe UI" w:hAnsi="Segoe UI" w:cs="Segoe UI"/>
          <w:sz w:val="22"/>
          <w:lang w:val="en-US"/>
        </w:rPr>
        <w:t>targeted interventions to improve patients' physical and psychological resilience</w:t>
      </w:r>
      <w:r w:rsidR="00BA1DF3" w:rsidRPr="006A7336">
        <w:rPr>
          <w:rFonts w:ascii="Segoe UI" w:hAnsi="Segoe UI" w:cs="Segoe UI"/>
          <w:sz w:val="22"/>
          <w:lang w:val="en-US"/>
        </w:rPr>
        <w:t xml:space="preserve"> - </w:t>
      </w:r>
      <w:r w:rsidRPr="006A7336">
        <w:rPr>
          <w:rFonts w:ascii="Segoe UI" w:hAnsi="Segoe UI" w:cs="Segoe UI"/>
          <w:sz w:val="22"/>
          <w:lang w:val="en-US"/>
        </w:rPr>
        <w:t>healthcare providers can potentially improve the outcomes of valve replacement procedures.</w:t>
      </w:r>
    </w:p>
    <w:p w14:paraId="56315148" w14:textId="77777777" w:rsidR="009B637D" w:rsidRPr="006A7336" w:rsidRDefault="00714602" w:rsidP="00BA1DF3">
      <w:pPr>
        <w:spacing w:line="360" w:lineRule="auto"/>
        <w:ind w:firstLine="708"/>
        <w:rPr>
          <w:rFonts w:ascii="Segoe UI" w:hAnsi="Segoe UI" w:cs="Segoe UI"/>
          <w:sz w:val="22"/>
          <w:lang w:val="en-US"/>
        </w:rPr>
      </w:pPr>
      <w:r w:rsidRPr="006A7336">
        <w:rPr>
          <w:rFonts w:ascii="Segoe UI" w:hAnsi="Segoe UI" w:cs="Segoe UI"/>
          <w:sz w:val="22"/>
          <w:lang w:val="en-US"/>
        </w:rPr>
        <w:t>The primary objective of this study was to explore the prevalence and determinants of frailty syndrome in a cohort of Polish patients with severe AS who were eligible for TAVI. By identifying specific sociodemographic, clinical, and psychosocial factors influencing frailty in this population, the study aims to contribute valuable insights that could inform targeted interventions.</w:t>
      </w:r>
    </w:p>
    <w:p w14:paraId="3D08284C" w14:textId="77777777" w:rsidR="0010571D" w:rsidRPr="006A7336" w:rsidRDefault="0010571D" w:rsidP="00BA1DF3">
      <w:pPr>
        <w:spacing w:line="360" w:lineRule="auto"/>
        <w:ind w:firstLine="708"/>
        <w:rPr>
          <w:rFonts w:ascii="Segoe UI" w:hAnsi="Segoe UI" w:cs="Segoe UI"/>
          <w:sz w:val="22"/>
          <w:lang w:val="en-US"/>
        </w:rPr>
      </w:pPr>
    </w:p>
    <w:p w14:paraId="7CFED016" w14:textId="77777777" w:rsidR="00013C94" w:rsidRPr="006A7336" w:rsidRDefault="00013C94" w:rsidP="00BA1DF3">
      <w:pPr>
        <w:pStyle w:val="Tytu"/>
        <w:spacing w:line="360" w:lineRule="auto"/>
        <w:jc w:val="left"/>
        <w:rPr>
          <w:rFonts w:ascii="Segoe UI" w:hAnsi="Segoe UI" w:cs="Segoe UI"/>
          <w:color w:val="auto"/>
          <w:sz w:val="22"/>
          <w:szCs w:val="22"/>
          <w:lang w:val="en-GB"/>
        </w:rPr>
      </w:pPr>
      <w:r w:rsidRPr="006A7336">
        <w:rPr>
          <w:rFonts w:ascii="Segoe UI" w:hAnsi="Segoe UI" w:cs="Segoe UI"/>
          <w:color w:val="auto"/>
          <w:sz w:val="22"/>
          <w:szCs w:val="22"/>
          <w:lang w:val="en-GB"/>
        </w:rPr>
        <w:t>Material and methods</w:t>
      </w:r>
    </w:p>
    <w:p w14:paraId="5681CC15" w14:textId="77777777" w:rsidR="00013C94" w:rsidRPr="006A7336" w:rsidRDefault="00013C94" w:rsidP="00BA1DF3">
      <w:pPr>
        <w:spacing w:line="360" w:lineRule="auto"/>
        <w:rPr>
          <w:rFonts w:ascii="Segoe UI" w:hAnsi="Segoe UI" w:cs="Segoe UI"/>
          <w:b/>
          <w:bCs/>
          <w:i/>
          <w:iCs/>
          <w:sz w:val="22"/>
          <w:lang w:val="en-US"/>
        </w:rPr>
      </w:pPr>
      <w:r w:rsidRPr="006A7336">
        <w:rPr>
          <w:rFonts w:ascii="Segoe UI" w:hAnsi="Segoe UI" w:cs="Segoe UI"/>
          <w:b/>
          <w:bCs/>
          <w:i/>
          <w:iCs/>
          <w:sz w:val="22"/>
          <w:lang w:val="en-US"/>
        </w:rPr>
        <w:t>Study design and setting</w:t>
      </w:r>
    </w:p>
    <w:p w14:paraId="4C7F37A4" w14:textId="77777777" w:rsidR="00DE4FDE" w:rsidRPr="006A7336" w:rsidRDefault="00DE4FDE"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The current research has a cross-sectional, observational design. The </w:t>
      </w:r>
      <w:proofErr w:type="spellStart"/>
      <w:r w:rsidR="00E86C86" w:rsidRPr="006A7336">
        <w:rPr>
          <w:rFonts w:ascii="Segoe UI" w:hAnsi="Segoe UI" w:cs="Segoe UI"/>
          <w:sz w:val="22"/>
          <w:lang w:val="en-US"/>
        </w:rPr>
        <w:t>unicenter</w:t>
      </w:r>
      <w:proofErr w:type="spellEnd"/>
      <w:r w:rsidR="00E86C86" w:rsidRPr="006A7336">
        <w:rPr>
          <w:rFonts w:ascii="Segoe UI" w:hAnsi="Segoe UI" w:cs="Segoe UI"/>
          <w:sz w:val="22"/>
          <w:lang w:val="en-US"/>
        </w:rPr>
        <w:t xml:space="preserve"> </w:t>
      </w:r>
      <w:r w:rsidRPr="006A7336">
        <w:rPr>
          <w:rFonts w:ascii="Segoe UI" w:hAnsi="Segoe UI" w:cs="Segoe UI"/>
          <w:sz w:val="22"/>
          <w:lang w:val="en-US"/>
        </w:rPr>
        <w:t xml:space="preserve">study was conducted from January 2024 to September 2024. </w:t>
      </w:r>
    </w:p>
    <w:p w14:paraId="47866BA4" w14:textId="77777777" w:rsidR="00013C94" w:rsidRPr="006A7336" w:rsidRDefault="00013C94" w:rsidP="00BA1DF3">
      <w:pPr>
        <w:spacing w:line="360" w:lineRule="auto"/>
        <w:rPr>
          <w:rFonts w:ascii="Segoe UI" w:hAnsi="Segoe UI" w:cs="Segoe UI"/>
          <w:b/>
          <w:bCs/>
          <w:i/>
          <w:iCs/>
          <w:sz w:val="22"/>
          <w:lang w:val="en-US"/>
        </w:rPr>
      </w:pPr>
      <w:r w:rsidRPr="006A7336">
        <w:rPr>
          <w:rFonts w:ascii="Segoe UI" w:hAnsi="Segoe UI" w:cs="Segoe UI"/>
          <w:b/>
          <w:bCs/>
          <w:i/>
          <w:iCs/>
          <w:sz w:val="22"/>
          <w:lang w:val="en-US"/>
        </w:rPr>
        <w:lastRenderedPageBreak/>
        <w:t>Study group</w:t>
      </w:r>
    </w:p>
    <w:p w14:paraId="0ADC3CFC" w14:textId="1DC846C2" w:rsidR="00DE4FDE" w:rsidRPr="006A7336" w:rsidRDefault="00DE4FDE" w:rsidP="00BA1DF3">
      <w:pPr>
        <w:spacing w:line="360" w:lineRule="auto"/>
        <w:ind w:firstLine="708"/>
        <w:rPr>
          <w:rFonts w:ascii="Segoe UI" w:hAnsi="Segoe UI" w:cs="Segoe UI"/>
          <w:sz w:val="22"/>
          <w:lang w:val="en-US"/>
        </w:rPr>
      </w:pPr>
      <w:r w:rsidRPr="006A7336">
        <w:rPr>
          <w:rFonts w:ascii="Segoe UI" w:hAnsi="Segoe UI" w:cs="Segoe UI"/>
          <w:sz w:val="22"/>
          <w:lang w:val="en-US"/>
        </w:rPr>
        <w:t>A total of 130 patients with severe AS, diagnosed according to European Society of Cardiology criteria</w:t>
      </w:r>
      <w:r w:rsidR="00391024" w:rsidRPr="006A7336">
        <w:rPr>
          <w:rFonts w:ascii="Segoe UI" w:hAnsi="Segoe UI" w:cs="Segoe UI"/>
          <w:sz w:val="22"/>
          <w:lang w:val="en-US"/>
        </w:rPr>
        <w:t xml:space="preserve"> </w:t>
      </w:r>
      <w:r w:rsidR="00391024"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{"citationID":"5bDnPqr3","properties":{"formattedCitation":"[11]","plainCitation":"[11]","noteIndex":0},"citationItems":[{"id":5494,"uris":["http://zotero.org/users/local/mYpTJneC/items/FAR3QI6B"],"itemData":{"id":5494,"type":"article-journal","container-title":"European Heart Journal","DOI":"10.1093/eurheartj/ehaf194","ISSN":"1522-9645","issue":"44","journalAbbreviation":"Eur Heart J","language":"eng","page":"4635-4736","PMID":"40878295","source":"PubMed","title":"2025 ESC/EACTS Guidelines for the management of valvular heart disease","volume":"46","author":[{"family":"Praz","given":"Fabien"},{"family":"Borger","given":"Michael A."},{"family":"Lanz","given":"Jonas"},{"family":"Marin-Cuartas","given":"Mateo"},{"family":"Abreu","given":"Ana"},{"family":"Adamo","given":"Marianna"},{"family":"Ajmone Marsan","given":"Nina"},{"family":"Barili","given":"Fabio"},{"family":"Bonaros","given":"Nikolaos"},{"family":"Cosyns","given":"Bernard"},{"family":"De Paulis","given":"Ruggero"},{"family":"Gamra","given":"Habib"},{"family":"Jahangiri","given":"Marjan"},{"family":"Jeppsson","given":"Anders"},{"family":"Klautz","given":"Robert J. M."},{"family":"Mores","given":"Benoit"},{"family":"Pérez-David","given":"Esther"},{"family":"Pöss","given":"Janine"},{"family":"Prendergast","given":"Bernard D."},{"family":"Rocca","given":"Bianca"},{"family":"Rossello","given":"Xavier"},{"family":"Suzuki","given":"Mikio"},{"family":"Thiele","given":"Holger"},{"family":"Tribouilloy","given":"Christophe Michel"},{"family":"Wojakowski","given":"Wojtek"},{"literal":"ESC/EACTS Scientific Document Group"}],"issued":{"date-parts":[["2025",11,21]]}}}],"schema":"https://github.com/citation-style-language/schema/raw/master/csl-citation.json"} </w:instrText>
      </w:r>
      <w:r w:rsidR="00391024" w:rsidRPr="006A7336">
        <w:rPr>
          <w:rFonts w:ascii="Segoe UI" w:hAnsi="Segoe UI" w:cs="Segoe UI"/>
          <w:sz w:val="22"/>
          <w:lang w:val="en-US"/>
        </w:rPr>
        <w:fldChar w:fldCharType="separate"/>
      </w:r>
      <w:r w:rsidR="00391024" w:rsidRPr="006A7336">
        <w:rPr>
          <w:rFonts w:ascii="Segoe UI" w:hAnsi="Segoe UI" w:cs="Segoe UI"/>
          <w:sz w:val="22"/>
          <w:lang w:val="en-US"/>
        </w:rPr>
        <w:t>[11]</w:t>
      </w:r>
      <w:r w:rsidR="00391024" w:rsidRPr="006A7336">
        <w:rPr>
          <w:rFonts w:ascii="Segoe UI" w:hAnsi="Segoe UI" w:cs="Segoe UI"/>
          <w:sz w:val="22"/>
          <w:lang w:val="en-US"/>
        </w:rPr>
        <w:fldChar w:fldCharType="end"/>
      </w:r>
      <w:r w:rsidRPr="006A7336">
        <w:rPr>
          <w:rFonts w:ascii="Segoe UI" w:hAnsi="Segoe UI" w:cs="Segoe UI"/>
          <w:sz w:val="22"/>
          <w:lang w:val="en-US"/>
        </w:rPr>
        <w:t>, were initially qualified for the study</w:t>
      </w:r>
      <w:r w:rsidR="00FD7383" w:rsidRPr="006A7336">
        <w:rPr>
          <w:rFonts w:ascii="Segoe UI" w:hAnsi="Segoe UI" w:cs="Segoe UI"/>
          <w:sz w:val="22"/>
          <w:lang w:val="en-US"/>
        </w:rPr>
        <w:t xml:space="preserve"> (</w:t>
      </w:r>
      <w:r w:rsidR="00BD11FD">
        <w:rPr>
          <w:rFonts w:ascii="Segoe UI" w:hAnsi="Segoe UI" w:cs="Segoe UI"/>
          <w:sz w:val="22"/>
          <w:lang w:val="en-US"/>
        </w:rPr>
        <w:t>S</w:t>
      </w:r>
      <w:r w:rsidR="00FD7383" w:rsidRPr="006A7336">
        <w:rPr>
          <w:rFonts w:ascii="Segoe UI" w:hAnsi="Segoe UI" w:cs="Segoe UI"/>
          <w:sz w:val="22"/>
          <w:lang w:val="en-US"/>
        </w:rPr>
        <w:t xml:space="preserve">upplementary </w:t>
      </w:r>
      <w:r w:rsidR="00BD11FD">
        <w:rPr>
          <w:rFonts w:ascii="Segoe UI" w:hAnsi="Segoe UI" w:cs="Segoe UI"/>
          <w:sz w:val="22"/>
          <w:lang w:val="en-US"/>
        </w:rPr>
        <w:t>T</w:t>
      </w:r>
      <w:r w:rsidR="00FD7383" w:rsidRPr="006A7336">
        <w:rPr>
          <w:rFonts w:ascii="Segoe UI" w:hAnsi="Segoe UI" w:cs="Segoe UI"/>
          <w:sz w:val="22"/>
          <w:lang w:val="en-US"/>
        </w:rPr>
        <w:t xml:space="preserve">able </w:t>
      </w:r>
      <w:r w:rsidR="00AD0C8A" w:rsidRPr="006A7336">
        <w:rPr>
          <w:rFonts w:ascii="Segoe UI" w:hAnsi="Segoe UI" w:cs="Segoe UI"/>
          <w:sz w:val="22"/>
          <w:lang w:val="en-US"/>
        </w:rPr>
        <w:t>S</w:t>
      </w:r>
      <w:r w:rsidR="00FD7383" w:rsidRPr="006A7336">
        <w:rPr>
          <w:rFonts w:ascii="Segoe UI" w:hAnsi="Segoe UI" w:cs="Segoe UI"/>
          <w:sz w:val="22"/>
          <w:lang w:val="en-US"/>
        </w:rPr>
        <w:t>1)</w:t>
      </w:r>
      <w:r w:rsidRPr="006A7336">
        <w:rPr>
          <w:rFonts w:ascii="Segoe UI" w:hAnsi="Segoe UI" w:cs="Segoe UI"/>
          <w:sz w:val="22"/>
          <w:lang w:val="en-US"/>
        </w:rPr>
        <w:t xml:space="preserve">. Among them, 10 declined to participate. In the first stage of qualification, 120 patients meeting the criteria were included. However, 7 patients withdrew their consent. Ultimately, 113 patients aged </w:t>
      </w:r>
      <w:r w:rsidR="00DE015D" w:rsidRPr="006A7336">
        <w:rPr>
          <w:rFonts w:ascii="Segoe UI" w:hAnsi="Segoe UI" w:cs="Segoe UI"/>
          <w:sz w:val="22"/>
          <w:lang w:val="en-US"/>
        </w:rPr>
        <w:t>65</w:t>
      </w:r>
      <w:r w:rsidRPr="006A7336">
        <w:rPr>
          <w:rFonts w:ascii="Segoe UI" w:hAnsi="Segoe UI" w:cs="Segoe UI"/>
          <w:sz w:val="22"/>
          <w:lang w:val="en-US"/>
        </w:rPr>
        <w:t xml:space="preserve"> to </w:t>
      </w:r>
      <w:r w:rsidR="00DE015D" w:rsidRPr="006A7336">
        <w:rPr>
          <w:rFonts w:ascii="Segoe UI" w:hAnsi="Segoe UI" w:cs="Segoe UI"/>
          <w:sz w:val="22"/>
          <w:lang w:val="en-US"/>
        </w:rPr>
        <w:t>91</w:t>
      </w:r>
      <w:r w:rsidRPr="006A7336">
        <w:rPr>
          <w:rFonts w:ascii="Segoe UI" w:hAnsi="Segoe UI" w:cs="Segoe UI"/>
          <w:sz w:val="22"/>
          <w:lang w:val="en-US"/>
        </w:rPr>
        <w:t xml:space="preserve"> years participated in the study. These patients were referred to the TAVI coordinator after qualification to TAVI by the Heart Team. The study qualification was carried out by a trained team consisting of the TAVI coordinator and an interventional cardiologist. All involved patients assessed their quality of life using the TASQ. Sociodemographic data were obtained from the medical registry. </w:t>
      </w:r>
    </w:p>
    <w:p w14:paraId="3E1C512F" w14:textId="77777777" w:rsidR="00DE4FDE" w:rsidRPr="006A7336" w:rsidRDefault="00DE4FDE"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Inclusion criteria included: written informed consent to participate in the study, age </w:t>
      </w:r>
      <w:r w:rsidR="005043CF" w:rsidRPr="006A7336">
        <w:rPr>
          <w:rFonts w:ascii="Segoe UI" w:hAnsi="Segoe UI" w:cs="Segoe UI"/>
          <w:sz w:val="22"/>
          <w:lang w:val="en-US"/>
        </w:rPr>
        <w:t xml:space="preserve">≥65 </w:t>
      </w:r>
      <w:r w:rsidRPr="006A7336">
        <w:rPr>
          <w:rFonts w:ascii="Segoe UI" w:hAnsi="Segoe UI" w:cs="Segoe UI"/>
          <w:sz w:val="22"/>
          <w:lang w:val="en-US"/>
        </w:rPr>
        <w:t xml:space="preserve">years, diagnosis of severe </w:t>
      </w:r>
      <w:r w:rsidR="00FF0727" w:rsidRPr="006A7336">
        <w:rPr>
          <w:rFonts w:ascii="Segoe UI" w:hAnsi="Segoe UI" w:cs="Segoe UI"/>
          <w:sz w:val="22"/>
          <w:lang w:val="en-US"/>
        </w:rPr>
        <w:t>AS</w:t>
      </w:r>
      <w:r w:rsidRPr="006A7336">
        <w:rPr>
          <w:rFonts w:ascii="Segoe UI" w:hAnsi="Segoe UI" w:cs="Segoe UI"/>
          <w:sz w:val="22"/>
          <w:lang w:val="en-US"/>
        </w:rPr>
        <w:t>, and cognitive status allowing understanding of the study’s purpose and methods, as well as completion of the questionnaire (MMSE: score ≥18).</w:t>
      </w:r>
    </w:p>
    <w:p w14:paraId="5F635668" w14:textId="77777777" w:rsidR="00DE4FDE" w:rsidRPr="006A7336" w:rsidRDefault="00DE4FDE" w:rsidP="00BA1DF3">
      <w:pPr>
        <w:spacing w:line="360" w:lineRule="auto"/>
        <w:rPr>
          <w:rFonts w:ascii="Segoe UI" w:hAnsi="Segoe UI" w:cs="Segoe UI"/>
          <w:b/>
          <w:bCs/>
          <w:i/>
          <w:iCs/>
          <w:sz w:val="22"/>
          <w:lang w:val="en-US"/>
        </w:rPr>
      </w:pPr>
    </w:p>
    <w:p w14:paraId="00F6C7ED" w14:textId="77777777" w:rsidR="00DE4FDE" w:rsidRPr="006A7336" w:rsidRDefault="00DE4FDE" w:rsidP="00BA1DF3">
      <w:pPr>
        <w:spacing w:line="360" w:lineRule="auto"/>
        <w:rPr>
          <w:rFonts w:ascii="Segoe UI" w:hAnsi="Segoe UI" w:cs="Segoe UI"/>
          <w:b/>
          <w:bCs/>
          <w:i/>
          <w:iCs/>
          <w:sz w:val="22"/>
          <w:lang w:val="en-US"/>
        </w:rPr>
      </w:pPr>
      <w:r w:rsidRPr="006A7336">
        <w:rPr>
          <w:rFonts w:ascii="Segoe UI" w:hAnsi="Segoe UI" w:cs="Segoe UI"/>
          <w:b/>
          <w:bCs/>
          <w:i/>
          <w:iCs/>
          <w:sz w:val="22"/>
          <w:lang w:val="en-US"/>
        </w:rPr>
        <w:t>Methods</w:t>
      </w:r>
    </w:p>
    <w:p w14:paraId="1660710B" w14:textId="77777777" w:rsidR="007D03CC" w:rsidRPr="006A7336" w:rsidRDefault="007D03CC" w:rsidP="00BA1DF3">
      <w:pPr>
        <w:spacing w:line="360" w:lineRule="auto"/>
        <w:ind w:firstLine="708"/>
        <w:rPr>
          <w:rFonts w:ascii="Segoe UI" w:hAnsi="Segoe UI" w:cs="Segoe UI"/>
          <w:sz w:val="22"/>
          <w:lang w:val="en-US"/>
        </w:rPr>
      </w:pPr>
      <w:r w:rsidRPr="006A7336">
        <w:rPr>
          <w:rFonts w:ascii="Segoe UI" w:hAnsi="Segoe UI" w:cs="Segoe UI"/>
          <w:sz w:val="22"/>
          <w:lang w:val="en-US"/>
        </w:rPr>
        <w:t>Quality of life, mental health, social support and frailty were assessed using validated, disease-specific and multidimensional questionnaires. Frailty, assessed with the Tilburg Frailty Indicator (TFI), constituted the primary outcome of the study. Quality of life and psychosocial variables were treated as secondary outcomes and potential determinants of frailty.</w:t>
      </w:r>
    </w:p>
    <w:p w14:paraId="0CDD7157" w14:textId="27F7FBEC" w:rsidR="007D03CC" w:rsidRPr="006A7336" w:rsidRDefault="007D03CC" w:rsidP="00BA1DF3">
      <w:pPr>
        <w:spacing w:line="360" w:lineRule="auto"/>
        <w:ind w:firstLine="708"/>
        <w:rPr>
          <w:rFonts w:ascii="Segoe UI" w:hAnsi="Segoe UI" w:cs="Segoe UI"/>
          <w:sz w:val="22"/>
          <w:lang w:val="en-US"/>
        </w:rPr>
      </w:pPr>
      <w:r w:rsidRPr="006A7336">
        <w:rPr>
          <w:rFonts w:ascii="Segoe UI" w:hAnsi="Segoe UI" w:cs="Segoe UI"/>
          <w:sz w:val="22"/>
          <w:lang w:val="en-US"/>
        </w:rPr>
        <w:t>Two disease-specific questionnaires were used to assess patients’ quality of life, each tailored to the main clinical diagnosis. The Minnesota Living with Heart Failure Questionnaire (MLHFQ) is one of the most widely used instruments for evaluating quality of life in patients with heart failure and other cardiovascular diseases, including atrial fibrillation</w:t>
      </w:r>
      <w:r w:rsidR="006D6A0D" w:rsidRPr="006A7336">
        <w:rPr>
          <w:rFonts w:ascii="Segoe UI" w:hAnsi="Segoe UI" w:cs="Segoe UI"/>
          <w:sz w:val="22"/>
          <w:lang w:val="en-US"/>
        </w:rPr>
        <w:t xml:space="preserve"> </w:t>
      </w:r>
      <w:r w:rsidR="006D6A0D"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{"citationID":"xtXNYrcU","properties":{"formattedCitation":"[12]","plainCitation":"[12]","noteIndex":0},"citationItems":[{"id":5502,"uris":["http://zotero.org/users/local/mYpTJneC/items/EB5KSWQE"],"itemData":{"id":5502,"type":"article-journal","abstract":"Background\nNew type of arrhythmia called atrial high-rate episodes (AHREs) has been discovered thanks to the ability of cardiac electronic implantable devices to track, record, and analyze complex arrhythmias. The aim is to determine factors associated with AHRE in HFrEF/CRT patients and the effect of AHRE on functional capacity and quality of life (QoL).\n\nResults\nWe interrogated 100 patients' devices to gauge the incidence and burden of AHRE, then assessed their functional capacity using the standard 6-min walk test (6MWT), and evaluated their QoL using the Minnesota Living with HF questionnaire (MLHFQ) score. 34% of patients had AHRE, and 91.2% of them had AF. By multivariate logistic regression analysis, smoking (OR 9.426, 95% CI [1.33, 66.65], P 0.025), higher BMI (OR 1.336, 95% CI [1.09, 1.635], P 0.005), and increased LAVI (OR 1.16, 95% CI [1.063, 1.262], P &lt; 0.001) are independent predictors for AHRE. There was a significant correlation between AHRE and the distance walked during 6MWT when compared to the distance expected for an equivalent healthy individual (82.02 ± 17.22% in the non-AHRE group vs. 75.15 ± 15.78% in the AHRE group, P &lt; 0.001). It was found that AHRE was statistically linked to a higher total MLHFQ score (46.76 ± 9.82 in the AHRE group vs. 36.97 ± 7.76 in the non-AHRE group, P 0.032), with higher physical scores in the AHRE group.\n\nConclusion\nAHRE significantly reduces functional status and perceived quality of life in HFrEF patients receiving CRT. Longer than five minutes of AHRE was associated with a higher MLHFQ score and worse performance on the 6MWT. In that patient population, smoking, obesity, and elevated LAVI were independent predictors of AHRE.","container-title":"The Egyptian Heart Journal","DOI":"10.1186/s43044-025-00613-7","ISSN":"1110-2608","journalAbbreviation":"Egypt Heart J","page":"19","PMID":"39899192","PMCID":"PMC11790544","source":"PubMed Central","title":"Effect of atrial high-rate episodes (AHREs) on functional status and quality of life (QoL) in heart failure—cardiac resynchronization therapy population","volume":"77","author":[{"family":"Allam","given":"Lamyaa Elsayed"},{"family":"Moneim","given":"Youssef Abdel"},{"family":"Eldamanhoury","given":"Hayam Mohammad"},{"family":"Eltoukhy","given":"Sherif Mohammad Aziz"}],"issued":{"date-parts":[["2025",2,3]]}}}],"schema":"https://github.com/citation-style-language/schema/raw/master/csl-citation.json"} </w:instrText>
      </w:r>
      <w:r w:rsidR="006D6A0D" w:rsidRPr="006A7336">
        <w:rPr>
          <w:rFonts w:ascii="Segoe UI" w:hAnsi="Segoe UI" w:cs="Segoe UI"/>
          <w:sz w:val="22"/>
          <w:lang w:val="en-US"/>
        </w:rPr>
        <w:fldChar w:fldCharType="separate"/>
      </w:r>
      <w:r w:rsidR="006D6A0D" w:rsidRPr="006A7336">
        <w:rPr>
          <w:rFonts w:ascii="Segoe UI" w:hAnsi="Segoe UI" w:cs="Segoe UI"/>
          <w:sz w:val="22"/>
          <w:lang w:val="en-US"/>
        </w:rPr>
        <w:t>[12]</w:t>
      </w:r>
      <w:r w:rsidR="006D6A0D" w:rsidRPr="006A7336">
        <w:rPr>
          <w:rFonts w:ascii="Segoe UI" w:hAnsi="Segoe UI" w:cs="Segoe UI"/>
          <w:sz w:val="22"/>
          <w:lang w:val="en-US"/>
        </w:rPr>
        <w:fldChar w:fldCharType="end"/>
      </w:r>
      <w:r w:rsidRPr="006A7336">
        <w:rPr>
          <w:rFonts w:ascii="Segoe UI" w:hAnsi="Segoe UI" w:cs="Segoe UI"/>
          <w:sz w:val="22"/>
          <w:lang w:val="en-US"/>
        </w:rPr>
        <w:t>, coronary artery disease</w:t>
      </w:r>
      <w:r w:rsidR="006D6A0D" w:rsidRPr="006A7336">
        <w:rPr>
          <w:rFonts w:ascii="Segoe UI" w:hAnsi="Segoe UI" w:cs="Segoe UI"/>
          <w:sz w:val="22"/>
          <w:lang w:val="en-US"/>
        </w:rPr>
        <w:t xml:space="preserve"> </w:t>
      </w:r>
      <w:r w:rsidR="006D6A0D"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{"citationID":"0eCjPNMC","properties":{"formattedCitation":"[13]","plainCitation":"[13]","noteIndex":0},"citationItems":[{"id":5505,"uris":["http://zotero.org/users/local/mYpTJneC/items/MRPE236A"],"itemData":{"id":5505,"type":"article-journal","abstract":"BACKGROUND: Health-related quality of life (HRQoL) is known to be impaired in individuals with coronary artery disease (CAD), especially in those after a recent acute coronary syndrome (ACS). Heart failure (HF) is a common burden in this population that significantly contributes to worsening HRQoL. To accurately measure the level of HRQoL in individuals with CAD after ACS, disease-specific scales, such as the Minnesota living with heart failure questionnaire (MLHFQ), are recommended. Nevertheless, to date, there has not been a study that would comprehensively evaluate the psychometric properties of the MLHFQ in a large sample of individuals with CAD after ACS. The debate regarding the internal structure of MLHFQ is also still present. Hence, this study aimed to translate the MLHFQ and evaluate its internal structure, reliability/precision, and validity in individuals with CAD following ACS in Lithuania.\nMETHODS: In the cross-sectional study, 1,083 participants (70% men, age M = 58, SD = 9) were evaluated for sociodemographic and clinical characteristics. HRQoL was measured using the MLHFQ and the Short Form-36 health survey (SF-36). In addition, exercise capacity (EC) was also evaluated in the study patients, using a standardized computer-driven bicycle ergometer.\nRESULTS: The internal consistency of the MLHFQ subscales (0.79-0.88) was found to be good. Confirmatory factor analysis (CFA) provided the support for the three-factor model (\"physical domain,\" \"social domain,\" and \"emotional domain\") of the MLHFQ and showed acceptable fit [comparative fit indices (CFI) = 0.894; goodness-of-fit (GFI) = 0.898; non-normal fit index (NFI) = 0.879, and root mean square error of approximation (RMSEA) = 0.073]. Regarding convergent evidence, significant associations were found between the MLHFQ domains and the SF-36 domains and EC (r's range 0.11-0.58).\nCONCLUSION: The current study completed cultural validation and provided further information on the psychometric characteristics of the MLHFQ in Lithuania, suggesting MLHFQ as a valid and reliable instrument to measure HRQoL. The Lithuanian version of MLHFQ is best described by a three-factor solution, measuring physical, social, and emotional dimensions of HRQoL among individuals with CAD following ACS.","container-title":"Frontiers in Psychology","DOI":"10.3389/fpsyg.2021.771095","ISSN":"1664-1078","journalAbbreviation":"Front Psychol","language":"eng","page":"771095","PMID":"35185680","PMCID":"PMC8855069","source":"PubMed","title":"Validation and Psychometric Properties of the Minnesota Living With Heart Failure Questionnaire in Individuals With Coronary Artery Disease in Lithuania","volume":"12","author":[{"family":"Gecaite-Stonciene","given":"Julija"},{"family":"Burkauskas","given":"Julius"},{"family":"Bunevicius","given":"Adomas"},{"family":"Steibliene","given":"Vesta"},{"family":"Macijauskiene","given":"Jurate"},{"family":"Brozaitiene","given":"Julija"},{"family":"Mickuviene","given":"Narseta"},{"family":"Kazukauskiene","given":"Nijole"}],"issued":{"date-parts":[["2021"]]}}}],"schema":"https://github.com/citation-style-language/schema/raw/master/csl-citation.json"} </w:instrText>
      </w:r>
      <w:r w:rsidR="006D6A0D" w:rsidRPr="006A7336">
        <w:rPr>
          <w:rFonts w:ascii="Segoe UI" w:hAnsi="Segoe UI" w:cs="Segoe UI"/>
          <w:sz w:val="22"/>
          <w:lang w:val="en-US"/>
        </w:rPr>
        <w:fldChar w:fldCharType="separate"/>
      </w:r>
      <w:r w:rsidR="006D6A0D" w:rsidRPr="006A7336">
        <w:rPr>
          <w:rFonts w:ascii="Segoe UI" w:hAnsi="Segoe UI" w:cs="Segoe UI"/>
          <w:sz w:val="22"/>
          <w:lang w:val="en-US"/>
        </w:rPr>
        <w:t>[13]</w:t>
      </w:r>
      <w:r w:rsidR="006D6A0D" w:rsidRPr="006A7336">
        <w:rPr>
          <w:rFonts w:ascii="Segoe UI" w:hAnsi="Segoe UI" w:cs="Segoe UI"/>
          <w:sz w:val="22"/>
          <w:lang w:val="en-US"/>
        </w:rPr>
        <w:fldChar w:fldCharType="end"/>
      </w:r>
      <w:r w:rsidRPr="006A7336">
        <w:rPr>
          <w:rFonts w:ascii="Segoe UI" w:hAnsi="Segoe UI" w:cs="Segoe UI"/>
          <w:sz w:val="22"/>
          <w:lang w:val="en-US"/>
        </w:rPr>
        <w:t>, myocardial infarction</w:t>
      </w:r>
      <w:r w:rsidR="006D6A0D" w:rsidRPr="006A7336">
        <w:rPr>
          <w:rFonts w:ascii="Segoe UI" w:hAnsi="Segoe UI" w:cs="Segoe UI"/>
          <w:sz w:val="22"/>
          <w:lang w:val="en-US"/>
        </w:rPr>
        <w:t xml:space="preserve"> </w:t>
      </w:r>
      <w:r w:rsidR="006D6A0D" w:rsidRPr="006A7336">
        <w:rPr>
          <w:rFonts w:ascii="Segoe UI" w:hAnsi="Segoe UI" w:cs="Segoe UI"/>
          <w:sz w:val="22"/>
          <w:lang w:val="en-US"/>
        </w:rPr>
        <w:fldChar w:fldCharType="begin"/>
      </w:r>
      <w:r w:rsidR="006D6A0D" w:rsidRPr="006A7336">
        <w:rPr>
          <w:rFonts w:ascii="Segoe UI" w:hAnsi="Segoe UI" w:cs="Segoe UI"/>
          <w:sz w:val="22"/>
          <w:lang w:val="en-US"/>
        </w:rPr>
        <w:instrText xml:space="preserve"> ADDIN ZOTERO_ITEM CSL_CITATION {"citationID":"2d78KvCN","properties":{"formattedCitation":"[14]","plainCitation":"[14]","noteIndex":0},"citationItems":[{"id":5508,"uris":["http://zotero.org/users/local/mYpTJneC/items/WILFLKCR"],"itemData":{"id":5508,"type":"article-journal","abstract":"Background: A heart attack is one of the most common cardiovascular diseases, affecting different dimensions of the patients’ quality of life due to the disease’s disabling and limiting nature. Therefore, this study aimed to examine the impact of myocardial infarction on patients’ quality of life referring to the Shahid Madani Medical &amp; Training Hospital, in East Azerbaijan Province in 2017, in Iran.\nMethods: This was a cross-sectional study. A total of 220 patients with a heart attack were selected in this study. Sampling was conducted using the systematic random method. Data were collected using the Minnesota Living with Heart Failure Questionnaire (MLHFQ). Descriptive statistics (frequency, mean) and statistical analyses (Mann-Whitney test, Spearman correlation, and Generalized Linear Models Regression) were performed at a significance level of P-value &lt; 0.05 using SPSS22.\nResults: In this study, the mean score of the total effect of a heart attack on the patients’ quality of life was 30.09 ± 17.73. The mean score of the effect of a heart attack on the patient’s quality of life in the physical, emotional, and general subscales was 34.85 ± 24.24, 26.63 ± 27.73, and 27.51 ± 17.83, respectively. There was a statistically significant association between education status (P-value = 0.006), income status (P- value = 0.000), and the mean score of the effect of a heart attack on the patient’s quality of life; also a positive and significant correlation was found between age (CC = 0.135, P-value = 0.046), the number of hospitalization (CC = 0.187, P-value = 0.006) and the mean score of the effect of a heart attack on the patient’s quality of life.\nConclusion: A heart attack has a considerable impact on the patients’ quality of life, particularly on the physical dimension. Hence, health professionals should pay more attention to these vulnerable groups and offer rehabilitation services suitable to these groups to reduce the impact of the disease.","container-title":"Evidence Based Health Policy, Management and Economics","DOI":"10.18502/jebhpme.v4i4.4889","ISSN":"2538-4716","language":"en","license":"Copyright (c) 2020 Evidence Based Health Policy, Management and Economics","source":"publish.kne-publishing.com","title":"Survey of the Impact of Myocardial Infarction on Patients’ Quality of Life: A Single-Centre Cross-Sectional Study","title-short":"Survey of the Impact of Myocardial Infarction on Patients’ Quality of Life","URL":"https://publish.kne-publishing.com/index.php/JEBHPME/article/view/4889","author":[{"family":"Jalilian","given":"Habib"},{"family":"Imani","given":"Ali"},{"family":"Mir","given":"Habibeh"},{"family":"Javanshir","given":"Elnaz"},{"family":"Mamene","given":"Mehdi"},{"family":"Heydari","given":"Somayeh"}],"accessed":{"date-parts":[["2026",1,27]]},"issued":{"date-parts":[["2020",12,15]]}}}],"schema":"https://github.com/citation-style-language/schema/raw/master/csl-citation.json"} </w:instrText>
      </w:r>
      <w:r w:rsidR="006D6A0D" w:rsidRPr="006A7336">
        <w:rPr>
          <w:rFonts w:ascii="Segoe UI" w:hAnsi="Segoe UI" w:cs="Segoe UI"/>
          <w:sz w:val="22"/>
          <w:lang w:val="en-US"/>
        </w:rPr>
        <w:fldChar w:fldCharType="separate"/>
      </w:r>
      <w:r w:rsidR="006D6A0D" w:rsidRPr="006A7336">
        <w:rPr>
          <w:rFonts w:ascii="Segoe UI" w:hAnsi="Segoe UI" w:cs="Segoe UI"/>
          <w:sz w:val="22"/>
          <w:lang w:val="en-US"/>
        </w:rPr>
        <w:t>[14]</w:t>
      </w:r>
      <w:r w:rsidR="006D6A0D" w:rsidRPr="006A7336">
        <w:rPr>
          <w:rFonts w:ascii="Segoe UI" w:hAnsi="Segoe UI" w:cs="Segoe UI"/>
          <w:sz w:val="22"/>
          <w:lang w:val="en-US"/>
        </w:rPr>
        <w:fldChar w:fldCharType="end"/>
      </w:r>
      <w:r w:rsidRPr="006A7336">
        <w:rPr>
          <w:rFonts w:ascii="Segoe UI" w:hAnsi="Segoe UI" w:cs="Segoe UI"/>
          <w:sz w:val="22"/>
          <w:lang w:val="en-US"/>
        </w:rPr>
        <w:t>, and aortic stenosis</w:t>
      </w:r>
      <w:r w:rsidR="00395879" w:rsidRPr="006A7336">
        <w:rPr>
          <w:rFonts w:ascii="Segoe UI" w:hAnsi="Segoe UI" w:cs="Segoe UI"/>
          <w:sz w:val="22"/>
          <w:lang w:val="en-US"/>
        </w:rPr>
        <w:t xml:space="preserve"> </w:t>
      </w:r>
      <w:r w:rsidR="00395879"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{"citationID":"O56haGtC","properties":{"formattedCitation":"[15]","plainCitation":"[15]","noteIndex":0},"citationItems":[{"id":5510,"uris":["http://zotero.org/users/local/mYpTJneC/items/3XFFKQ92"],"itemData":{"id":5510,"type":"article-journal","abstract":"BACKGROUND: Past studies of health-related quality of life (HRQL) in aortic stenosis (AS) have focused on valve replacement, using generic or heart failure measures because no disease-specific measure exists. The literature is lacking in both performance of these measures among patients with AS and HRQL outcomes in the nonsurgical elderly AS population.\nOBJECTIVE: The aims of this study were to measure HRQL and test the reliability of the Minnesota Living With Heart Failure Questionnaire (MLHFQ), Geriatric Depression Scale (GDS), and Functional Assessment of Chronic Illness Therapy-Spiritual Well-being Scale (FACIT-Sp) in persons older than 70 years with AS receiving nonsurgical treatment.\nMETHODS: The prospective, descriptive design in this study included baseline administration of questionnaires to a consecutive convenience sample of patients aged 75 to 97 years (mean, 85 years) enrolled in a clinical trial for AS (n = 25).\nRESULTS: Mean aortic valve area was 0.54 cm (range, 0.37-0.96 cm). Patients reported angina (52%) and light-headedness (72%); these 2 items were not included on the MLHFQ but were added as investigator-developed items. Scores for MLHFQ varied widely (median, 52; range, 7-101). Although the median GDS was 4 (range, 1-13), almost half (48%) scored higher than 5, indicating a positive depression screen. Scores for FACIT-Sp were moderately high (median, 37.5; range, 18-45), indicating strong spiritual well-being among many participants. A significant inverse relationship (r = -0.73, P &lt; .0001; 95% confidence interval, -0.87 to -0.48) was found between depression and spiritual well-being. Cronbach α was 0.91, 0.83, and 0.81 for the MLHFQ, GDS, and FACIT, respectively.\nCONCLUSIONS: The HRQL measures selected had good internal consistency reliability, but use of the MLHFQ alone would have missed common disease-specific concerns (eg, angina, light-headedness); studies for minimally invasive aortic valve replacement should include these items. Because higher spiritual well-being was associated with less depressive symptoms, both should receive further study in HRQL assessment. Larger samples may clarify appropriate education and interventions for depressive symptoms, spiritual well-being, as well as safe physical activity and fall prevention for those with light-headedness.","container-title":"The Journal of Cardiovascular Nursing","DOI":"10.1097/JCN.0b013e318279b76f","ISSN":"1550-5049","issue":"2","journalAbbreviation":"J Cardiovasc Nurs","language":"eng","page":"185-197","PMID":"23321781","source":"PubMed","title":"Use of the Minnesota Living With Heart Failure Questionnaire among elderly patients with aortic stenosis: results from a pilot study","title-short":"Use of the Minnesota Living With Heart Failure Questionnaire among elderly patients with aortic stenosis","volume":"29","author":[{"family":"Sandau","given":"Kristin E."},{"family":"Boisjolie","given":"Charlene"},{"family":"Hodges","given":"James S."}],"issued":{"date-parts":[["2014"]]}}}],"schema":"https://github.com/citation-style-language/schema/raw/master/csl-citation.json"} </w:instrText>
      </w:r>
      <w:r w:rsidR="00395879" w:rsidRPr="006A7336">
        <w:rPr>
          <w:rFonts w:ascii="Segoe UI" w:hAnsi="Segoe UI" w:cs="Segoe UI"/>
          <w:sz w:val="22"/>
          <w:lang w:val="en-US"/>
        </w:rPr>
        <w:fldChar w:fldCharType="separate"/>
      </w:r>
      <w:r w:rsidR="00395879" w:rsidRPr="006A7336">
        <w:rPr>
          <w:rFonts w:ascii="Segoe UI" w:hAnsi="Segoe UI" w:cs="Segoe UI"/>
          <w:sz w:val="22"/>
          <w:lang w:val="en-US"/>
        </w:rPr>
        <w:t>[15]</w:t>
      </w:r>
      <w:r w:rsidR="00395879" w:rsidRPr="006A7336">
        <w:rPr>
          <w:rFonts w:ascii="Segoe UI" w:hAnsi="Segoe UI" w:cs="Segoe UI"/>
          <w:sz w:val="22"/>
          <w:lang w:val="en-US"/>
        </w:rPr>
        <w:fldChar w:fldCharType="end"/>
      </w:r>
      <w:r w:rsidRPr="006A7336">
        <w:rPr>
          <w:rFonts w:ascii="Segoe UI" w:hAnsi="Segoe UI" w:cs="Segoe UI"/>
          <w:sz w:val="22"/>
          <w:lang w:val="en-US"/>
        </w:rPr>
        <w:t xml:space="preserve">. It has been applied to assess treatment outcomes following interventions such as catheter ablation, valve replacement, cardiac surgery, TAVI, and cardiac rehabilitation </w:t>
      </w:r>
      <w:proofErr w:type="spellStart"/>
      <w:r w:rsidRPr="006A7336">
        <w:rPr>
          <w:rFonts w:ascii="Segoe UI" w:hAnsi="Segoe UI" w:cs="Segoe UI"/>
          <w:sz w:val="22"/>
          <w:lang w:val="en-US"/>
        </w:rPr>
        <w:t>programmes</w:t>
      </w:r>
      <w:proofErr w:type="spellEnd"/>
      <w:r w:rsidRPr="006A7336">
        <w:rPr>
          <w:rFonts w:ascii="Segoe UI" w:hAnsi="Segoe UI" w:cs="Segoe UI"/>
          <w:sz w:val="22"/>
          <w:lang w:val="en-US"/>
        </w:rPr>
        <w:t>.</w:t>
      </w:r>
    </w:p>
    <w:p w14:paraId="2651DA61" w14:textId="77777777" w:rsidR="006A5B4F" w:rsidRPr="006A7336" w:rsidRDefault="006A5B4F" w:rsidP="00BA1DF3">
      <w:pPr>
        <w:spacing w:line="360" w:lineRule="auto"/>
        <w:ind w:firstLine="708"/>
        <w:rPr>
          <w:rFonts w:ascii="Segoe UI" w:hAnsi="Segoe UI" w:cs="Segoe UI"/>
          <w:sz w:val="22"/>
          <w:lang w:val="en-US"/>
        </w:rPr>
      </w:pPr>
      <w:r w:rsidRPr="006A7336">
        <w:rPr>
          <w:rFonts w:ascii="Segoe UI" w:hAnsi="Segoe UI" w:cs="Segoe UI"/>
          <w:sz w:val="22"/>
          <w:lang w:val="en-US"/>
        </w:rPr>
        <w:t>T</w:t>
      </w:r>
      <w:r w:rsidR="007D03CC" w:rsidRPr="006A7336">
        <w:rPr>
          <w:rFonts w:ascii="Segoe UI" w:hAnsi="Segoe UI" w:cs="Segoe UI"/>
          <w:sz w:val="22"/>
          <w:lang w:val="en-US"/>
        </w:rPr>
        <w:t xml:space="preserve">he Toronto Aortic Stenosis Quality of Life Questionnaire (TASQ) is specifically dedicated to patients with aortic stenosis, as it captures disease-specific symptoms and their impact on daily functioning and emotional status. Considering that aortic stenosis frequently </w:t>
      </w:r>
      <w:r w:rsidR="007D03CC" w:rsidRPr="006A7336">
        <w:rPr>
          <w:rFonts w:ascii="Segoe UI" w:hAnsi="Segoe UI" w:cs="Segoe UI"/>
          <w:sz w:val="22"/>
          <w:lang w:val="en-US"/>
        </w:rPr>
        <w:lastRenderedPageBreak/>
        <w:t>coexists with heart failure, both MLHFQ and TASQ were applied to provide a comprehensive assessment of disease-related quality of life.</w:t>
      </w:r>
      <w:bookmarkStart w:id="0" w:name="_Hlk181474631"/>
      <w:bookmarkEnd w:id="0"/>
    </w:p>
    <w:p w14:paraId="2D338D2D" w14:textId="77777777" w:rsidR="006A5B4F" w:rsidRPr="006A7336" w:rsidRDefault="006A5B4F" w:rsidP="00BA1DF3">
      <w:pPr>
        <w:spacing w:line="360" w:lineRule="auto"/>
        <w:ind w:firstLine="708"/>
        <w:rPr>
          <w:rFonts w:ascii="Segoe UI" w:hAnsi="Segoe UI" w:cs="Segoe UI"/>
          <w:sz w:val="22"/>
          <w:lang w:val="en-US"/>
        </w:rPr>
      </w:pPr>
      <w:r w:rsidRPr="006A7336">
        <w:rPr>
          <w:rFonts w:ascii="Segoe UI" w:hAnsi="Segoe UI" w:cs="Segoe UI"/>
          <w:sz w:val="22"/>
          <w:lang w:val="en-US"/>
        </w:rPr>
        <w:t>These two tools were used to assess whether the deterioration in quality of life in specific areas</w:t>
      </w:r>
      <w:r w:rsidR="00BA1DF3" w:rsidRPr="006A7336">
        <w:rPr>
          <w:rFonts w:ascii="Segoe UI" w:hAnsi="Segoe UI" w:cs="Segoe UI"/>
          <w:sz w:val="22"/>
          <w:lang w:val="en-US"/>
        </w:rPr>
        <w:t xml:space="preserve"> - </w:t>
      </w:r>
      <w:r w:rsidRPr="006A7336">
        <w:rPr>
          <w:rFonts w:ascii="Segoe UI" w:hAnsi="Segoe UI" w:cs="Segoe UI"/>
          <w:sz w:val="22"/>
          <w:lang w:val="en-US"/>
        </w:rPr>
        <w:t>such as physical symptoms and limitations, emotional state, and limitations in daily functioning</w:t>
      </w:r>
      <w:r w:rsidR="00BA1DF3" w:rsidRPr="006A7336">
        <w:rPr>
          <w:rFonts w:ascii="Segoe UI" w:hAnsi="Segoe UI" w:cs="Segoe UI"/>
          <w:sz w:val="22"/>
          <w:lang w:val="en-US"/>
        </w:rPr>
        <w:t xml:space="preserve"> - </w:t>
      </w:r>
      <w:r w:rsidRPr="006A7336">
        <w:rPr>
          <w:rFonts w:ascii="Segoe UI" w:hAnsi="Segoe UI" w:cs="Segoe UI"/>
          <w:sz w:val="22"/>
          <w:lang w:val="en-US"/>
        </w:rPr>
        <w:t>was associated with weakness and a decline in physiological reserves, as assessed using the TFI scale.</w:t>
      </w:r>
    </w:p>
    <w:p w14:paraId="2DBBAF95" w14:textId="7375DAFE" w:rsidR="00DE4FDE" w:rsidRPr="006A7336" w:rsidRDefault="00DE4FDE" w:rsidP="00BA1DF3">
      <w:pPr>
        <w:numPr>
          <w:ilvl w:val="0"/>
          <w:numId w:val="23"/>
        </w:numPr>
        <w:spacing w:line="360" w:lineRule="auto"/>
        <w:rPr>
          <w:rFonts w:ascii="Segoe UI" w:hAnsi="Segoe UI" w:cs="Segoe UI"/>
          <w:sz w:val="22"/>
          <w:lang w:val="en-US"/>
        </w:rPr>
      </w:pPr>
      <w:r w:rsidRPr="006A7336">
        <w:rPr>
          <w:rFonts w:ascii="Segoe UI" w:hAnsi="Segoe UI" w:cs="Segoe UI"/>
          <w:b/>
          <w:bCs/>
          <w:i/>
          <w:iCs/>
          <w:sz w:val="22"/>
          <w:lang w:val="en-US"/>
        </w:rPr>
        <w:t>The Toronto Aortic Stenosis Quality of Life Questionnaire</w:t>
      </w:r>
      <w:r w:rsidRPr="006A7336">
        <w:rPr>
          <w:rFonts w:ascii="Segoe UI" w:hAnsi="Segoe UI" w:cs="Segoe UI"/>
          <w:sz w:val="22"/>
          <w:lang w:val="en-US"/>
        </w:rPr>
        <w:t xml:space="preserve"> </w:t>
      </w:r>
      <w:r w:rsidRPr="006A7336">
        <w:rPr>
          <w:rFonts w:ascii="Segoe UI" w:hAnsi="Segoe UI" w:cs="Segoe UI"/>
          <w:b/>
          <w:bCs/>
          <w:i/>
          <w:iCs/>
          <w:sz w:val="22"/>
          <w:lang w:val="en-US"/>
        </w:rPr>
        <w:t>(the TASQ)</w:t>
      </w:r>
      <w:r w:rsidRPr="006A7336">
        <w:rPr>
          <w:rFonts w:ascii="Segoe UI" w:hAnsi="Segoe UI" w:cs="Segoe UI"/>
          <w:sz w:val="22"/>
          <w:lang w:val="en-US"/>
        </w:rPr>
        <w:t xml:space="preserve"> is designed to assess the quality of life  in patients with AS </w:t>
      </w:r>
      <w:r w:rsidR="00045085"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{"citationID":"DOZOEnTy","properties":{"formattedCitation":"[16]","plainCitation":"[16]","noteIndex":0},"citationItems":[{"id":1992,"uris":["http://zotero.org/users/local/mYpTJneC/items/5JG67XBF"],"itemData":{"id":1992,"type":"article-journal","abstract":"BACKGROUND: Aortic stenosis (AS) is a common cardiac condition whose prevalence increases with age. The symptom burden associated with severe aortic stenosis (AS) can introduce significant lifestyle disruptions and if left untreated can lead to a poor prognosis. Quality of life (QoL) is an important consideration in these patients. The TASQ is a QoL tool that was developed for aortic stenosis patients. We evaluated the psychometric properties of this specific questionnaire in patients who underwent transcatheter aortic valve implantation (TAVI), which is a therapeutic option for patients with severe aortic stenosis (AS).\nMETHODS: The properties of the TASQ in measuring QoL were evaluated in AS patients undergoing TAVI. Patients presenting for the TAVI procedure (N = 62) were evaluated pre-TAVI, at discharge, 1-month, and 3-month follow-ups. Demographic information as well as caregiver status, and daily activities were recorded. In addition to the TASQ, they completed the KCCQ (Kansas City Cardiomyopathy Questionnaire) and the IIRS (Illness Intrusiveness Rating Scale).\nRESULTS: The TASQ is a 16-item self-administered questionnaire that assesses AS-specific QoL across five domains: physical symptoms; physical limitations; emotional impact; social limitations, and health expectations. TASQ subscales are internally consistent (α = 0.74-0.96) and showed significant improvements from baseline across assessments (p &lt; 0.001). Construct validity evidence was demonstrated by correlations consistent with theoretically derived hypotheses across time points.\nCONCLUSIONS: The TASQ is a brief measure of AS-specific QoL that is sensitive to change in patients undergoing TAVI. Items on the TASQ capture important QoL concerns reported by AS patients, suggesting this is a measure of relevant and meaningful outcomes for this patient population. Detection of early improvements in QoL by the TASQ is promising, with important implications for the evaluation of procedural outcomes in this population.","container-title":"BMC cardiovascular disorders","DOI":"10.1186/s12872-020-01477-2","ISSN":"1471-2261","issue":"1","journalAbbreviation":"BMC Cardiovasc Disord","language":"eng","page":"209","PMID":"32370791","PMCID":"PMC7201733","source":"PubMed","title":"Toronto aortic stenosis quality of life questionnaire (TASQ): validation in TAVI patients","title-short":"Toronto aortic stenosis quality of life questionnaire (TASQ)","volume":"20","author":[{"family":"Styra","given":"Rima"},{"family":"Dimas","given":"Michelle"},{"family":"Svitak","given":"Kathy"},{"family":"Kapoor","given":"Mamta"},{"family":"Osten","given":"Mark"},{"family":"Ouzounian","given":"Maral"},{"family":"Devins","given":"Gerald"},{"family":"Deckert","given":"Amy"},{"family":"Horlick","given":"Eric"}],"issued":{"date-parts":[["2020",5,5]]}}}],"schema":"https://github.com/citation-style-language/schema/raw/master/csl-citation.json"} </w:instrText>
      </w:r>
      <w:r w:rsidR="00045085" w:rsidRPr="006A7336">
        <w:rPr>
          <w:rFonts w:ascii="Segoe UI" w:hAnsi="Segoe UI" w:cs="Segoe UI"/>
          <w:sz w:val="22"/>
          <w:lang w:val="en-US"/>
        </w:rPr>
        <w:fldChar w:fldCharType="separate"/>
      </w:r>
      <w:r w:rsidR="00395879" w:rsidRPr="006A7336">
        <w:rPr>
          <w:rFonts w:ascii="Segoe UI" w:hAnsi="Segoe UI" w:cs="Segoe UI"/>
          <w:sz w:val="22"/>
          <w:lang w:val="en-US"/>
        </w:rPr>
        <w:t>[16]</w:t>
      </w:r>
      <w:r w:rsidR="00045085" w:rsidRPr="006A7336">
        <w:rPr>
          <w:rFonts w:ascii="Segoe UI" w:hAnsi="Segoe UI" w:cs="Segoe UI"/>
          <w:sz w:val="22"/>
          <w:lang w:val="en-US"/>
        </w:rPr>
        <w:fldChar w:fldCharType="end"/>
      </w:r>
      <w:r w:rsidRPr="006A7336">
        <w:rPr>
          <w:rFonts w:ascii="Segoe UI" w:hAnsi="Segoe UI" w:cs="Segoe UI"/>
          <w:sz w:val="22"/>
          <w:lang w:val="en-US"/>
        </w:rPr>
        <w:t>. The TASQ considers specific disease symptoms, emotional state, daily functioning, and overall life satisfaction. It consists of 16 questions grouped into 5 domains: physical symptoms, daily functioning, emotional state, social functioning, and overall quality of life. Each TASQ domain is rated using a Likert scale from 1 to 7, which reflects the severity of symptoms or the accuracy of the statement (1 – not very much, 7 – very much). The scores for each domain are summed to create an overall score for each subscale, as well as an overall TASQ score. Higher scores on TASQ indicate better quality of life, lower symptom severity, and a reduced impact of the disease on daily functioning. Permission to use the questionnaire and conduct a psychometric assessment in a Polish group of AS patients was obtained from the Institute for Pharmacology and Preventive Medicine. The study used the Polish version of the February 27, 2023 questionnaire.</w:t>
      </w:r>
      <w:r w:rsidR="00D559B9" w:rsidRPr="006A7336">
        <w:rPr>
          <w:rFonts w:ascii="Segoe UI" w:hAnsi="Segoe UI" w:cs="Segoe UI"/>
          <w:sz w:val="22"/>
          <w:lang w:val="en-US"/>
        </w:rPr>
        <w:t xml:space="preserve"> The Cronbach's alpha for the entire TASQ was 0.919, for the emotional impact subscale 0.873, and for the physical limitation subscale 0.861 </w:t>
      </w:r>
      <w:r w:rsidR="00D559B9"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{"citationID":"JLaaGu2S","properties":{"formattedCitation":"[17]","plainCitation":"[17]","noteIndex":0},"citationItems":[{"id":5277,"uris":["http://zotero.org/users/local/mYpTJneC/items/8WIZ8R9F"],"itemData":{"id":5277,"type":"article-journal","abstract":"Background/Objectives: Quality of life (QoL) is recognized as a clinically significant outcome measure among patients with aortic stenosis (AS). However, there is no validated, AS-specific questionnaire available in Poland for assessing the QoL in AS patients. The aim of the study was to determine the psychometric properties of the Polish version of the Toronto Aortic Stenosis Quality of Life Questionnaire (the TASQ). Methods: The study involved 113 patients with severe AS (including 59 women), aged 74 to 82 years [mean age 77 years], hospitalized at the department of cardiology in 2024. The standardized questionnaires were used to assess the level of QoL, the TASQ, and the Minnesota Living with Heart Failure Questionnaire (the MLHFQ). Results: The mean QoL level assessed by the TASQ was 60.72 ± 22.82. The Cronbach's alpha for the entire TASQ was 0.919, for the emotional impact subscale 0.873, and for the physical limitation subscale 0.861. Satisfactory values of fit measures were obtained for a five-factor structure (RMSEA &lt; 0.01; CFI &gt; 0.99). The loadings of each item were statistically significant (p &lt; 0.001). The MLHFQ score correlated significantly (p &lt; 0.001) and positively (r &gt; 0) with the score on the scales of physical symptoms (r = 0.479), physical limitations (r = 0.662), social limitations (r = 0.597), emotional impact (r = 0.638), and overall QoL (r = 0.712). Conclusions: Patients with severe AS exhibit low QoL. The TASQ has very good psychometric properties and can be used to assess the QoL in the population of Polish patients with AS.","container-title":"Journal of Clinical Medicine","DOI":"10.3390/jcm14072502","ISSN":"2077-0383","issue":"7","journalAbbreviation":"J Clin Med","language":"eng","page":"2502","PMID":"40217951","PMCID":"PMC11989317","source":"PubMed","title":"Toronto Aortic Stenosis Quality of Life Questionnaire (TASQ): Validation in Polish Patients with Aortic Stenosis","title-short":"Toronto Aortic Stenosis Quality of Life Questionnaire (TASQ)","volume":"14","author":[{"family":"Świątoniowska-Lonc","given":"Natalia"},{"family":"Ściborski","given":"Krzysztof"},{"family":"Styra","given":"Rima"},{"family":"Lüske","given":"Claudia M."},{"family":"Węgrzynowska-Teodorczyk","given":"Kinga"},{"family":"Frank","given":"Derk"},{"family":"Bramlage","given":"Peter"},{"family":"Banasiak","given":"Waldemar"},{"family":"Doroszko","given":"Adrian"}],"issued":{"date-parts":[["2025",4,7]]}}}],"schema":"https://github.com/citation-style-language/schema/raw/master/csl-citation.json"} </w:instrText>
      </w:r>
      <w:r w:rsidR="00D559B9" w:rsidRPr="006A7336">
        <w:rPr>
          <w:rFonts w:ascii="Segoe UI" w:hAnsi="Segoe UI" w:cs="Segoe UI"/>
          <w:sz w:val="22"/>
          <w:lang w:val="en-US"/>
        </w:rPr>
        <w:fldChar w:fldCharType="separate"/>
      </w:r>
      <w:r w:rsidR="00395879" w:rsidRPr="006A7336">
        <w:rPr>
          <w:rFonts w:ascii="Segoe UI" w:hAnsi="Segoe UI" w:cs="Segoe UI"/>
          <w:sz w:val="22"/>
        </w:rPr>
        <w:t>[17]</w:t>
      </w:r>
      <w:r w:rsidR="00D559B9" w:rsidRPr="006A7336">
        <w:rPr>
          <w:rFonts w:ascii="Segoe UI" w:hAnsi="Segoe UI" w:cs="Segoe UI"/>
          <w:sz w:val="22"/>
          <w:lang w:val="en-US"/>
        </w:rPr>
        <w:fldChar w:fldCharType="end"/>
      </w:r>
      <w:r w:rsidR="00D559B9" w:rsidRPr="006A7336">
        <w:rPr>
          <w:rFonts w:ascii="Segoe UI" w:hAnsi="Segoe UI" w:cs="Segoe UI"/>
          <w:sz w:val="22"/>
          <w:lang w:val="en-US"/>
        </w:rPr>
        <w:t>.</w:t>
      </w:r>
    </w:p>
    <w:p w14:paraId="144BBA1D" w14:textId="77777777" w:rsidR="006A5B4F" w:rsidRPr="006A7336" w:rsidRDefault="006A5B4F" w:rsidP="00BA1DF3">
      <w:pPr>
        <w:numPr>
          <w:ilvl w:val="0"/>
          <w:numId w:val="23"/>
        </w:numPr>
        <w:tabs>
          <w:tab w:val="num" w:pos="1440"/>
        </w:tabs>
        <w:spacing w:before="240" w:after="0" w:line="360" w:lineRule="auto"/>
        <w:rPr>
          <w:rFonts w:ascii="Segoe UI" w:eastAsia="Calibri" w:hAnsi="Segoe UI" w:cs="Segoe UI"/>
          <w:bCs/>
          <w:sz w:val="22"/>
          <w:lang w:val="en-US"/>
        </w:rPr>
      </w:pPr>
      <w:r w:rsidRPr="006A7336">
        <w:rPr>
          <w:rFonts w:ascii="Segoe UI" w:eastAsia="Calibri" w:hAnsi="Segoe UI" w:cs="Segoe UI"/>
          <w:b/>
          <w:bCs/>
          <w:i/>
          <w:iCs/>
          <w:sz w:val="22"/>
          <w:lang w:val="en-US"/>
        </w:rPr>
        <w:t>Minnesota Living with Heart Failure Questionnaire (MLHFQ)</w:t>
      </w:r>
      <w:r w:rsidRPr="006A7336">
        <w:rPr>
          <w:rFonts w:ascii="Segoe UI" w:eastAsia="Calibri" w:hAnsi="Segoe UI" w:cs="Segoe UI"/>
          <w:bCs/>
          <w:sz w:val="22"/>
          <w:lang w:val="en-US"/>
        </w:rPr>
        <w:t xml:space="preserve"> is designed to evaluate the quality of life in patients with heart failure (HF), focusing on how the disease affects their physical, emotional, and social well-being </w:t>
      </w:r>
      <w:r w:rsidRPr="006A7336">
        <w:rPr>
          <w:rFonts w:ascii="Segoe UI" w:eastAsia="Calibri" w:hAnsi="Segoe UI" w:cs="Segoe UI"/>
          <w:bCs/>
          <w:sz w:val="22"/>
        </w:rPr>
        <w:fldChar w:fldCharType="begin"/>
      </w:r>
      <w:r w:rsidR="00395879" w:rsidRPr="006A7336">
        <w:rPr>
          <w:rFonts w:ascii="Segoe UI" w:eastAsia="Calibri" w:hAnsi="Segoe UI" w:cs="Segoe UI"/>
          <w:bCs/>
          <w:sz w:val="22"/>
          <w:lang w:val="en-US"/>
        </w:rPr>
        <w:instrText xml:space="preserve"> ADDIN ZOTERO_ITEM CSL_CITATION {"citationID":"TsMYMyls","properties":{"formattedCitation":"[18]","plainCitation":"[18]","noteIndex":0},"citationItems":[{"id":4509,"uris":["http://zotero.org/users/local/mYpTJneC/items/HH92S9RB"],"itemData":{"id":4509,"type":"article-journal","journalAbbreviation":"Heart Failure","page":"198-209","title":"Patients’ self-assessment of their congestive heart failure. Part 2: content, reliability and validity of a new measure, The Minnesota Living with Heart Failure Questionnaire.","volume":"3","author":[{"family":"Rector","given":"TS"},{"family":"Kubo","given":"SH"},{"family":"Cohn","given":"JN"}],"issued":{"date-parts":[["1987"]]}}}],"schema":"https://github.com/citation-style-language/schema/raw/master/csl-citation.json"} </w:instrText>
      </w:r>
      <w:r w:rsidRPr="006A7336">
        <w:rPr>
          <w:rFonts w:ascii="Segoe UI" w:eastAsia="Calibri" w:hAnsi="Segoe UI" w:cs="Segoe UI"/>
          <w:bCs/>
          <w:sz w:val="22"/>
        </w:rPr>
        <w:fldChar w:fldCharType="separate"/>
      </w:r>
      <w:r w:rsidR="00395879" w:rsidRPr="006A7336">
        <w:rPr>
          <w:rFonts w:ascii="Segoe UI" w:hAnsi="Segoe UI" w:cs="Segoe UI"/>
          <w:sz w:val="22"/>
          <w:lang w:val="en-US"/>
        </w:rPr>
        <w:t>[18]</w:t>
      </w:r>
      <w:r w:rsidRPr="006A7336">
        <w:rPr>
          <w:rFonts w:ascii="Segoe UI" w:eastAsia="Calibri" w:hAnsi="Segoe UI" w:cs="Segoe UI"/>
          <w:bCs/>
          <w:sz w:val="22"/>
        </w:rPr>
        <w:fldChar w:fldCharType="end"/>
      </w:r>
      <w:r w:rsidRPr="006A7336">
        <w:rPr>
          <w:rFonts w:ascii="Segoe UI" w:eastAsia="Calibri" w:hAnsi="Segoe UI" w:cs="Segoe UI"/>
          <w:bCs/>
          <w:sz w:val="22"/>
          <w:lang w:val="en-US"/>
        </w:rPr>
        <w:t xml:space="preserve">. This tool comprises 21 questions that address specific challenges faced by HF patients, categorized into two primary domains: physical and emotional. The physical domain explores how heart failure impacts daily activities, such as walking, climbing stairs, and self-care, alongside physical symptoms like fatigue, swelling, and breathlessness. The emotional domain, on the other hand, evaluates feelings of frustration, depression, anxiety, and other emotional responses to the limitations imposed by HF. </w:t>
      </w:r>
      <w:r w:rsidRPr="006A7336">
        <w:rPr>
          <w:rFonts w:ascii="Segoe UI" w:eastAsia="Calibri" w:hAnsi="Segoe UI" w:cs="Segoe UI"/>
          <w:bCs/>
          <w:sz w:val="22"/>
          <w:lang w:val="en-US"/>
        </w:rPr>
        <w:lastRenderedPageBreak/>
        <w:t xml:space="preserve">Additionally, the questionnaire includes general items assessing overall quality of life and the broader impact of HF on everyday functioning. Responses to each question are scored on a Likert scale ranging from 0 (no impact) to 5 (maximum impact), yielding a total score between 0 and 105. Higher scores reflect a poorer quality of life. For this study, the Polish adaptation of the MLHFQ was utilized </w:t>
      </w:r>
      <w:r w:rsidRPr="006A7336">
        <w:rPr>
          <w:rFonts w:ascii="Segoe UI" w:eastAsia="Calibri" w:hAnsi="Segoe UI" w:cs="Segoe UI"/>
          <w:bCs/>
          <w:sz w:val="22"/>
        </w:rPr>
        <w:fldChar w:fldCharType="begin"/>
      </w:r>
      <w:r w:rsidR="00395879" w:rsidRPr="006A7336">
        <w:rPr>
          <w:rFonts w:ascii="Segoe UI" w:eastAsia="Calibri" w:hAnsi="Segoe UI" w:cs="Segoe UI"/>
          <w:bCs/>
          <w:sz w:val="22"/>
          <w:lang w:val="en-US"/>
        </w:rPr>
        <w:instrText xml:space="preserve"> ADDIN ZOTERO_ITEM CSL_CITATION {"citationID":"5PrIOfDN","properties":{"formattedCitation":"[19]","plainCitation":"[19]","noteIndex":0},"citationItems":[{"id":4510,"uris":["http://zotero.org/users/local/mYpTJneC/items/3TLSBYVB"],"itemData":{"id":4510,"type":"webpage","abstract":"Access the Minnesota Living with Heart Failure Questionnaire (MLHF) by Rector Thomas S and up-to-date information on copyright, licensing, scoring, translations, ...","container-title":"ePROVIDE - Mapi Research Trust","language":"en","title":"Official MLHF | Minnesota Living with Heart Failure Questionnaire distributed by Mapi Research Trust | ePROVIDE","URL":"httpss://eprovide.mapi-trust.org/instruments/minnesota-living-with-heart-failure-questionnaire","accessed":{"date-parts":[["2024",10,30]]},"issued":{"date-parts":[["2024",10,11]]}}}],"schema":"https://github.com/citation-style-language/schema/raw/master/csl-citation.json"} </w:instrText>
      </w:r>
      <w:r w:rsidRPr="006A7336">
        <w:rPr>
          <w:rFonts w:ascii="Segoe UI" w:eastAsia="Calibri" w:hAnsi="Segoe UI" w:cs="Segoe UI"/>
          <w:bCs/>
          <w:sz w:val="22"/>
        </w:rPr>
        <w:fldChar w:fldCharType="separate"/>
      </w:r>
      <w:r w:rsidR="00395879" w:rsidRPr="006A7336">
        <w:rPr>
          <w:rFonts w:ascii="Segoe UI" w:hAnsi="Segoe UI" w:cs="Segoe UI"/>
          <w:sz w:val="22"/>
          <w:lang w:val="en-US"/>
        </w:rPr>
        <w:t>[19]</w:t>
      </w:r>
      <w:r w:rsidRPr="006A7336">
        <w:rPr>
          <w:rFonts w:ascii="Segoe UI" w:eastAsia="Calibri" w:hAnsi="Segoe UI" w:cs="Segoe UI"/>
          <w:bCs/>
          <w:sz w:val="22"/>
        </w:rPr>
        <w:fldChar w:fldCharType="end"/>
      </w:r>
      <w:r w:rsidRPr="006A7336">
        <w:rPr>
          <w:rFonts w:ascii="Segoe UI" w:eastAsia="Calibri" w:hAnsi="Segoe UI" w:cs="Segoe UI"/>
          <w:bCs/>
          <w:sz w:val="22"/>
          <w:lang w:val="en-US"/>
        </w:rPr>
        <w:t>.</w:t>
      </w:r>
    </w:p>
    <w:p w14:paraId="382FB79A" w14:textId="5E55B138" w:rsidR="00714602" w:rsidRPr="006A7336" w:rsidRDefault="00152742" w:rsidP="00BA1DF3">
      <w:pPr>
        <w:numPr>
          <w:ilvl w:val="0"/>
          <w:numId w:val="23"/>
        </w:numPr>
        <w:tabs>
          <w:tab w:val="num" w:pos="1440"/>
        </w:tabs>
        <w:spacing w:before="240" w:after="0" w:line="360" w:lineRule="auto"/>
        <w:rPr>
          <w:rFonts w:ascii="Segoe UI" w:eastAsia="Calibri" w:hAnsi="Segoe UI" w:cs="Segoe UI"/>
          <w:bCs/>
          <w:sz w:val="22"/>
          <w:lang w:val="en-US"/>
        </w:rPr>
      </w:pPr>
      <w:r w:rsidRPr="006A7336">
        <w:rPr>
          <w:rFonts w:ascii="Segoe UI" w:hAnsi="Segoe UI" w:cs="Segoe UI"/>
          <w:b/>
          <w:bCs/>
          <w:i/>
          <w:iCs/>
          <w:sz w:val="22"/>
          <w:lang w:val="en-US"/>
        </w:rPr>
        <w:t>Hospital Anxiety and Depression Scale</w:t>
      </w:r>
      <w:r w:rsidRPr="006A7336">
        <w:rPr>
          <w:rFonts w:ascii="Segoe UI" w:hAnsi="Segoe UI" w:cs="Segoe UI"/>
          <w:sz w:val="22"/>
          <w:lang w:val="en-US"/>
        </w:rPr>
        <w:t xml:space="preserve"> </w:t>
      </w:r>
      <w:r w:rsidRPr="006A7336">
        <w:rPr>
          <w:rFonts w:ascii="Segoe UI" w:hAnsi="Segoe UI" w:cs="Segoe UI"/>
          <w:b/>
          <w:bCs/>
          <w:i/>
          <w:iCs/>
          <w:sz w:val="22"/>
          <w:lang w:val="en-US"/>
        </w:rPr>
        <w:t>(HADS)</w:t>
      </w:r>
      <w:r w:rsidRPr="006A7336">
        <w:rPr>
          <w:rFonts w:ascii="Segoe UI" w:hAnsi="Segoe UI" w:cs="Segoe UI"/>
          <w:sz w:val="22"/>
          <w:lang w:val="en-US"/>
        </w:rPr>
        <w:t xml:space="preserve"> </w:t>
      </w:r>
      <w:r w:rsidR="00714602" w:rsidRPr="006A7336">
        <w:rPr>
          <w:rFonts w:ascii="Segoe UI" w:hAnsi="Segoe UI" w:cs="Segoe UI"/>
          <w:sz w:val="22"/>
          <w:lang w:val="en-US"/>
        </w:rPr>
        <w:t>is used to assess levels of anxiety and depression. It consists of 14 questions, 7 each for anxiety (HADS-A) and depression (HADS-D). Questions are answered by the respondent on a Likert scale (0 to 3), where 0 indicates no problem and 3 indicates the highest severity. Scores range from 0 to 21, where 0-7 means no symptoms (normal), 8-10: borderline (subclinical) severity, 11-21: clear symptoms (clinical)</w:t>
      </w:r>
      <w:r w:rsidR="00045085" w:rsidRPr="006A7336">
        <w:rPr>
          <w:rFonts w:ascii="Segoe UI" w:hAnsi="Segoe UI" w:cs="Segoe UI"/>
          <w:sz w:val="22"/>
          <w:lang w:val="en-US"/>
        </w:rPr>
        <w:t xml:space="preserve"> </w:t>
      </w:r>
      <w:r w:rsidR="00045085"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{"citationID":"NyZcIbUz","properties":{"formattedCitation":"[20]","plainCitation":"[20]","noteIndex":0},"citationItems":[{"id":509,"uris":["http://zotero.org/users/local/mYpTJneC/items/646CQVKZ"],"itemData":{"id":509,"type":"article-journal","abstract":"OBJECTIVE: To review the literature of the validity of the Hospital Anxiety and Depression Scale (HADS).\nMETHOD: A review of the 747 identified papers that used HADS was performed to address the following questions: (I) How are the factor structure, discriminant validity and the internal consistency of HADS? (II) How does HADS perform as a case finder for anxiety disorders and depression? (III) How does HADS agree with other self-rating instruments used to rate anxiety and depression?\nRESULTS: Most factor analyses demonstrated a two-factor solution in good accordance with the HADS subscales for Anxiety (HADS-A) and Depression (HADS-D), respectively. The correlations between the two subscales varied from.40 to.74 (mean.56). Cronbach's alpha for HADS-A varied from.68 to.93 (mean.83) and for HADS-D from.67 to.90 (mean.82). In most studies an optimal balance between sensitivity and specificity was achieved when caseness was defined by a score of 8 or above on both HADS-A and HADS-D. The sensitivity and specificity for both HADS-A and HADS-D of approximately 0.80 were very similar to the sensitivity and specificity achieved by the General Health Questionnaire (GHQ). Correlations between HADS and other commonly used questionnaires were in the range.49 to.83.\nCONCLUSIONS: HADS was found to perform well in assessing the symptom severity and caseness of anxiety disorders and depression in both somatic, psychiatric and primary care patients and in the general population.","container-title":"Journal of Psychosomatic Research","DOI":"10.1016/s0022-3999(01)00296-3","ISSN":"0022-3999","issue":"2","journalAbbreviation":"J Psychosom Res","language":"eng","page":"69-77","PMID":"11832252","source":"PubMed","title":"The validity of the Hospital Anxiety and Depression Scale. An updated literature review","volume":"52","author":[{"family":"Bjelland","given":"Ingvar"},{"family":"Dahl","given":"Alv A."},{"family":"Haug","given":"Tone Tangen"},{"family":"Neckelmann","given":"Dag"}],"issued":{"date-parts":[["2002",2]]}}}],"schema":"https://github.com/citation-style-language/schema/raw/master/csl-citation.json"} </w:instrText>
      </w:r>
      <w:r w:rsidR="00045085" w:rsidRPr="006A7336">
        <w:rPr>
          <w:rFonts w:ascii="Segoe UI" w:hAnsi="Segoe UI" w:cs="Segoe UI"/>
          <w:sz w:val="22"/>
          <w:lang w:val="en-US"/>
        </w:rPr>
        <w:fldChar w:fldCharType="separate"/>
      </w:r>
      <w:r w:rsidR="00395879" w:rsidRPr="006A7336">
        <w:rPr>
          <w:rFonts w:ascii="Segoe UI" w:hAnsi="Segoe UI" w:cs="Segoe UI"/>
          <w:sz w:val="22"/>
          <w:lang w:val="en-US"/>
        </w:rPr>
        <w:t>[20]</w:t>
      </w:r>
      <w:r w:rsidR="00045085" w:rsidRPr="006A7336">
        <w:rPr>
          <w:rFonts w:ascii="Segoe UI" w:hAnsi="Segoe UI" w:cs="Segoe UI"/>
          <w:sz w:val="22"/>
          <w:lang w:val="en-US"/>
        </w:rPr>
        <w:fldChar w:fldCharType="end"/>
      </w:r>
      <w:r w:rsidR="00714602" w:rsidRPr="006A7336">
        <w:rPr>
          <w:rFonts w:ascii="Segoe UI" w:hAnsi="Segoe UI" w:cs="Segoe UI"/>
          <w:sz w:val="22"/>
          <w:lang w:val="en-US"/>
        </w:rPr>
        <w:t>.</w:t>
      </w:r>
    </w:p>
    <w:p w14:paraId="19A34E99" w14:textId="21D6D911" w:rsidR="00714602" w:rsidRPr="006A7336" w:rsidRDefault="00BC721A" w:rsidP="00BA1DF3">
      <w:pPr>
        <w:numPr>
          <w:ilvl w:val="0"/>
          <w:numId w:val="23"/>
        </w:numPr>
        <w:spacing w:line="360" w:lineRule="auto"/>
        <w:rPr>
          <w:rFonts w:ascii="Segoe UI" w:hAnsi="Segoe UI" w:cs="Segoe UI"/>
          <w:sz w:val="22"/>
          <w:lang w:val="en-US"/>
        </w:rPr>
      </w:pPr>
      <w:r w:rsidRPr="006A7336">
        <w:rPr>
          <w:rFonts w:ascii="Segoe UI" w:hAnsi="Segoe UI" w:cs="Segoe UI"/>
          <w:b/>
          <w:bCs/>
          <w:i/>
          <w:iCs/>
          <w:sz w:val="22"/>
          <w:lang w:val="en-US"/>
        </w:rPr>
        <w:t>Tilburg Frailty Index (TFI</w:t>
      </w:r>
      <w:r w:rsidR="00395879" w:rsidRPr="006A7336">
        <w:rPr>
          <w:rFonts w:ascii="Segoe UI" w:hAnsi="Segoe UI" w:cs="Segoe UI"/>
          <w:b/>
          <w:bCs/>
          <w:i/>
          <w:iCs/>
          <w:sz w:val="22"/>
          <w:lang w:val="en-US"/>
        </w:rPr>
        <w:t>)</w:t>
      </w:r>
      <w:r w:rsidR="00395879" w:rsidRPr="006A7336">
        <w:rPr>
          <w:rFonts w:ascii="Segoe UI" w:hAnsi="Segoe UI" w:cs="Segoe UI"/>
          <w:lang w:val="en-US"/>
        </w:rPr>
        <w:t xml:space="preserve"> </w:t>
      </w:r>
      <w:r w:rsidR="00395879" w:rsidRPr="006A7336">
        <w:rPr>
          <w:rFonts w:ascii="Segoe UI" w:hAnsi="Segoe UI" w:cs="Segoe UI"/>
          <w:sz w:val="22"/>
          <w:lang w:val="en-US"/>
        </w:rPr>
        <w:t xml:space="preserve">is used to measure multidimensional frailty in older people [10]. The TFI is based on a holistic concept of frailty, which is defined as a dynamic state resulting from the loss of reserves in the physical, mental, and social spheres. The tool consists of 15 items divided into three domains: physical (8 items), mental (4 items), and social (3 items). Each item is scored dichotomously (0 or 1), resulting in a total score ranging from 0 to 15, with higher scores indicating greater frailty. According to the original validation studies, a total TFI score of ≥5 points was used to define frailty syndrome </w:t>
      </w:r>
      <w:r w:rsidR="00395879"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{"citationID":"XW76O2iZ","properties":{"formattedCitation":"[10]","plainCitation":"[10]","noteIndex":0},"citationItems":[{"id":4639,"uris":["http://zotero.org/users/local/mYpTJneC/items/TLLFSI4C"],"itemData":{"id":4639,"type":"article-journal","abstract":"OBJECTIVES: To assess the reliability, construct validity, and predictive (concurrent) validity of the Tilburg Frailty Indicator (TFI), a self-report questionnaire for measuring frailty in older persons.\nDESIGN: Cross-sectional.\nSETTING: Community-based.\nPARTICIPANTS: Two representative samples of community-dwelling persons aged 75 years and older (n = 245; n = 234).\nMEASUREMENTS: The TFI was validated using the LASA Physical Activity Questionnaire, BMI, Timed Up &amp; Go test, Four test balance scale, Grip strength test, Shortened Fatigue Questionnaire, Mini-Mental State Examination, Center for Epidemiologic Studies Depression Scale, Anxiety subscale of the Hospital Anxiety and Depression Scale, Mastery Scale, Loneliness Scale, and the Social Support List. Adverse outcomes were measured using the Groningen Activity Restriction Scale and questions regarding health care use. Quality of life was measured using the WHOQOL-BREF.\nRESULTS: The test-retest reliability of the TFI was good: 0.79 for frailty, and from 0.67 to 0.78 for its domains for a 1-year time interval. The 15 single components, and the frailty domains (physical, psychological, social) of the TFI correlated as expected with validated measures, demonstrating both convergent and divergent construct validity of the TFI. The predictive validity of the TFI and its physical domain was good for quality of life and the adverse outcomes disability and receiving personal care, nursing, and informal care.\nCONCLUSION: This study demonstrates that the psychometric properties of the TFI are good, when performed in 2 samples of community-dwelling older people. The results regarding the TFI's validity provide strong evidence for an integral definition of frailty consisting of physical, psychological, and social domains.","container-title":"Journal of the American Medical Directors Association","DOI":"10.1016/j.jamda.2009.11.003","ISSN":"1538-9375","issue":"5","journalAbbreviation":"J Am Med Dir Assoc","language":"eng","page":"344-355","PMID":"20511102","source":"PubMed","title":"The Tilburg Frailty Indicator: psychometric properties","title-short":"The Tilburg Frailty Indicator","volume":"11","author":[{"family":"Gobbens","given":"Robbert J. J."},{"family":"Assen","given":"Marcel A. L. M.","non-dropping-particle":"van"},{"family":"Luijkx","given":"Katrien G."},{"family":"Wijnen-Sponselee","given":"Maria Th"},{"family":"Schols","given":"Jos M. G. A."}],"issued":{"date-parts":[["2010",6]]}}}],"schema":"https://github.com/citation-style-language/schema/raw/master/csl-citation.json"} </w:instrText>
      </w:r>
      <w:r w:rsidR="00395879" w:rsidRPr="006A7336">
        <w:rPr>
          <w:rFonts w:ascii="Segoe UI" w:hAnsi="Segoe UI" w:cs="Segoe UI"/>
          <w:sz w:val="22"/>
          <w:lang w:val="en-US"/>
        </w:rPr>
        <w:fldChar w:fldCharType="separate"/>
      </w:r>
      <w:r w:rsidR="00395879" w:rsidRPr="006A7336">
        <w:rPr>
          <w:rFonts w:ascii="Segoe UI" w:hAnsi="Segoe UI" w:cs="Segoe UI"/>
          <w:sz w:val="22"/>
        </w:rPr>
        <w:t>[10]</w:t>
      </w:r>
      <w:r w:rsidR="00395879" w:rsidRPr="006A7336">
        <w:rPr>
          <w:rFonts w:ascii="Segoe UI" w:hAnsi="Segoe UI" w:cs="Segoe UI"/>
          <w:sz w:val="22"/>
          <w:lang w:val="en-US"/>
        </w:rPr>
        <w:fldChar w:fldCharType="end"/>
      </w:r>
      <w:r w:rsidR="00395879" w:rsidRPr="006A7336">
        <w:rPr>
          <w:rFonts w:ascii="Segoe UI" w:hAnsi="Segoe UI" w:cs="Segoe UI"/>
          <w:sz w:val="22"/>
          <w:lang w:val="en-US"/>
        </w:rPr>
        <w:t>.</w:t>
      </w:r>
    </w:p>
    <w:p w14:paraId="290B15DB" w14:textId="37EED1A6" w:rsidR="00B43AFA" w:rsidRPr="006A7336" w:rsidRDefault="00B43AFA" w:rsidP="00BA1DF3">
      <w:pPr>
        <w:numPr>
          <w:ilvl w:val="0"/>
          <w:numId w:val="23"/>
        </w:numPr>
        <w:spacing w:line="360" w:lineRule="auto"/>
        <w:rPr>
          <w:rFonts w:ascii="Segoe UI" w:hAnsi="Segoe UI" w:cs="Segoe UI"/>
          <w:sz w:val="22"/>
        </w:rPr>
      </w:pPr>
      <w:r w:rsidRPr="006A7336">
        <w:rPr>
          <w:rFonts w:ascii="Segoe UI" w:hAnsi="Segoe UI" w:cs="Segoe UI"/>
          <w:b/>
          <w:bCs/>
          <w:i/>
          <w:iCs/>
          <w:sz w:val="22"/>
          <w:lang w:val="en-US"/>
        </w:rPr>
        <w:t>Multidimensional Scale of Perceived Social Support (MSPSS)</w:t>
      </w:r>
      <w:r w:rsidRPr="006A7336">
        <w:rPr>
          <w:rFonts w:ascii="Segoe UI" w:hAnsi="Segoe UI" w:cs="Segoe UI"/>
          <w:sz w:val="22"/>
          <w:lang w:val="en-US"/>
        </w:rPr>
        <w:t xml:space="preserve"> </w:t>
      </w:r>
      <w:r w:rsidR="00714602" w:rsidRPr="006A7336">
        <w:rPr>
          <w:rFonts w:ascii="Segoe UI" w:hAnsi="Segoe UI" w:cs="Segoe UI"/>
          <w:sz w:val="22"/>
          <w:lang w:val="en-US"/>
        </w:rPr>
        <w:t>is used to assess the subjective social support a person feels from their environment</w:t>
      </w:r>
      <w:r w:rsidR="00045085" w:rsidRPr="006A7336">
        <w:rPr>
          <w:rFonts w:ascii="Segoe UI" w:hAnsi="Segoe UI" w:cs="Segoe UI"/>
          <w:sz w:val="22"/>
          <w:lang w:val="en-US"/>
        </w:rPr>
        <w:t xml:space="preserve"> </w:t>
      </w:r>
      <w:r w:rsidR="00045085"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{"citationID":"smQYIOL0","properties":{"formattedCitation":"[21]","plainCitation":"[21]","noteIndex":0},"citationItems":[{"id":4641,"uris":["http://zotero.org/users/local/mYpTJneC/items/GFJ6TPE7"],"itemData":{"id":4641,"type":"article-journal","abstract":"The initial study describing the development of the Multidimensional Scale of Perceived Social Support (MSPSS) indicated that it was a psychometrically sound instrument (Zimet, Dahlem, Zimet, &amp; Farley, 1988). The current study attempted to extend the initial findings by demonstrating the internal reliability, factorial validity, and subscale validity of the MSPSS using three different subject groups: (a) 265 pregnant women, (b) 74 adolescents living in Europe with their families, and (c) 55 pediatric residents. The MSPSS was found to have good internal reliability across subject groups. In addition, strong factorial validity was demonstrated, confirming the three-subscale structure of the MSPSS: Family, Friends, and Significant Other. Finally, strong support was also found for the validity of the Family and Significant Other subscales.","container-title":"Journal of Personality Assessment","DOI":"10.1080/00223891.1990.9674095","ISSN":"0022-3891","issue":"3-4","journalAbbreviation":"J Pers Assess","language":"eng","page":"610-617","PMID":"2280326","source":"PubMed","title":"Psychometric characteristics of the Multidimensional Scale of Perceived Social Support","volume":"55","author":[{"family":"Zimet","given":"G. D."},{"family":"Powell","given":"S. S."},{"family":"Farley","given":"G. K."},{"family":"Werkman","given":"S."},{"family":"Berkoff","given":"K. A."}],"issued":{"date-parts":[["1990"]]}}}],"schema":"https://github.com/citation-style-language/schema/raw/master/csl-citation.json"} </w:instrText>
      </w:r>
      <w:r w:rsidR="00045085" w:rsidRPr="006A7336">
        <w:rPr>
          <w:rFonts w:ascii="Segoe UI" w:hAnsi="Segoe UI" w:cs="Segoe UI"/>
          <w:sz w:val="22"/>
          <w:lang w:val="en-US"/>
        </w:rPr>
        <w:fldChar w:fldCharType="separate"/>
      </w:r>
      <w:r w:rsidR="00395879" w:rsidRPr="006A7336">
        <w:rPr>
          <w:rFonts w:ascii="Segoe UI" w:hAnsi="Segoe UI" w:cs="Segoe UI"/>
          <w:sz w:val="22"/>
          <w:lang w:val="en-US"/>
        </w:rPr>
        <w:t>[21]</w:t>
      </w:r>
      <w:r w:rsidR="00045085" w:rsidRPr="006A7336">
        <w:rPr>
          <w:rFonts w:ascii="Segoe UI" w:hAnsi="Segoe UI" w:cs="Segoe UI"/>
          <w:sz w:val="22"/>
          <w:lang w:val="en-US"/>
        </w:rPr>
        <w:fldChar w:fldCharType="end"/>
      </w:r>
      <w:r w:rsidR="00714602" w:rsidRPr="006A7336">
        <w:rPr>
          <w:rFonts w:ascii="Segoe UI" w:hAnsi="Segoe UI" w:cs="Segoe UI"/>
          <w:sz w:val="22"/>
          <w:lang w:val="en-US"/>
        </w:rPr>
        <w:t xml:space="preserve">. The MSPSS questionnaire consists of 12 questions, divided into three subscales that assess different sources of social support: support from family (4 questions), from friends (4 questions), from significant others (4 questions). Each question is rated on a 7-point Likert scale, where: 1 means ‘strongly disagree’ and 7 means ‘strongly agree’. Scores are summed for each subscale and across the questionnaire. </w:t>
      </w:r>
      <w:proofErr w:type="spellStart"/>
      <w:r w:rsidR="00714602" w:rsidRPr="006A7336">
        <w:rPr>
          <w:rFonts w:ascii="Segoe UI" w:hAnsi="Segoe UI" w:cs="Segoe UI"/>
          <w:sz w:val="22"/>
        </w:rPr>
        <w:t>Higher</w:t>
      </w:r>
      <w:proofErr w:type="spellEnd"/>
      <w:r w:rsidR="00714602" w:rsidRPr="006A7336">
        <w:rPr>
          <w:rFonts w:ascii="Segoe UI" w:hAnsi="Segoe UI" w:cs="Segoe UI"/>
          <w:sz w:val="22"/>
        </w:rPr>
        <w:t xml:space="preserve"> </w:t>
      </w:r>
      <w:proofErr w:type="spellStart"/>
      <w:r w:rsidR="00714602" w:rsidRPr="006A7336">
        <w:rPr>
          <w:rFonts w:ascii="Segoe UI" w:hAnsi="Segoe UI" w:cs="Segoe UI"/>
          <w:sz w:val="22"/>
        </w:rPr>
        <w:t>scores</w:t>
      </w:r>
      <w:proofErr w:type="spellEnd"/>
      <w:r w:rsidR="00714602" w:rsidRPr="006A7336">
        <w:rPr>
          <w:rFonts w:ascii="Segoe UI" w:hAnsi="Segoe UI" w:cs="Segoe UI"/>
          <w:sz w:val="22"/>
        </w:rPr>
        <w:t xml:space="preserve"> </w:t>
      </w:r>
      <w:proofErr w:type="spellStart"/>
      <w:r w:rsidR="00714602" w:rsidRPr="006A7336">
        <w:rPr>
          <w:rFonts w:ascii="Segoe UI" w:hAnsi="Segoe UI" w:cs="Segoe UI"/>
          <w:sz w:val="22"/>
        </w:rPr>
        <w:t>indicate</w:t>
      </w:r>
      <w:proofErr w:type="spellEnd"/>
      <w:r w:rsidR="00714602" w:rsidRPr="006A7336">
        <w:rPr>
          <w:rFonts w:ascii="Segoe UI" w:hAnsi="Segoe UI" w:cs="Segoe UI"/>
          <w:sz w:val="22"/>
        </w:rPr>
        <w:t xml:space="preserve"> </w:t>
      </w:r>
      <w:proofErr w:type="spellStart"/>
      <w:r w:rsidR="00714602" w:rsidRPr="006A7336">
        <w:rPr>
          <w:rFonts w:ascii="Segoe UI" w:hAnsi="Segoe UI" w:cs="Segoe UI"/>
          <w:sz w:val="22"/>
        </w:rPr>
        <w:t>higher</w:t>
      </w:r>
      <w:proofErr w:type="spellEnd"/>
      <w:r w:rsidR="00714602" w:rsidRPr="006A7336">
        <w:rPr>
          <w:rFonts w:ascii="Segoe UI" w:hAnsi="Segoe UI" w:cs="Segoe UI"/>
          <w:sz w:val="22"/>
        </w:rPr>
        <w:t xml:space="preserve"> </w:t>
      </w:r>
      <w:proofErr w:type="spellStart"/>
      <w:r w:rsidR="00714602" w:rsidRPr="006A7336">
        <w:rPr>
          <w:rFonts w:ascii="Segoe UI" w:hAnsi="Segoe UI" w:cs="Segoe UI"/>
          <w:sz w:val="22"/>
        </w:rPr>
        <w:t>levels</w:t>
      </w:r>
      <w:proofErr w:type="spellEnd"/>
      <w:r w:rsidR="00714602" w:rsidRPr="006A7336">
        <w:rPr>
          <w:rFonts w:ascii="Segoe UI" w:hAnsi="Segoe UI" w:cs="Segoe UI"/>
          <w:sz w:val="22"/>
        </w:rPr>
        <w:t xml:space="preserve"> of </w:t>
      </w:r>
      <w:proofErr w:type="spellStart"/>
      <w:r w:rsidR="00714602" w:rsidRPr="006A7336">
        <w:rPr>
          <w:rFonts w:ascii="Segoe UI" w:hAnsi="Segoe UI" w:cs="Segoe UI"/>
          <w:sz w:val="22"/>
        </w:rPr>
        <w:t>perceived</w:t>
      </w:r>
      <w:proofErr w:type="spellEnd"/>
      <w:r w:rsidR="00714602" w:rsidRPr="006A7336">
        <w:rPr>
          <w:rFonts w:ascii="Segoe UI" w:hAnsi="Segoe UI" w:cs="Segoe UI"/>
          <w:sz w:val="22"/>
        </w:rPr>
        <w:t xml:space="preserve"> </w:t>
      </w:r>
      <w:proofErr w:type="spellStart"/>
      <w:r w:rsidR="00714602" w:rsidRPr="006A7336">
        <w:rPr>
          <w:rFonts w:ascii="Segoe UI" w:hAnsi="Segoe UI" w:cs="Segoe UI"/>
          <w:sz w:val="22"/>
        </w:rPr>
        <w:t>social</w:t>
      </w:r>
      <w:proofErr w:type="spellEnd"/>
      <w:r w:rsidR="00714602" w:rsidRPr="006A7336">
        <w:rPr>
          <w:rFonts w:ascii="Segoe UI" w:hAnsi="Segoe UI" w:cs="Segoe UI"/>
          <w:sz w:val="22"/>
        </w:rPr>
        <w:t xml:space="preserve"> </w:t>
      </w:r>
      <w:proofErr w:type="spellStart"/>
      <w:r w:rsidR="00714602" w:rsidRPr="006A7336">
        <w:rPr>
          <w:rFonts w:ascii="Segoe UI" w:hAnsi="Segoe UI" w:cs="Segoe UI"/>
          <w:sz w:val="22"/>
        </w:rPr>
        <w:t>support</w:t>
      </w:r>
      <w:proofErr w:type="spellEnd"/>
      <w:r w:rsidR="00714602" w:rsidRPr="006A7336">
        <w:rPr>
          <w:rFonts w:ascii="Segoe UI" w:hAnsi="Segoe UI" w:cs="Segoe UI"/>
          <w:sz w:val="22"/>
        </w:rPr>
        <w:t>.</w:t>
      </w:r>
    </w:p>
    <w:p w14:paraId="295236F8" w14:textId="77777777" w:rsidR="00DA3657" w:rsidRPr="006A7336" w:rsidRDefault="00DA3657"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All questionnaires (TFI, HADS, TASQ, MSPSS, and MLHFQ) were completed during the pre-procedure assessment, prior to the TAVI procedure. Therefore, all psychometric and </w:t>
      </w:r>
      <w:r w:rsidRPr="006A7336">
        <w:rPr>
          <w:rFonts w:ascii="Segoe UI" w:hAnsi="Segoe UI" w:cs="Segoe UI"/>
          <w:sz w:val="22"/>
          <w:lang w:val="en-US"/>
        </w:rPr>
        <w:lastRenderedPageBreak/>
        <w:t>impairment measures included in this analysis reflect the baseline status prior to the procedure.</w:t>
      </w:r>
    </w:p>
    <w:p w14:paraId="52139BB7" w14:textId="77777777" w:rsidR="00DE4FDE" w:rsidRPr="006A7336" w:rsidRDefault="00DE4FDE" w:rsidP="00BA1DF3">
      <w:pPr>
        <w:spacing w:line="360" w:lineRule="auto"/>
        <w:rPr>
          <w:rFonts w:ascii="Segoe UI" w:hAnsi="Segoe UI" w:cs="Segoe UI"/>
          <w:b/>
          <w:bCs/>
          <w:i/>
          <w:iCs/>
          <w:sz w:val="22"/>
          <w:lang w:val="en-US"/>
        </w:rPr>
      </w:pPr>
    </w:p>
    <w:p w14:paraId="55498A3B" w14:textId="77777777" w:rsidR="00DE4FDE" w:rsidRPr="006A7336" w:rsidRDefault="00DE4FDE" w:rsidP="00BA1DF3">
      <w:pPr>
        <w:spacing w:line="360" w:lineRule="auto"/>
        <w:rPr>
          <w:rFonts w:ascii="Segoe UI" w:hAnsi="Segoe UI" w:cs="Segoe UI"/>
          <w:b/>
          <w:bCs/>
          <w:i/>
          <w:iCs/>
          <w:sz w:val="22"/>
          <w:lang w:val="en-US"/>
        </w:rPr>
      </w:pPr>
      <w:r w:rsidRPr="006A7336">
        <w:rPr>
          <w:rFonts w:ascii="Segoe UI" w:hAnsi="Segoe UI" w:cs="Segoe UI"/>
          <w:b/>
          <w:bCs/>
          <w:i/>
          <w:iCs/>
          <w:sz w:val="22"/>
          <w:lang w:val="en-US"/>
        </w:rPr>
        <w:t>Ethical considerations</w:t>
      </w:r>
    </w:p>
    <w:p w14:paraId="0148CF9B" w14:textId="77777777" w:rsidR="00DE4FDE" w:rsidRPr="006A7336" w:rsidRDefault="00DE4FDE"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The study was approved by the Bioethics Committee </w:t>
      </w:r>
      <w:bookmarkStart w:id="1" w:name="_Hlk181471244"/>
      <w:r w:rsidRPr="006A7336">
        <w:rPr>
          <w:rFonts w:ascii="Segoe UI" w:hAnsi="Segoe UI" w:cs="Segoe UI"/>
          <w:sz w:val="22"/>
          <w:lang w:val="en-US"/>
        </w:rPr>
        <w:t>of the Lower Silesian Medical Chamber (approval no. 02/BOBD/2024)</w:t>
      </w:r>
      <w:bookmarkEnd w:id="1"/>
      <w:r w:rsidRPr="006A7336">
        <w:rPr>
          <w:rFonts w:ascii="Segoe UI" w:hAnsi="Segoe UI" w:cs="Segoe UI"/>
          <w:sz w:val="22"/>
          <w:lang w:val="en-US"/>
        </w:rPr>
        <w:t>. All participants provided written informed consent to participate after a thorough explanation of the study procedures. The study was conducted in accordance with the principles of the Declaration of Helsinki.</w:t>
      </w:r>
    </w:p>
    <w:p w14:paraId="61511C70" w14:textId="77777777" w:rsidR="00DE4FDE" w:rsidRPr="006A7336" w:rsidRDefault="00DE4FDE" w:rsidP="00BA1DF3">
      <w:pPr>
        <w:spacing w:line="360" w:lineRule="auto"/>
        <w:rPr>
          <w:rFonts w:ascii="Segoe UI" w:hAnsi="Segoe UI" w:cs="Segoe UI"/>
          <w:sz w:val="22"/>
          <w:lang w:val="en-US"/>
        </w:rPr>
      </w:pPr>
    </w:p>
    <w:p w14:paraId="7FBCD831" w14:textId="77777777" w:rsidR="00013C94" w:rsidRPr="006A7336" w:rsidRDefault="00DE4FDE" w:rsidP="00BA1DF3">
      <w:pPr>
        <w:spacing w:line="360" w:lineRule="auto"/>
        <w:rPr>
          <w:rFonts w:ascii="Segoe UI" w:hAnsi="Segoe UI" w:cs="Segoe UI"/>
          <w:b/>
          <w:bCs/>
          <w:i/>
          <w:iCs/>
          <w:sz w:val="22"/>
          <w:lang w:val="en-US"/>
        </w:rPr>
      </w:pPr>
      <w:r w:rsidRPr="006A7336">
        <w:rPr>
          <w:rFonts w:ascii="Segoe UI" w:hAnsi="Segoe UI" w:cs="Segoe UI"/>
          <w:b/>
          <w:bCs/>
          <w:i/>
          <w:iCs/>
          <w:sz w:val="22"/>
          <w:lang w:val="en-US"/>
        </w:rPr>
        <w:t>Statistical methods</w:t>
      </w:r>
    </w:p>
    <w:p w14:paraId="455B38EC" w14:textId="77777777" w:rsidR="00DD6B8B" w:rsidRDefault="00013C94" w:rsidP="00DD6B8B">
      <w:pPr>
        <w:spacing w:line="360" w:lineRule="auto"/>
        <w:ind w:firstLine="708"/>
        <w:rPr>
          <w:rFonts w:ascii="Segoe UI" w:hAnsi="Segoe UI" w:cs="Segoe UI"/>
          <w:sz w:val="22"/>
          <w:lang w:val="en-US"/>
        </w:rPr>
      </w:pPr>
      <w:r w:rsidRPr="006A7336">
        <w:rPr>
          <w:rFonts w:ascii="Segoe UI" w:hAnsi="Segoe UI" w:cs="Segoe UI"/>
          <w:sz w:val="22"/>
          <w:lang w:val="en-GB"/>
        </w:rPr>
        <w:t xml:space="preserve">Mean, standard deviation, median, quartiles and range of quantitative variables were shown. For qualitative variables, absolute and relative frequencies (N and %) were reported. Mann-Whitney test was used for comparisons of quantitative variables between two groups, while Kruskal-Wallis test (followed by post-hoc Dunn test) was used for three or more groups. Spearman’s correlation coefficient was used to assess correlation between two quantitative variables. </w:t>
      </w:r>
      <w:r w:rsidR="00FF231D" w:rsidRPr="006A7336">
        <w:rPr>
          <w:rFonts w:ascii="Segoe UI" w:hAnsi="Segoe UI" w:cs="Segoe UI"/>
          <w:sz w:val="22"/>
          <w:lang w:val="en-US"/>
        </w:rPr>
        <w:t> Variable distribution normality was verified using the Shapiro-Wilk test. </w:t>
      </w:r>
    </w:p>
    <w:p w14:paraId="30383AC5" w14:textId="48FA4CA5" w:rsidR="00DD6B8B" w:rsidRPr="00DD6B8B" w:rsidRDefault="00DD6B8B" w:rsidP="00DD6B8B">
      <w:pPr>
        <w:spacing w:line="360" w:lineRule="auto"/>
        <w:ind w:firstLine="708"/>
        <w:rPr>
          <w:rFonts w:ascii="Segoe UI" w:hAnsi="Segoe UI" w:cs="Segoe UI"/>
          <w:color w:val="FF0000"/>
          <w:sz w:val="22"/>
          <w:lang w:val="en-GB"/>
        </w:rPr>
      </w:pPr>
      <w:r w:rsidRPr="00DD6B8B">
        <w:rPr>
          <w:rFonts w:ascii="Segoe UI" w:hAnsi="Segoe UI" w:cs="Segoe UI"/>
          <w:color w:val="FF0000"/>
          <w:sz w:val="22"/>
          <w:lang w:val="en-GB"/>
        </w:rPr>
        <w:t xml:space="preserve">Additionally, an exploratory analysis was performed to compare frailty between patients with low-gradient (LFLG and </w:t>
      </w:r>
      <w:proofErr w:type="spellStart"/>
      <w:r w:rsidRPr="00DD6B8B">
        <w:rPr>
          <w:rFonts w:ascii="Segoe UI" w:hAnsi="Segoe UI" w:cs="Segoe UI"/>
          <w:color w:val="FF0000"/>
          <w:sz w:val="22"/>
          <w:lang w:val="en-GB"/>
        </w:rPr>
        <w:t>pLFLG</w:t>
      </w:r>
      <w:proofErr w:type="spellEnd"/>
      <w:r w:rsidRPr="00DD6B8B">
        <w:rPr>
          <w:rFonts w:ascii="Segoe UI" w:hAnsi="Segoe UI" w:cs="Segoe UI"/>
          <w:color w:val="FF0000"/>
          <w:sz w:val="22"/>
          <w:lang w:val="en-GB"/>
        </w:rPr>
        <w:t>) and high-gradient (HGNF, HGHF and LFHG) aortic stenosis. Continuous variables with non-normal distribution and ordinal variables were compared using the Mann-Whitney U test, whereas categorical variables were compared using Fisher’s exact test because of the small sample sizes in the compared subgroups.</w:t>
      </w:r>
    </w:p>
    <w:p w14:paraId="527887FA" w14:textId="77777777" w:rsidR="005A269D" w:rsidRPr="006A7336" w:rsidRDefault="009B637D"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Univariate and multivariate logistic regression analysis was used to estimate the probability of frailty syndrome (dichotomous variable). </w:t>
      </w:r>
      <w:r w:rsidR="00150AEE" w:rsidRPr="006A7336">
        <w:rPr>
          <w:rFonts w:ascii="Segoe UI" w:hAnsi="Segoe UI" w:cs="Segoe UI"/>
          <w:sz w:val="22"/>
          <w:lang w:val="en-US"/>
        </w:rPr>
        <w:t xml:space="preserve">Variables that were significant or close to significance (p&lt;0.2) in univariate analyses were included in multivariate analysis. </w:t>
      </w:r>
    </w:p>
    <w:p w14:paraId="75056FAA" w14:textId="77777777" w:rsidR="009B637D" w:rsidRPr="006A7336" w:rsidRDefault="009B637D" w:rsidP="00BA1DF3">
      <w:pPr>
        <w:spacing w:line="360" w:lineRule="auto"/>
        <w:ind w:firstLine="708"/>
        <w:rPr>
          <w:rFonts w:ascii="Segoe UI" w:hAnsi="Segoe UI" w:cs="Segoe UI"/>
          <w:sz w:val="22"/>
          <w:lang w:val="en-US"/>
        </w:rPr>
      </w:pPr>
      <w:r w:rsidRPr="006A7336">
        <w:rPr>
          <w:rFonts w:ascii="Segoe UI" w:hAnsi="Segoe UI" w:cs="Segoe UI"/>
          <w:sz w:val="22"/>
          <w:lang w:val="en-US"/>
        </w:rPr>
        <w:t>Model parameters were estimated using the maximum likelihood method. The goodness of fit of the model to the observed data was verified using the Hosmer-</w:t>
      </w:r>
      <w:proofErr w:type="spellStart"/>
      <w:r w:rsidRPr="006A7336">
        <w:rPr>
          <w:rFonts w:ascii="Segoe UI" w:hAnsi="Segoe UI" w:cs="Segoe UI"/>
          <w:sz w:val="22"/>
          <w:lang w:val="en-US"/>
        </w:rPr>
        <w:t>Lemeshow</w:t>
      </w:r>
      <w:proofErr w:type="spellEnd"/>
      <w:r w:rsidRPr="006A7336">
        <w:rPr>
          <w:rFonts w:ascii="Segoe UI" w:hAnsi="Segoe UI" w:cs="Segoe UI"/>
          <w:sz w:val="22"/>
          <w:lang w:val="en-US"/>
        </w:rPr>
        <w:t xml:space="preserve"> test, and the statistical significance of individual independent variables was checked using the Wald test. The Box-Tidwell test was used to verify the linear dependence of the logit </w:t>
      </w:r>
      <w:r w:rsidRPr="006A7336">
        <w:rPr>
          <w:rFonts w:ascii="Segoe UI" w:hAnsi="Segoe UI" w:cs="Segoe UI"/>
          <w:sz w:val="22"/>
          <w:lang w:val="en-US"/>
        </w:rPr>
        <w:lastRenderedPageBreak/>
        <w:t xml:space="preserve">transformation on continuous independent variables. For statistically significant predictors of frailty, odds ratio values and their 95% confidence intervals were estimated. For continuous variables, the results of ROC curve analysis and Youden index values were used to establish cut-off values for predicting frailty. The area under the ROC curve (AUC) was calculated for each model. Spearman's rank correlation coefficient (rho) was used to determine the strength and direction of the monotonic relationship between the two ordinal variables. Significance level was set to 0.05. </w:t>
      </w:r>
    </w:p>
    <w:p w14:paraId="6C99B189" w14:textId="77777777" w:rsidR="009B637D" w:rsidRPr="006A7336" w:rsidRDefault="009B637D" w:rsidP="00BA1DF3">
      <w:pPr>
        <w:spacing w:line="360" w:lineRule="auto"/>
        <w:rPr>
          <w:rFonts w:ascii="Segoe UI" w:hAnsi="Segoe UI" w:cs="Segoe UI"/>
          <w:sz w:val="22"/>
          <w:lang w:val="en-US"/>
        </w:rPr>
      </w:pPr>
    </w:p>
    <w:p w14:paraId="5F3CBA72" w14:textId="77777777" w:rsidR="00DE4FDE" w:rsidRPr="006A7336" w:rsidRDefault="00DE4FDE" w:rsidP="00BA1DF3">
      <w:pPr>
        <w:spacing w:line="360" w:lineRule="auto"/>
        <w:rPr>
          <w:rFonts w:ascii="Segoe UI" w:hAnsi="Segoe UI" w:cs="Segoe UI"/>
          <w:b/>
          <w:bCs/>
          <w:sz w:val="22"/>
          <w:lang w:val="en-US"/>
        </w:rPr>
      </w:pPr>
      <w:r w:rsidRPr="006A7336">
        <w:rPr>
          <w:rFonts w:ascii="Segoe UI" w:hAnsi="Segoe UI" w:cs="Segoe UI"/>
          <w:b/>
          <w:bCs/>
          <w:sz w:val="22"/>
          <w:lang w:val="en-US"/>
        </w:rPr>
        <w:t>Results</w:t>
      </w:r>
    </w:p>
    <w:p w14:paraId="37C993FC" w14:textId="77777777" w:rsidR="00893A04" w:rsidRPr="006A7336" w:rsidRDefault="00AC766C" w:rsidP="00BA1DF3">
      <w:pPr>
        <w:spacing w:line="360" w:lineRule="auto"/>
        <w:rPr>
          <w:rFonts w:ascii="Segoe UI" w:hAnsi="Segoe UI" w:cs="Segoe UI"/>
          <w:b/>
          <w:bCs/>
          <w:i/>
          <w:iCs/>
          <w:sz w:val="22"/>
          <w:lang w:val="en-US"/>
        </w:rPr>
      </w:pPr>
      <w:proofErr w:type="spellStart"/>
      <w:r w:rsidRPr="006A7336">
        <w:rPr>
          <w:rFonts w:ascii="Segoe UI" w:hAnsi="Segoe UI" w:cs="Segoe UI"/>
          <w:b/>
          <w:bCs/>
          <w:i/>
          <w:iCs/>
          <w:sz w:val="22"/>
          <w:lang w:val="en-US"/>
        </w:rPr>
        <w:t>Socioclinic</w:t>
      </w:r>
      <w:proofErr w:type="spellEnd"/>
      <w:r w:rsidRPr="006A7336">
        <w:rPr>
          <w:rFonts w:ascii="Segoe UI" w:hAnsi="Segoe UI" w:cs="Segoe UI"/>
          <w:b/>
          <w:bCs/>
          <w:i/>
          <w:iCs/>
          <w:sz w:val="22"/>
          <w:lang w:val="en-US"/>
        </w:rPr>
        <w:t xml:space="preserve"> characteristics of the patients studied</w:t>
      </w:r>
    </w:p>
    <w:p w14:paraId="4B3F0BF4" w14:textId="77777777" w:rsidR="00AF1996" w:rsidRPr="006A7336" w:rsidRDefault="00714602" w:rsidP="00BA1DF3">
      <w:pPr>
        <w:spacing w:line="360" w:lineRule="auto"/>
        <w:ind w:firstLine="708"/>
        <w:rPr>
          <w:rFonts w:ascii="Segoe UI" w:hAnsi="Segoe UI" w:cs="Segoe UI"/>
          <w:sz w:val="22"/>
          <w:lang w:val="en-US"/>
        </w:rPr>
      </w:pPr>
      <w:r w:rsidRPr="006A7336">
        <w:rPr>
          <w:rFonts w:ascii="Segoe UI" w:hAnsi="Segoe UI" w:cs="Segoe UI"/>
          <w:sz w:val="22"/>
          <w:lang w:val="en-US"/>
        </w:rPr>
        <w:t>Table 1 presents the sociodemographic and clinical characteristics of the patients studied. A total of 113 patients with an age of 77.</w:t>
      </w:r>
      <w:r w:rsidR="001F172D" w:rsidRPr="006A7336">
        <w:rPr>
          <w:rFonts w:ascii="Segoe UI" w:hAnsi="Segoe UI" w:cs="Segoe UI"/>
          <w:sz w:val="22"/>
          <w:lang w:val="en-US"/>
        </w:rPr>
        <w:t>3</w:t>
      </w:r>
      <w:r w:rsidRPr="006A7336">
        <w:rPr>
          <w:rFonts w:ascii="Segoe UI" w:hAnsi="Segoe UI" w:cs="Segoe UI"/>
          <w:sz w:val="22"/>
          <w:lang w:val="en-US"/>
        </w:rPr>
        <w:t>±6.9 took part in the study.</w:t>
      </w:r>
      <w:r w:rsidR="0025112C" w:rsidRPr="006A7336">
        <w:rPr>
          <w:rFonts w:ascii="Segoe UI" w:hAnsi="Segoe UI" w:cs="Segoe UI"/>
          <w:sz w:val="22"/>
          <w:lang w:val="en-US"/>
        </w:rPr>
        <w:t xml:space="preserve"> The </w:t>
      </w:r>
      <w:r w:rsidR="00686EB0" w:rsidRPr="006A7336">
        <w:rPr>
          <w:rFonts w:ascii="Segoe UI" w:hAnsi="Segoe UI" w:cs="Segoe UI"/>
          <w:sz w:val="22"/>
          <w:lang w:val="en-US"/>
        </w:rPr>
        <w:t xml:space="preserve">slightly more than half </w:t>
      </w:r>
      <w:r w:rsidR="0025112C" w:rsidRPr="006A7336">
        <w:rPr>
          <w:rFonts w:ascii="Segoe UI" w:hAnsi="Segoe UI" w:cs="Segoe UI"/>
          <w:sz w:val="22"/>
          <w:lang w:val="en-US"/>
        </w:rPr>
        <w:t>were female (52 %), single (51%</w:t>
      </w:r>
      <w:r w:rsidRPr="006A7336">
        <w:rPr>
          <w:rFonts w:ascii="Segoe UI" w:hAnsi="Segoe UI" w:cs="Segoe UI"/>
          <w:sz w:val="22"/>
          <w:lang w:val="en-US"/>
        </w:rPr>
        <w:t>) w</w:t>
      </w:r>
      <w:r w:rsidR="0025112C" w:rsidRPr="006A7336">
        <w:rPr>
          <w:rFonts w:ascii="Segoe UI" w:hAnsi="Segoe UI" w:cs="Segoe UI"/>
          <w:sz w:val="22"/>
          <w:lang w:val="en-US"/>
        </w:rPr>
        <w:t>ith a secondary education (4</w:t>
      </w:r>
      <w:r w:rsidR="001F172D" w:rsidRPr="006A7336">
        <w:rPr>
          <w:rFonts w:ascii="Segoe UI" w:hAnsi="Segoe UI" w:cs="Segoe UI"/>
          <w:sz w:val="22"/>
          <w:lang w:val="en-US"/>
        </w:rPr>
        <w:t>8</w:t>
      </w:r>
      <w:r w:rsidRPr="006A7336">
        <w:rPr>
          <w:rFonts w:ascii="Segoe UI" w:hAnsi="Segoe UI" w:cs="Segoe UI"/>
          <w:sz w:val="22"/>
          <w:lang w:val="en-US"/>
        </w:rPr>
        <w:t xml:space="preserve">%). The most common comorbidities were diabetes </w:t>
      </w:r>
      <w:r w:rsidR="0025112C" w:rsidRPr="006A7336">
        <w:rPr>
          <w:rFonts w:ascii="Segoe UI" w:hAnsi="Segoe UI" w:cs="Segoe UI"/>
          <w:sz w:val="22"/>
          <w:lang w:val="en-US"/>
        </w:rPr>
        <w:t>(42</w:t>
      </w:r>
      <w:r w:rsidRPr="006A7336">
        <w:rPr>
          <w:rFonts w:ascii="Segoe UI" w:hAnsi="Segoe UI" w:cs="Segoe UI"/>
          <w:sz w:val="22"/>
          <w:lang w:val="en-US"/>
        </w:rPr>
        <w:t>%</w:t>
      </w:r>
      <w:r w:rsidR="001F172D" w:rsidRPr="006A7336">
        <w:rPr>
          <w:rFonts w:ascii="Segoe UI" w:hAnsi="Segoe UI" w:cs="Segoe UI"/>
          <w:sz w:val="22"/>
          <w:lang w:val="en-US"/>
        </w:rPr>
        <w:t>) and atrial fibrillati</w:t>
      </w:r>
      <w:r w:rsidR="0025112C" w:rsidRPr="006A7336">
        <w:rPr>
          <w:rFonts w:ascii="Segoe UI" w:hAnsi="Segoe UI" w:cs="Segoe UI"/>
          <w:sz w:val="22"/>
          <w:lang w:val="en-US"/>
        </w:rPr>
        <w:t>on (37</w:t>
      </w:r>
      <w:r w:rsidRPr="006A7336">
        <w:rPr>
          <w:rFonts w:ascii="Segoe UI" w:hAnsi="Segoe UI" w:cs="Segoe UI"/>
          <w:sz w:val="22"/>
          <w:lang w:val="en-US"/>
        </w:rPr>
        <w:t>%). Patients most frequently presented with NYHA 2 and CCS 2 symptom sever</w:t>
      </w:r>
      <w:r w:rsidR="001F172D" w:rsidRPr="006A7336">
        <w:rPr>
          <w:rFonts w:ascii="Segoe UI" w:hAnsi="Segoe UI" w:cs="Segoe UI"/>
          <w:sz w:val="22"/>
          <w:lang w:val="en-US"/>
        </w:rPr>
        <w:t xml:space="preserve">ity, with a </w:t>
      </w:r>
      <w:proofErr w:type="spellStart"/>
      <w:r w:rsidR="001F172D" w:rsidRPr="006A7336">
        <w:rPr>
          <w:rFonts w:ascii="Segoe UI" w:hAnsi="Segoe UI" w:cs="Segoe UI"/>
          <w:sz w:val="22"/>
          <w:lang w:val="en-US"/>
        </w:rPr>
        <w:t>EuroSCORE</w:t>
      </w:r>
      <w:proofErr w:type="spellEnd"/>
      <w:r w:rsidR="001F172D" w:rsidRPr="006A7336">
        <w:rPr>
          <w:rFonts w:ascii="Segoe UI" w:hAnsi="Segoe UI" w:cs="Segoe UI"/>
          <w:sz w:val="22"/>
          <w:lang w:val="en-US"/>
        </w:rPr>
        <w:t xml:space="preserve"> II of 3.7±3.5</w:t>
      </w:r>
      <w:r w:rsidRPr="006A7336">
        <w:rPr>
          <w:rFonts w:ascii="Segoe UI" w:hAnsi="Segoe UI" w:cs="Segoe UI"/>
          <w:sz w:val="22"/>
          <w:lang w:val="en-US"/>
        </w:rPr>
        <w:t xml:space="preserve"> and a Charls</w:t>
      </w:r>
      <w:r w:rsidR="001F172D" w:rsidRPr="006A7336">
        <w:rPr>
          <w:rFonts w:ascii="Segoe UI" w:hAnsi="Segoe UI" w:cs="Segoe UI"/>
          <w:sz w:val="22"/>
          <w:lang w:val="en-US"/>
        </w:rPr>
        <w:t>on Comorbidity Index of 5.2±1.6</w:t>
      </w:r>
      <w:r w:rsidRPr="006A7336">
        <w:rPr>
          <w:rFonts w:ascii="Segoe UI" w:hAnsi="Segoe UI" w:cs="Segoe UI"/>
          <w:sz w:val="22"/>
          <w:lang w:val="en-US"/>
        </w:rPr>
        <w:t>.</w:t>
      </w:r>
    </w:p>
    <w:p w14:paraId="4CBA6E93" w14:textId="77777777" w:rsidR="00956960" w:rsidRPr="006A7336" w:rsidRDefault="00956960" w:rsidP="00BA1DF3">
      <w:pPr>
        <w:spacing w:line="360" w:lineRule="auto"/>
        <w:ind w:firstLine="708"/>
        <w:rPr>
          <w:rFonts w:ascii="Segoe UI" w:hAnsi="Segoe UI" w:cs="Segoe UI"/>
          <w:sz w:val="22"/>
          <w:lang w:val="en-US"/>
        </w:rPr>
      </w:pPr>
      <w:r w:rsidRPr="006A7336">
        <w:rPr>
          <w:rFonts w:ascii="Segoe UI" w:hAnsi="Segoe UI" w:cs="Segoe UI"/>
          <w:sz w:val="22"/>
          <w:lang w:val="en-US"/>
        </w:rPr>
        <w:t>The predominant aortic stenosis phenotype in the study population was high-gradient normal-flow (HGNF), observed in 76 patients (67.3%). High-gradient high-flow (HGHF) AS was identified in 21 patients (18.6%), low-flow low-gradient (LFLG) AS in 8 patients (7.1%) and paradoxical low-flow low-gradient (</w:t>
      </w:r>
      <w:proofErr w:type="spellStart"/>
      <w:r w:rsidRPr="006A7336">
        <w:rPr>
          <w:rFonts w:ascii="Segoe UI" w:hAnsi="Segoe UI" w:cs="Segoe UI"/>
          <w:sz w:val="22"/>
          <w:lang w:val="en-US"/>
        </w:rPr>
        <w:t>pLFLG</w:t>
      </w:r>
      <w:proofErr w:type="spellEnd"/>
      <w:r w:rsidRPr="006A7336">
        <w:rPr>
          <w:rFonts w:ascii="Segoe UI" w:hAnsi="Segoe UI" w:cs="Segoe UI"/>
          <w:sz w:val="22"/>
          <w:lang w:val="en-US"/>
        </w:rPr>
        <w:t>) AS in 7 patients (6.2%). Low-flow high-gradient (LFHG) AS was rare and observed in only 1 patient (0.9%).</w:t>
      </w:r>
    </w:p>
    <w:p w14:paraId="2730DC90" w14:textId="77777777" w:rsidR="00A96F13" w:rsidRPr="006A7336" w:rsidRDefault="00A96F13" w:rsidP="00BA1DF3">
      <w:pPr>
        <w:spacing w:line="360" w:lineRule="auto"/>
        <w:ind w:firstLine="708"/>
        <w:rPr>
          <w:rFonts w:ascii="Segoe UI" w:hAnsi="Segoe UI" w:cs="Segoe UI"/>
          <w:sz w:val="22"/>
          <w:lang w:val="en-US"/>
        </w:rPr>
      </w:pPr>
    </w:p>
    <w:p w14:paraId="188A4E04" w14:textId="77777777" w:rsidR="00956960" w:rsidRPr="006A7336" w:rsidRDefault="00AC766C" w:rsidP="00BA1DF3">
      <w:pPr>
        <w:spacing w:line="360" w:lineRule="auto"/>
        <w:rPr>
          <w:rFonts w:ascii="Segoe UI" w:hAnsi="Segoe UI" w:cs="Segoe UI"/>
          <w:sz w:val="22"/>
          <w:lang w:val="en-US"/>
        </w:rPr>
      </w:pPr>
      <w:r w:rsidRPr="006A7336">
        <w:rPr>
          <w:rFonts w:ascii="Segoe UI" w:hAnsi="Segoe UI" w:cs="Segoe UI"/>
          <w:sz w:val="22"/>
          <w:lang w:val="en-US"/>
        </w:rPr>
        <w:t>Table 1. Sociodemographic and clinical characteristics of the subjects</w:t>
      </w:r>
    </w:p>
    <w:tbl>
      <w:tblPr>
        <w:tblpPr w:leftFromText="141" w:rightFromText="141" w:vertAnchor="text" w:horzAnchor="margin" w:tblpY="-1439"/>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20" w:firstRow="1" w:lastRow="0" w:firstColumn="0" w:lastColumn="0" w:noHBand="0" w:noVBand="1"/>
      </w:tblPr>
      <w:tblGrid>
        <w:gridCol w:w="2410"/>
        <w:gridCol w:w="3412"/>
        <w:gridCol w:w="2400"/>
      </w:tblGrid>
      <w:tr w:rsidR="00956960" w:rsidRPr="006A7336" w14:paraId="7329B583" w14:textId="77777777">
        <w:trPr>
          <w:tblHeader/>
        </w:trPr>
        <w:tc>
          <w:tcPr>
            <w:tcW w:w="5822" w:type="dxa"/>
            <w:gridSpan w:val="2"/>
            <w:shd w:val="clear" w:color="auto" w:fill="D1D1D1"/>
            <w:tcMar>
              <w:top w:w="0" w:type="dxa"/>
              <w:left w:w="0" w:type="dxa"/>
              <w:bottom w:w="0" w:type="dxa"/>
              <w:right w:w="0" w:type="dxa"/>
            </w:tcMar>
            <w:vAlign w:val="center"/>
          </w:tcPr>
          <w:p w14:paraId="0CDFB0CB"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b/>
                <w:sz w:val="18"/>
                <w:szCs w:val="18"/>
              </w:rPr>
              <w:lastRenderedPageBreak/>
              <w:t>Parameter</w:t>
            </w:r>
            <w:proofErr w:type="spellEnd"/>
          </w:p>
        </w:tc>
        <w:tc>
          <w:tcPr>
            <w:tcW w:w="2400" w:type="dxa"/>
            <w:shd w:val="clear" w:color="auto" w:fill="D1D1D1"/>
            <w:tcMar>
              <w:top w:w="0" w:type="dxa"/>
              <w:left w:w="0" w:type="dxa"/>
              <w:bottom w:w="0" w:type="dxa"/>
              <w:right w:w="0" w:type="dxa"/>
            </w:tcMar>
            <w:vAlign w:val="center"/>
          </w:tcPr>
          <w:p w14:paraId="7C8E1E34"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b/>
                <w:sz w:val="18"/>
                <w:szCs w:val="18"/>
              </w:rPr>
              <w:t>Total (N=113)</w:t>
            </w:r>
          </w:p>
        </w:tc>
      </w:tr>
      <w:tr w:rsidR="00956960" w:rsidRPr="006A7336" w14:paraId="568F385C" w14:textId="77777777" w:rsidTr="00A96F13">
        <w:tc>
          <w:tcPr>
            <w:tcW w:w="2410" w:type="dxa"/>
            <w:vMerge w:val="restart"/>
            <w:shd w:val="clear" w:color="auto" w:fill="FFFFFF"/>
            <w:tcMar>
              <w:top w:w="0" w:type="dxa"/>
              <w:left w:w="0" w:type="dxa"/>
              <w:bottom w:w="0" w:type="dxa"/>
              <w:right w:w="0" w:type="dxa"/>
            </w:tcMar>
            <w:vAlign w:val="center"/>
          </w:tcPr>
          <w:p w14:paraId="22254FEA"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Sex</w:t>
            </w:r>
          </w:p>
        </w:tc>
        <w:tc>
          <w:tcPr>
            <w:tcW w:w="3412" w:type="dxa"/>
            <w:shd w:val="clear" w:color="auto" w:fill="FFFFFF"/>
            <w:tcMar>
              <w:top w:w="0" w:type="dxa"/>
              <w:left w:w="0" w:type="dxa"/>
              <w:bottom w:w="0" w:type="dxa"/>
              <w:right w:w="0" w:type="dxa"/>
            </w:tcMar>
            <w:vAlign w:val="center"/>
          </w:tcPr>
          <w:p w14:paraId="0C777816"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Male</w:t>
            </w:r>
          </w:p>
        </w:tc>
        <w:tc>
          <w:tcPr>
            <w:tcW w:w="2400" w:type="dxa"/>
            <w:shd w:val="clear" w:color="auto" w:fill="FFFFFF"/>
            <w:tcMar>
              <w:top w:w="0" w:type="dxa"/>
              <w:left w:w="0" w:type="dxa"/>
              <w:bottom w:w="0" w:type="dxa"/>
              <w:right w:w="0" w:type="dxa"/>
            </w:tcMar>
            <w:vAlign w:val="center"/>
          </w:tcPr>
          <w:p w14:paraId="5E46A0AF"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54 (48%)</w:t>
            </w:r>
          </w:p>
        </w:tc>
      </w:tr>
      <w:tr w:rsidR="00956960" w:rsidRPr="006A7336" w14:paraId="30A47498" w14:textId="77777777" w:rsidTr="00A96F13">
        <w:tc>
          <w:tcPr>
            <w:tcW w:w="2410" w:type="dxa"/>
            <w:vMerge/>
            <w:shd w:val="clear" w:color="auto" w:fill="FFFFFF"/>
            <w:tcMar>
              <w:top w:w="0" w:type="dxa"/>
              <w:left w:w="0" w:type="dxa"/>
              <w:bottom w:w="0" w:type="dxa"/>
              <w:right w:w="0" w:type="dxa"/>
            </w:tcMar>
            <w:vAlign w:val="center"/>
          </w:tcPr>
          <w:p w14:paraId="4F71F2A5"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617679E2"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Female</w:t>
            </w:r>
            <w:proofErr w:type="spellEnd"/>
          </w:p>
        </w:tc>
        <w:tc>
          <w:tcPr>
            <w:tcW w:w="2400" w:type="dxa"/>
            <w:shd w:val="clear" w:color="auto" w:fill="FFFFFF"/>
            <w:tcMar>
              <w:top w:w="0" w:type="dxa"/>
              <w:left w:w="0" w:type="dxa"/>
              <w:bottom w:w="0" w:type="dxa"/>
              <w:right w:w="0" w:type="dxa"/>
            </w:tcMar>
            <w:vAlign w:val="center"/>
          </w:tcPr>
          <w:p w14:paraId="192EBA0E"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59 (52%)</w:t>
            </w:r>
          </w:p>
        </w:tc>
      </w:tr>
      <w:tr w:rsidR="00956960" w:rsidRPr="006A7336" w14:paraId="2F48C8BF" w14:textId="77777777" w:rsidTr="00A96F13">
        <w:tc>
          <w:tcPr>
            <w:tcW w:w="2410" w:type="dxa"/>
            <w:vMerge w:val="restart"/>
            <w:shd w:val="clear" w:color="auto" w:fill="FFFFFF"/>
            <w:tcMar>
              <w:top w:w="0" w:type="dxa"/>
              <w:left w:w="0" w:type="dxa"/>
              <w:bottom w:w="0" w:type="dxa"/>
              <w:right w:w="0" w:type="dxa"/>
            </w:tcMar>
            <w:vAlign w:val="center"/>
          </w:tcPr>
          <w:p w14:paraId="3019A5F7"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Age [</w:t>
            </w:r>
            <w:proofErr w:type="spellStart"/>
            <w:r w:rsidRPr="006A7336">
              <w:rPr>
                <w:rFonts w:ascii="Segoe UI" w:hAnsi="Segoe UI" w:cs="Segoe UI"/>
                <w:sz w:val="18"/>
                <w:szCs w:val="18"/>
              </w:rPr>
              <w:t>years</w:t>
            </w:r>
            <w:proofErr w:type="spellEnd"/>
            <w:r w:rsidRPr="006A7336">
              <w:rPr>
                <w:rFonts w:ascii="Segoe UI" w:hAnsi="Segoe UI" w:cs="Segoe UI"/>
                <w:sz w:val="18"/>
                <w:szCs w:val="18"/>
              </w:rPr>
              <w:t>]</w:t>
            </w:r>
          </w:p>
        </w:tc>
        <w:tc>
          <w:tcPr>
            <w:tcW w:w="3412" w:type="dxa"/>
            <w:shd w:val="clear" w:color="auto" w:fill="FFFFFF"/>
            <w:tcMar>
              <w:top w:w="0" w:type="dxa"/>
              <w:left w:w="0" w:type="dxa"/>
              <w:bottom w:w="0" w:type="dxa"/>
              <w:right w:w="0" w:type="dxa"/>
            </w:tcMar>
            <w:vAlign w:val="center"/>
          </w:tcPr>
          <w:p w14:paraId="6300B7CA"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Mean</w:t>
            </w:r>
            <w:proofErr w:type="spellEnd"/>
            <w:r w:rsidRPr="006A7336">
              <w:rPr>
                <w:rFonts w:ascii="Segoe UI" w:hAnsi="Segoe UI" w:cs="Segoe UI"/>
                <w:sz w:val="18"/>
                <w:szCs w:val="18"/>
              </w:rPr>
              <w:t xml:space="preserve"> (SD)</w:t>
            </w:r>
          </w:p>
        </w:tc>
        <w:tc>
          <w:tcPr>
            <w:tcW w:w="2400" w:type="dxa"/>
            <w:shd w:val="clear" w:color="auto" w:fill="FFFFFF"/>
            <w:tcMar>
              <w:top w:w="0" w:type="dxa"/>
              <w:left w:w="0" w:type="dxa"/>
              <w:bottom w:w="0" w:type="dxa"/>
              <w:right w:w="0" w:type="dxa"/>
            </w:tcMar>
            <w:vAlign w:val="center"/>
          </w:tcPr>
          <w:p w14:paraId="2D97B007"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77.3</w:t>
            </w:r>
            <w:r w:rsidR="00956960" w:rsidRPr="006A7336">
              <w:rPr>
                <w:rFonts w:ascii="Segoe UI" w:hAnsi="Segoe UI" w:cs="Segoe UI"/>
                <w:sz w:val="18"/>
                <w:szCs w:val="18"/>
              </w:rPr>
              <w:t>0</w:t>
            </w:r>
            <w:r w:rsidRPr="006A7336">
              <w:rPr>
                <w:rFonts w:ascii="Segoe UI" w:hAnsi="Segoe UI" w:cs="Segoe UI"/>
                <w:sz w:val="18"/>
                <w:szCs w:val="18"/>
              </w:rPr>
              <w:t xml:space="preserve"> (6.9</w:t>
            </w:r>
            <w:r w:rsidR="00956960" w:rsidRPr="006A7336">
              <w:rPr>
                <w:rFonts w:ascii="Segoe UI" w:hAnsi="Segoe UI" w:cs="Segoe UI"/>
                <w:sz w:val="18"/>
                <w:szCs w:val="18"/>
              </w:rPr>
              <w:t>0</w:t>
            </w:r>
            <w:r w:rsidRPr="006A7336">
              <w:rPr>
                <w:rFonts w:ascii="Segoe UI" w:hAnsi="Segoe UI" w:cs="Segoe UI"/>
                <w:sz w:val="18"/>
                <w:szCs w:val="18"/>
              </w:rPr>
              <w:t>)</w:t>
            </w:r>
          </w:p>
        </w:tc>
      </w:tr>
      <w:tr w:rsidR="00956960" w:rsidRPr="006A7336" w14:paraId="7FF3A58B" w14:textId="77777777" w:rsidTr="00A96F13">
        <w:tc>
          <w:tcPr>
            <w:tcW w:w="2410" w:type="dxa"/>
            <w:vMerge/>
            <w:shd w:val="clear" w:color="auto" w:fill="FFFFFF"/>
            <w:tcMar>
              <w:top w:w="0" w:type="dxa"/>
              <w:left w:w="0" w:type="dxa"/>
              <w:bottom w:w="0" w:type="dxa"/>
              <w:right w:w="0" w:type="dxa"/>
            </w:tcMar>
            <w:vAlign w:val="center"/>
          </w:tcPr>
          <w:p w14:paraId="164A16D0"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tcPr>
          <w:p w14:paraId="3359F1B8"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Median (</w:t>
            </w:r>
            <w:proofErr w:type="spellStart"/>
            <w:r w:rsidRPr="006A7336">
              <w:rPr>
                <w:rFonts w:ascii="Segoe UI" w:hAnsi="Segoe UI" w:cs="Segoe UI"/>
                <w:sz w:val="18"/>
                <w:szCs w:val="18"/>
              </w:rPr>
              <w:t>quartiles</w:t>
            </w:r>
            <w:proofErr w:type="spellEnd"/>
            <w:r w:rsidRPr="006A7336">
              <w:rPr>
                <w:rFonts w:ascii="Segoe UI" w:hAnsi="Segoe UI" w:cs="Segoe UI"/>
                <w:sz w:val="18"/>
                <w:szCs w:val="18"/>
              </w:rPr>
              <w:t>)</w:t>
            </w:r>
          </w:p>
        </w:tc>
        <w:tc>
          <w:tcPr>
            <w:tcW w:w="2400" w:type="dxa"/>
            <w:shd w:val="clear" w:color="auto" w:fill="FFFFFF"/>
            <w:tcMar>
              <w:top w:w="0" w:type="dxa"/>
              <w:left w:w="0" w:type="dxa"/>
              <w:bottom w:w="0" w:type="dxa"/>
              <w:right w:w="0" w:type="dxa"/>
            </w:tcMar>
          </w:tcPr>
          <w:p w14:paraId="1C9AF69D"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77 (74–82)</w:t>
            </w:r>
          </w:p>
        </w:tc>
      </w:tr>
      <w:tr w:rsidR="00956960" w:rsidRPr="006A7336" w14:paraId="33C2E901" w14:textId="77777777" w:rsidTr="00A96F13">
        <w:tc>
          <w:tcPr>
            <w:tcW w:w="2410" w:type="dxa"/>
            <w:vMerge/>
            <w:shd w:val="clear" w:color="auto" w:fill="FFFFFF"/>
            <w:tcMar>
              <w:top w:w="0" w:type="dxa"/>
              <w:left w:w="0" w:type="dxa"/>
              <w:bottom w:w="0" w:type="dxa"/>
              <w:right w:w="0" w:type="dxa"/>
            </w:tcMar>
            <w:vAlign w:val="center"/>
          </w:tcPr>
          <w:p w14:paraId="4122D4C2"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tcPr>
          <w:p w14:paraId="7048FBB4"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Range</w:t>
            </w:r>
            <w:proofErr w:type="spellEnd"/>
          </w:p>
        </w:tc>
        <w:tc>
          <w:tcPr>
            <w:tcW w:w="2400" w:type="dxa"/>
            <w:shd w:val="clear" w:color="auto" w:fill="FFFFFF"/>
            <w:tcMar>
              <w:top w:w="0" w:type="dxa"/>
              <w:left w:w="0" w:type="dxa"/>
              <w:bottom w:w="0" w:type="dxa"/>
              <w:right w:w="0" w:type="dxa"/>
            </w:tcMar>
            <w:vAlign w:val="center"/>
          </w:tcPr>
          <w:p w14:paraId="3AED1171"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65-91</w:t>
            </w:r>
          </w:p>
        </w:tc>
      </w:tr>
      <w:tr w:rsidR="00956960" w:rsidRPr="006A7336" w14:paraId="6DDD165E" w14:textId="77777777" w:rsidTr="00A96F13">
        <w:tc>
          <w:tcPr>
            <w:tcW w:w="2410" w:type="dxa"/>
            <w:vMerge w:val="restart"/>
            <w:shd w:val="clear" w:color="auto" w:fill="FFFFFF"/>
            <w:tcMar>
              <w:top w:w="0" w:type="dxa"/>
              <w:left w:w="0" w:type="dxa"/>
              <w:bottom w:w="0" w:type="dxa"/>
              <w:right w:w="0" w:type="dxa"/>
            </w:tcMar>
            <w:vAlign w:val="center"/>
          </w:tcPr>
          <w:p w14:paraId="577193BE"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Marital</w:t>
            </w:r>
            <w:proofErr w:type="spellEnd"/>
            <w:r w:rsidRPr="006A7336">
              <w:rPr>
                <w:rFonts w:ascii="Segoe UI" w:hAnsi="Segoe UI" w:cs="Segoe UI"/>
                <w:sz w:val="18"/>
                <w:szCs w:val="18"/>
              </w:rPr>
              <w:t xml:space="preserve"> status</w:t>
            </w:r>
          </w:p>
        </w:tc>
        <w:tc>
          <w:tcPr>
            <w:tcW w:w="3412" w:type="dxa"/>
            <w:shd w:val="clear" w:color="auto" w:fill="FFFFFF"/>
            <w:tcMar>
              <w:top w:w="0" w:type="dxa"/>
              <w:left w:w="0" w:type="dxa"/>
              <w:bottom w:w="0" w:type="dxa"/>
              <w:right w:w="0" w:type="dxa"/>
            </w:tcMar>
            <w:vAlign w:val="center"/>
          </w:tcPr>
          <w:p w14:paraId="3B3DCBB2"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 xml:space="preserve">In a </w:t>
            </w:r>
            <w:proofErr w:type="spellStart"/>
            <w:r w:rsidRPr="006A7336">
              <w:rPr>
                <w:rFonts w:ascii="Segoe UI" w:hAnsi="Segoe UI" w:cs="Segoe UI"/>
                <w:sz w:val="18"/>
                <w:szCs w:val="18"/>
              </w:rPr>
              <w:t>relationship</w:t>
            </w:r>
            <w:proofErr w:type="spellEnd"/>
            <w:r w:rsidRPr="006A7336">
              <w:rPr>
                <w:rFonts w:ascii="Segoe UI" w:hAnsi="Segoe UI" w:cs="Segoe UI"/>
                <w:sz w:val="18"/>
                <w:szCs w:val="18"/>
              </w:rPr>
              <w:t>/</w:t>
            </w:r>
            <w:proofErr w:type="spellStart"/>
            <w:r w:rsidRPr="006A7336">
              <w:rPr>
                <w:rFonts w:ascii="Segoe UI" w:hAnsi="Segoe UI" w:cs="Segoe UI"/>
                <w:sz w:val="18"/>
                <w:szCs w:val="18"/>
              </w:rPr>
              <w:t>married</w:t>
            </w:r>
            <w:proofErr w:type="spellEnd"/>
          </w:p>
        </w:tc>
        <w:tc>
          <w:tcPr>
            <w:tcW w:w="2400" w:type="dxa"/>
            <w:shd w:val="clear" w:color="auto" w:fill="FFFFFF"/>
            <w:tcMar>
              <w:top w:w="0" w:type="dxa"/>
              <w:left w:w="0" w:type="dxa"/>
              <w:bottom w:w="0" w:type="dxa"/>
              <w:right w:w="0" w:type="dxa"/>
            </w:tcMar>
            <w:vAlign w:val="center"/>
          </w:tcPr>
          <w:p w14:paraId="4CBC462D"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55 (49%)</w:t>
            </w:r>
          </w:p>
        </w:tc>
      </w:tr>
      <w:tr w:rsidR="00956960" w:rsidRPr="006A7336" w14:paraId="1186375F" w14:textId="77777777" w:rsidTr="00A96F13">
        <w:tc>
          <w:tcPr>
            <w:tcW w:w="2410" w:type="dxa"/>
            <w:vMerge/>
            <w:shd w:val="clear" w:color="auto" w:fill="FFFFFF"/>
            <w:tcMar>
              <w:top w:w="0" w:type="dxa"/>
              <w:left w:w="0" w:type="dxa"/>
              <w:bottom w:w="0" w:type="dxa"/>
              <w:right w:w="0" w:type="dxa"/>
            </w:tcMar>
            <w:vAlign w:val="center"/>
          </w:tcPr>
          <w:p w14:paraId="55B0152D"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5F293118"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Unmarried</w:t>
            </w:r>
            <w:proofErr w:type="spellEnd"/>
          </w:p>
        </w:tc>
        <w:tc>
          <w:tcPr>
            <w:tcW w:w="2400" w:type="dxa"/>
            <w:shd w:val="clear" w:color="auto" w:fill="FFFFFF"/>
            <w:tcMar>
              <w:top w:w="0" w:type="dxa"/>
              <w:left w:w="0" w:type="dxa"/>
              <w:bottom w:w="0" w:type="dxa"/>
              <w:right w:w="0" w:type="dxa"/>
            </w:tcMar>
            <w:vAlign w:val="center"/>
          </w:tcPr>
          <w:p w14:paraId="4A4D4614"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9 (8%)</w:t>
            </w:r>
          </w:p>
        </w:tc>
      </w:tr>
      <w:tr w:rsidR="00956960" w:rsidRPr="006A7336" w14:paraId="7E7F8D40" w14:textId="77777777" w:rsidTr="00A96F13">
        <w:tc>
          <w:tcPr>
            <w:tcW w:w="2410" w:type="dxa"/>
            <w:vMerge/>
            <w:shd w:val="clear" w:color="auto" w:fill="FFFFFF"/>
            <w:tcMar>
              <w:top w:w="0" w:type="dxa"/>
              <w:left w:w="0" w:type="dxa"/>
              <w:bottom w:w="0" w:type="dxa"/>
              <w:right w:w="0" w:type="dxa"/>
            </w:tcMar>
            <w:vAlign w:val="center"/>
          </w:tcPr>
          <w:p w14:paraId="650703A3"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59237308"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Separated</w:t>
            </w:r>
            <w:proofErr w:type="spellEnd"/>
            <w:r w:rsidRPr="006A7336">
              <w:rPr>
                <w:rFonts w:ascii="Segoe UI" w:hAnsi="Segoe UI" w:cs="Segoe UI"/>
                <w:sz w:val="18"/>
                <w:szCs w:val="18"/>
              </w:rPr>
              <w:t>/</w:t>
            </w:r>
            <w:proofErr w:type="spellStart"/>
            <w:r w:rsidRPr="006A7336">
              <w:rPr>
                <w:rFonts w:ascii="Segoe UI" w:hAnsi="Segoe UI" w:cs="Segoe UI"/>
                <w:sz w:val="18"/>
                <w:szCs w:val="18"/>
              </w:rPr>
              <w:t>divorced</w:t>
            </w:r>
            <w:proofErr w:type="spellEnd"/>
          </w:p>
        </w:tc>
        <w:tc>
          <w:tcPr>
            <w:tcW w:w="2400" w:type="dxa"/>
            <w:shd w:val="clear" w:color="auto" w:fill="FFFFFF"/>
            <w:tcMar>
              <w:top w:w="0" w:type="dxa"/>
              <w:left w:w="0" w:type="dxa"/>
              <w:bottom w:w="0" w:type="dxa"/>
              <w:right w:w="0" w:type="dxa"/>
            </w:tcMar>
            <w:vAlign w:val="center"/>
          </w:tcPr>
          <w:p w14:paraId="4000EC8C"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 (3%)</w:t>
            </w:r>
          </w:p>
        </w:tc>
      </w:tr>
      <w:tr w:rsidR="00956960" w:rsidRPr="006A7336" w14:paraId="40ADA2CE" w14:textId="77777777" w:rsidTr="00A96F13">
        <w:tc>
          <w:tcPr>
            <w:tcW w:w="2410" w:type="dxa"/>
            <w:vMerge/>
            <w:shd w:val="clear" w:color="auto" w:fill="FFFFFF"/>
            <w:tcMar>
              <w:top w:w="0" w:type="dxa"/>
              <w:left w:w="0" w:type="dxa"/>
              <w:bottom w:w="0" w:type="dxa"/>
              <w:right w:w="0" w:type="dxa"/>
            </w:tcMar>
            <w:vAlign w:val="center"/>
          </w:tcPr>
          <w:p w14:paraId="7E5ABAA5"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79B74971"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Widowed</w:t>
            </w:r>
            <w:proofErr w:type="spellEnd"/>
          </w:p>
        </w:tc>
        <w:tc>
          <w:tcPr>
            <w:tcW w:w="2400" w:type="dxa"/>
            <w:shd w:val="clear" w:color="auto" w:fill="FFFFFF"/>
            <w:tcMar>
              <w:top w:w="0" w:type="dxa"/>
              <w:left w:w="0" w:type="dxa"/>
              <w:bottom w:w="0" w:type="dxa"/>
              <w:right w:w="0" w:type="dxa"/>
            </w:tcMar>
            <w:vAlign w:val="center"/>
          </w:tcPr>
          <w:p w14:paraId="07897DD9"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46 (41.%)</w:t>
            </w:r>
          </w:p>
        </w:tc>
      </w:tr>
      <w:tr w:rsidR="00956960" w:rsidRPr="006A7336" w14:paraId="07EC9C94" w14:textId="77777777" w:rsidTr="00A96F13">
        <w:tc>
          <w:tcPr>
            <w:tcW w:w="2410" w:type="dxa"/>
            <w:vMerge w:val="restart"/>
            <w:shd w:val="clear" w:color="auto" w:fill="FFFFFF"/>
            <w:tcMar>
              <w:top w:w="0" w:type="dxa"/>
              <w:left w:w="0" w:type="dxa"/>
              <w:bottom w:w="0" w:type="dxa"/>
              <w:right w:w="0" w:type="dxa"/>
            </w:tcMar>
            <w:vAlign w:val="center"/>
          </w:tcPr>
          <w:p w14:paraId="604BA2C8"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Education</w:t>
            </w:r>
            <w:proofErr w:type="spellEnd"/>
          </w:p>
        </w:tc>
        <w:tc>
          <w:tcPr>
            <w:tcW w:w="3412" w:type="dxa"/>
            <w:shd w:val="clear" w:color="auto" w:fill="FFFFFF"/>
            <w:tcMar>
              <w:top w:w="0" w:type="dxa"/>
              <w:left w:w="0" w:type="dxa"/>
              <w:bottom w:w="0" w:type="dxa"/>
              <w:right w:w="0" w:type="dxa"/>
            </w:tcMar>
            <w:vAlign w:val="center"/>
          </w:tcPr>
          <w:p w14:paraId="50B0CCB7"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None</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or</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primary</w:t>
            </w:r>
            <w:proofErr w:type="spellEnd"/>
          </w:p>
        </w:tc>
        <w:tc>
          <w:tcPr>
            <w:tcW w:w="2400" w:type="dxa"/>
            <w:shd w:val="clear" w:color="auto" w:fill="FFFFFF"/>
            <w:tcMar>
              <w:top w:w="0" w:type="dxa"/>
              <w:left w:w="0" w:type="dxa"/>
              <w:bottom w:w="0" w:type="dxa"/>
              <w:right w:w="0" w:type="dxa"/>
            </w:tcMar>
            <w:vAlign w:val="center"/>
          </w:tcPr>
          <w:p w14:paraId="29AA5E33"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29 (26.%)</w:t>
            </w:r>
          </w:p>
        </w:tc>
      </w:tr>
      <w:tr w:rsidR="00956960" w:rsidRPr="006A7336" w14:paraId="2810D311" w14:textId="77777777" w:rsidTr="00A96F13">
        <w:tc>
          <w:tcPr>
            <w:tcW w:w="2410" w:type="dxa"/>
            <w:vMerge/>
            <w:shd w:val="clear" w:color="auto" w:fill="FFFFFF"/>
            <w:tcMar>
              <w:top w:w="0" w:type="dxa"/>
              <w:left w:w="0" w:type="dxa"/>
              <w:bottom w:w="0" w:type="dxa"/>
              <w:right w:w="0" w:type="dxa"/>
            </w:tcMar>
            <w:vAlign w:val="center"/>
          </w:tcPr>
          <w:p w14:paraId="1B3F8946"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6F81FC0C"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Secondary</w:t>
            </w:r>
            <w:proofErr w:type="spellEnd"/>
          </w:p>
        </w:tc>
        <w:tc>
          <w:tcPr>
            <w:tcW w:w="2400" w:type="dxa"/>
            <w:shd w:val="clear" w:color="auto" w:fill="FFFFFF"/>
            <w:tcMar>
              <w:top w:w="0" w:type="dxa"/>
              <w:left w:w="0" w:type="dxa"/>
              <w:bottom w:w="0" w:type="dxa"/>
              <w:right w:w="0" w:type="dxa"/>
            </w:tcMar>
            <w:vAlign w:val="center"/>
          </w:tcPr>
          <w:p w14:paraId="68AF4C59"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54 (48.%)</w:t>
            </w:r>
          </w:p>
        </w:tc>
      </w:tr>
      <w:tr w:rsidR="00956960" w:rsidRPr="006A7336" w14:paraId="357E1891" w14:textId="77777777" w:rsidTr="00A96F13">
        <w:tc>
          <w:tcPr>
            <w:tcW w:w="2410" w:type="dxa"/>
            <w:vMerge/>
            <w:shd w:val="clear" w:color="auto" w:fill="FFFFFF"/>
            <w:tcMar>
              <w:top w:w="0" w:type="dxa"/>
              <w:left w:w="0" w:type="dxa"/>
              <w:bottom w:w="0" w:type="dxa"/>
              <w:right w:w="0" w:type="dxa"/>
            </w:tcMar>
            <w:vAlign w:val="center"/>
          </w:tcPr>
          <w:p w14:paraId="287DF9C3"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03E3655E"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Higher</w:t>
            </w:r>
            <w:proofErr w:type="spellEnd"/>
          </w:p>
        </w:tc>
        <w:tc>
          <w:tcPr>
            <w:tcW w:w="2400" w:type="dxa"/>
            <w:shd w:val="clear" w:color="auto" w:fill="FFFFFF"/>
            <w:tcMar>
              <w:top w:w="0" w:type="dxa"/>
              <w:left w:w="0" w:type="dxa"/>
              <w:bottom w:w="0" w:type="dxa"/>
              <w:right w:w="0" w:type="dxa"/>
            </w:tcMar>
            <w:vAlign w:val="center"/>
          </w:tcPr>
          <w:p w14:paraId="45B46B1D"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30 (26.%)</w:t>
            </w:r>
          </w:p>
        </w:tc>
      </w:tr>
      <w:tr w:rsidR="00956960" w:rsidRPr="006A7336" w14:paraId="5D8EE17F" w14:textId="77777777" w:rsidTr="00A96F13">
        <w:tc>
          <w:tcPr>
            <w:tcW w:w="2410" w:type="dxa"/>
            <w:shd w:val="clear" w:color="auto" w:fill="FFFFFF"/>
            <w:tcMar>
              <w:top w:w="0" w:type="dxa"/>
              <w:left w:w="0" w:type="dxa"/>
              <w:bottom w:w="0" w:type="dxa"/>
              <w:right w:w="0" w:type="dxa"/>
            </w:tcMar>
            <w:vAlign w:val="center"/>
          </w:tcPr>
          <w:p w14:paraId="41815522"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BMI [kg/m²]</w:t>
            </w:r>
          </w:p>
        </w:tc>
        <w:tc>
          <w:tcPr>
            <w:tcW w:w="3412" w:type="dxa"/>
            <w:shd w:val="clear" w:color="auto" w:fill="FFFFFF"/>
            <w:tcMar>
              <w:top w:w="0" w:type="dxa"/>
              <w:left w:w="0" w:type="dxa"/>
              <w:bottom w:w="0" w:type="dxa"/>
              <w:right w:w="0" w:type="dxa"/>
            </w:tcMar>
            <w:vAlign w:val="center"/>
          </w:tcPr>
          <w:p w14:paraId="19ABC6C1"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Mean</w:t>
            </w:r>
            <w:proofErr w:type="spellEnd"/>
            <w:r w:rsidRPr="006A7336">
              <w:rPr>
                <w:rFonts w:ascii="Segoe UI" w:hAnsi="Segoe UI" w:cs="Segoe UI"/>
                <w:sz w:val="18"/>
                <w:szCs w:val="18"/>
              </w:rPr>
              <w:t xml:space="preserve"> (SD)</w:t>
            </w:r>
          </w:p>
        </w:tc>
        <w:tc>
          <w:tcPr>
            <w:tcW w:w="2400" w:type="dxa"/>
            <w:shd w:val="clear" w:color="auto" w:fill="FFFFFF"/>
            <w:tcMar>
              <w:top w:w="0" w:type="dxa"/>
              <w:left w:w="0" w:type="dxa"/>
              <w:bottom w:w="0" w:type="dxa"/>
              <w:right w:w="0" w:type="dxa"/>
            </w:tcMar>
            <w:vAlign w:val="center"/>
          </w:tcPr>
          <w:p w14:paraId="6DF4A5F0"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28.9</w:t>
            </w:r>
            <w:r w:rsidR="00956960" w:rsidRPr="006A7336">
              <w:rPr>
                <w:rFonts w:ascii="Segoe UI" w:hAnsi="Segoe UI" w:cs="Segoe UI"/>
                <w:sz w:val="18"/>
                <w:szCs w:val="18"/>
              </w:rPr>
              <w:t>0</w:t>
            </w:r>
            <w:r w:rsidRPr="006A7336">
              <w:rPr>
                <w:rFonts w:ascii="Segoe UI" w:hAnsi="Segoe UI" w:cs="Segoe UI"/>
                <w:sz w:val="18"/>
                <w:szCs w:val="18"/>
              </w:rPr>
              <w:t xml:space="preserve"> (5.</w:t>
            </w:r>
            <w:r w:rsidR="00956960" w:rsidRPr="006A7336">
              <w:rPr>
                <w:rFonts w:ascii="Segoe UI" w:hAnsi="Segoe UI" w:cs="Segoe UI"/>
                <w:sz w:val="18"/>
                <w:szCs w:val="18"/>
              </w:rPr>
              <w:t>0</w:t>
            </w:r>
            <w:r w:rsidRPr="006A7336">
              <w:rPr>
                <w:rFonts w:ascii="Segoe UI" w:hAnsi="Segoe UI" w:cs="Segoe UI"/>
                <w:sz w:val="18"/>
                <w:szCs w:val="18"/>
              </w:rPr>
              <w:t>0)</w:t>
            </w:r>
          </w:p>
        </w:tc>
      </w:tr>
      <w:tr w:rsidR="00956960" w:rsidRPr="006A7336" w14:paraId="417F2E99" w14:textId="77777777" w:rsidTr="00A96F13">
        <w:tc>
          <w:tcPr>
            <w:tcW w:w="2410" w:type="dxa"/>
            <w:vMerge w:val="restart"/>
            <w:shd w:val="clear" w:color="auto" w:fill="FFFFFF"/>
            <w:tcMar>
              <w:top w:w="0" w:type="dxa"/>
              <w:left w:w="0" w:type="dxa"/>
              <w:bottom w:w="0" w:type="dxa"/>
              <w:right w:w="0" w:type="dxa"/>
            </w:tcMar>
            <w:vAlign w:val="center"/>
          </w:tcPr>
          <w:p w14:paraId="4D6DA1F9"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Comorbidities</w:t>
            </w:r>
            <w:proofErr w:type="spellEnd"/>
          </w:p>
        </w:tc>
        <w:tc>
          <w:tcPr>
            <w:tcW w:w="3412" w:type="dxa"/>
            <w:shd w:val="clear" w:color="auto" w:fill="FFFFFF"/>
            <w:tcMar>
              <w:top w:w="0" w:type="dxa"/>
              <w:left w:w="0" w:type="dxa"/>
              <w:bottom w:w="0" w:type="dxa"/>
              <w:right w:w="0" w:type="dxa"/>
            </w:tcMar>
            <w:vAlign w:val="center"/>
          </w:tcPr>
          <w:p w14:paraId="01EBA953"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Previous</w:t>
            </w:r>
            <w:proofErr w:type="spellEnd"/>
            <w:r w:rsidRPr="006A7336">
              <w:rPr>
                <w:rFonts w:ascii="Segoe UI" w:hAnsi="Segoe UI" w:cs="Segoe UI"/>
                <w:sz w:val="18"/>
                <w:szCs w:val="18"/>
              </w:rPr>
              <w:t xml:space="preserve"> MI</w:t>
            </w:r>
          </w:p>
        </w:tc>
        <w:tc>
          <w:tcPr>
            <w:tcW w:w="2400" w:type="dxa"/>
            <w:shd w:val="clear" w:color="auto" w:fill="FFFFFF"/>
            <w:tcMar>
              <w:top w:w="0" w:type="dxa"/>
              <w:left w:w="0" w:type="dxa"/>
              <w:bottom w:w="0" w:type="dxa"/>
              <w:right w:w="0" w:type="dxa"/>
            </w:tcMar>
            <w:vAlign w:val="center"/>
          </w:tcPr>
          <w:p w14:paraId="48CB7CCA"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19 (17%)</w:t>
            </w:r>
          </w:p>
        </w:tc>
      </w:tr>
      <w:tr w:rsidR="00956960" w:rsidRPr="006A7336" w14:paraId="3DF49116" w14:textId="77777777" w:rsidTr="00A96F13">
        <w:tc>
          <w:tcPr>
            <w:tcW w:w="2410" w:type="dxa"/>
            <w:vMerge/>
            <w:shd w:val="clear" w:color="auto" w:fill="FFFFFF"/>
            <w:tcMar>
              <w:top w:w="0" w:type="dxa"/>
              <w:left w:w="0" w:type="dxa"/>
              <w:bottom w:w="0" w:type="dxa"/>
              <w:right w:w="0" w:type="dxa"/>
            </w:tcMar>
            <w:vAlign w:val="center"/>
          </w:tcPr>
          <w:p w14:paraId="472B6C90"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67F0A701"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AF</w:t>
            </w:r>
          </w:p>
        </w:tc>
        <w:tc>
          <w:tcPr>
            <w:tcW w:w="2400" w:type="dxa"/>
            <w:shd w:val="clear" w:color="auto" w:fill="FFFFFF"/>
            <w:tcMar>
              <w:top w:w="0" w:type="dxa"/>
              <w:left w:w="0" w:type="dxa"/>
              <w:bottom w:w="0" w:type="dxa"/>
              <w:right w:w="0" w:type="dxa"/>
            </w:tcMar>
            <w:vAlign w:val="center"/>
          </w:tcPr>
          <w:p w14:paraId="1643B146"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42 (37%)</w:t>
            </w:r>
          </w:p>
        </w:tc>
      </w:tr>
      <w:tr w:rsidR="00956960" w:rsidRPr="006A7336" w14:paraId="256ECF92" w14:textId="77777777" w:rsidTr="00A96F13">
        <w:tc>
          <w:tcPr>
            <w:tcW w:w="2410" w:type="dxa"/>
            <w:vMerge/>
            <w:shd w:val="clear" w:color="auto" w:fill="FFFFFF"/>
            <w:tcMar>
              <w:top w:w="0" w:type="dxa"/>
              <w:left w:w="0" w:type="dxa"/>
              <w:bottom w:w="0" w:type="dxa"/>
              <w:right w:w="0" w:type="dxa"/>
            </w:tcMar>
            <w:vAlign w:val="center"/>
          </w:tcPr>
          <w:p w14:paraId="6A6EDDD8"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3A41940A"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CAS &gt; 50%</w:t>
            </w:r>
          </w:p>
        </w:tc>
        <w:tc>
          <w:tcPr>
            <w:tcW w:w="2400" w:type="dxa"/>
            <w:shd w:val="clear" w:color="auto" w:fill="FFFFFF"/>
            <w:tcMar>
              <w:top w:w="0" w:type="dxa"/>
              <w:left w:w="0" w:type="dxa"/>
              <w:bottom w:w="0" w:type="dxa"/>
              <w:right w:w="0" w:type="dxa"/>
            </w:tcMar>
            <w:vAlign w:val="center"/>
          </w:tcPr>
          <w:p w14:paraId="00D9250B"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12 (11%)</w:t>
            </w:r>
          </w:p>
        </w:tc>
      </w:tr>
      <w:tr w:rsidR="00956960" w:rsidRPr="006A7336" w14:paraId="08CFFDC2" w14:textId="77777777" w:rsidTr="00A96F13">
        <w:tc>
          <w:tcPr>
            <w:tcW w:w="2410" w:type="dxa"/>
            <w:vMerge/>
            <w:shd w:val="clear" w:color="auto" w:fill="FFFFFF"/>
            <w:tcMar>
              <w:top w:w="0" w:type="dxa"/>
              <w:left w:w="0" w:type="dxa"/>
              <w:bottom w:w="0" w:type="dxa"/>
              <w:right w:w="0" w:type="dxa"/>
            </w:tcMar>
            <w:vAlign w:val="center"/>
          </w:tcPr>
          <w:p w14:paraId="271DCCD6"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3D4806F2"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DM</w:t>
            </w:r>
          </w:p>
        </w:tc>
        <w:tc>
          <w:tcPr>
            <w:tcW w:w="2400" w:type="dxa"/>
            <w:shd w:val="clear" w:color="auto" w:fill="FFFFFF"/>
            <w:tcMar>
              <w:top w:w="0" w:type="dxa"/>
              <w:left w:w="0" w:type="dxa"/>
              <w:bottom w:w="0" w:type="dxa"/>
              <w:right w:w="0" w:type="dxa"/>
            </w:tcMar>
            <w:vAlign w:val="center"/>
          </w:tcPr>
          <w:p w14:paraId="0F3F41E7"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47 (42%)</w:t>
            </w:r>
          </w:p>
        </w:tc>
      </w:tr>
      <w:tr w:rsidR="00956960" w:rsidRPr="006A7336" w14:paraId="40ED08CD" w14:textId="77777777" w:rsidTr="00A96F13">
        <w:tc>
          <w:tcPr>
            <w:tcW w:w="2410" w:type="dxa"/>
            <w:vMerge/>
            <w:shd w:val="clear" w:color="auto" w:fill="FFFFFF"/>
            <w:tcMar>
              <w:top w:w="0" w:type="dxa"/>
              <w:left w:w="0" w:type="dxa"/>
              <w:bottom w:w="0" w:type="dxa"/>
              <w:right w:w="0" w:type="dxa"/>
            </w:tcMar>
            <w:vAlign w:val="center"/>
          </w:tcPr>
          <w:p w14:paraId="2E46AFDA"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68D516C2"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COPD</w:t>
            </w:r>
          </w:p>
        </w:tc>
        <w:tc>
          <w:tcPr>
            <w:tcW w:w="2400" w:type="dxa"/>
            <w:shd w:val="clear" w:color="auto" w:fill="FFFFFF"/>
            <w:tcMar>
              <w:top w:w="0" w:type="dxa"/>
              <w:left w:w="0" w:type="dxa"/>
              <w:bottom w:w="0" w:type="dxa"/>
              <w:right w:w="0" w:type="dxa"/>
            </w:tcMar>
            <w:vAlign w:val="center"/>
          </w:tcPr>
          <w:p w14:paraId="51D70524"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13 (12%)</w:t>
            </w:r>
          </w:p>
        </w:tc>
      </w:tr>
      <w:tr w:rsidR="00956960" w:rsidRPr="006A7336" w14:paraId="0875EE81" w14:textId="77777777" w:rsidTr="00A96F13">
        <w:tc>
          <w:tcPr>
            <w:tcW w:w="2410" w:type="dxa"/>
            <w:vMerge/>
            <w:shd w:val="clear" w:color="auto" w:fill="FFFFFF"/>
            <w:tcMar>
              <w:top w:w="0" w:type="dxa"/>
              <w:left w:w="0" w:type="dxa"/>
              <w:bottom w:w="0" w:type="dxa"/>
              <w:right w:w="0" w:type="dxa"/>
            </w:tcMar>
            <w:vAlign w:val="center"/>
          </w:tcPr>
          <w:p w14:paraId="60776854"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5FEA3FC5"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CKD</w:t>
            </w:r>
          </w:p>
        </w:tc>
        <w:tc>
          <w:tcPr>
            <w:tcW w:w="2400" w:type="dxa"/>
            <w:shd w:val="clear" w:color="auto" w:fill="FFFFFF"/>
            <w:tcMar>
              <w:top w:w="0" w:type="dxa"/>
              <w:left w:w="0" w:type="dxa"/>
              <w:bottom w:w="0" w:type="dxa"/>
              <w:right w:w="0" w:type="dxa"/>
            </w:tcMar>
            <w:vAlign w:val="center"/>
          </w:tcPr>
          <w:p w14:paraId="389D5FEE"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18 (16%)</w:t>
            </w:r>
          </w:p>
        </w:tc>
      </w:tr>
      <w:tr w:rsidR="00956960" w:rsidRPr="006A7336" w14:paraId="3BC9C880" w14:textId="77777777" w:rsidTr="00A96F13">
        <w:tc>
          <w:tcPr>
            <w:tcW w:w="2410" w:type="dxa"/>
            <w:vMerge/>
            <w:shd w:val="clear" w:color="auto" w:fill="FFFFFF"/>
            <w:tcMar>
              <w:top w:w="0" w:type="dxa"/>
              <w:left w:w="0" w:type="dxa"/>
              <w:bottom w:w="0" w:type="dxa"/>
              <w:right w:w="0" w:type="dxa"/>
            </w:tcMar>
            <w:vAlign w:val="center"/>
          </w:tcPr>
          <w:p w14:paraId="2F4B7174"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7C4C3785"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lang w:val="en-US"/>
              </w:rPr>
            </w:pPr>
            <w:r w:rsidRPr="006A7336">
              <w:rPr>
                <w:rFonts w:ascii="Segoe UI" w:hAnsi="Segoe UI" w:cs="Segoe UI"/>
                <w:sz w:val="18"/>
                <w:szCs w:val="18"/>
                <w:lang w:val="en-GB"/>
              </w:rPr>
              <w:t>Present diagnosis of a psychiatric diagnosis, anxiety disorder or depression</w:t>
            </w:r>
          </w:p>
        </w:tc>
        <w:tc>
          <w:tcPr>
            <w:tcW w:w="2400" w:type="dxa"/>
            <w:shd w:val="clear" w:color="auto" w:fill="FFFFFF"/>
            <w:tcMar>
              <w:top w:w="0" w:type="dxa"/>
              <w:left w:w="0" w:type="dxa"/>
              <w:bottom w:w="0" w:type="dxa"/>
              <w:right w:w="0" w:type="dxa"/>
            </w:tcMar>
            <w:vAlign w:val="center"/>
          </w:tcPr>
          <w:p w14:paraId="12FAD4FE"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12 (11%)</w:t>
            </w:r>
          </w:p>
        </w:tc>
      </w:tr>
      <w:tr w:rsidR="00956960" w:rsidRPr="006A7336" w14:paraId="69674460" w14:textId="77777777" w:rsidTr="00A96F13">
        <w:tc>
          <w:tcPr>
            <w:tcW w:w="5822" w:type="dxa"/>
            <w:gridSpan w:val="2"/>
            <w:tcMar>
              <w:top w:w="0" w:type="dxa"/>
              <w:left w:w="0" w:type="dxa"/>
              <w:bottom w:w="0" w:type="dxa"/>
              <w:right w:w="0" w:type="dxa"/>
            </w:tcMar>
            <w:vAlign w:val="center"/>
          </w:tcPr>
          <w:p w14:paraId="471DA121"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lang w:val="en-GB"/>
              </w:rPr>
            </w:pPr>
            <w:proofErr w:type="spellStart"/>
            <w:r w:rsidRPr="006A7336">
              <w:rPr>
                <w:rFonts w:ascii="Segoe UI" w:hAnsi="Segoe UI" w:cs="Segoe UI"/>
                <w:sz w:val="18"/>
                <w:szCs w:val="18"/>
              </w:rPr>
              <w:t>Previous</w:t>
            </w:r>
            <w:proofErr w:type="spellEnd"/>
            <w:r w:rsidRPr="006A7336">
              <w:rPr>
                <w:rFonts w:ascii="Segoe UI" w:hAnsi="Segoe UI" w:cs="Segoe UI"/>
                <w:sz w:val="18"/>
                <w:szCs w:val="18"/>
              </w:rPr>
              <w:t xml:space="preserve"> PCI</w:t>
            </w:r>
          </w:p>
        </w:tc>
        <w:tc>
          <w:tcPr>
            <w:tcW w:w="2400" w:type="dxa"/>
            <w:tcMar>
              <w:top w:w="0" w:type="dxa"/>
              <w:left w:w="0" w:type="dxa"/>
              <w:bottom w:w="0" w:type="dxa"/>
              <w:right w:w="0" w:type="dxa"/>
            </w:tcMar>
            <w:vAlign w:val="center"/>
          </w:tcPr>
          <w:p w14:paraId="56BB4588"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50 (44%)</w:t>
            </w:r>
          </w:p>
        </w:tc>
      </w:tr>
      <w:tr w:rsidR="00956960" w:rsidRPr="006A7336" w14:paraId="14BE9164" w14:textId="77777777" w:rsidTr="00A96F13">
        <w:tc>
          <w:tcPr>
            <w:tcW w:w="2410" w:type="dxa"/>
            <w:shd w:val="clear" w:color="auto" w:fill="FFFFFF"/>
            <w:tcMar>
              <w:top w:w="0" w:type="dxa"/>
              <w:left w:w="0" w:type="dxa"/>
              <w:bottom w:w="0" w:type="dxa"/>
              <w:right w:w="0" w:type="dxa"/>
            </w:tcMar>
            <w:vAlign w:val="center"/>
          </w:tcPr>
          <w:p w14:paraId="39B70C23"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Creatinine</w:t>
            </w:r>
            <w:proofErr w:type="spellEnd"/>
            <w:r w:rsidRPr="006A7336">
              <w:rPr>
                <w:rFonts w:ascii="Segoe UI" w:hAnsi="Segoe UI" w:cs="Segoe UI"/>
                <w:sz w:val="18"/>
                <w:szCs w:val="18"/>
              </w:rPr>
              <w:t xml:space="preserve"> [mg/dl]</w:t>
            </w:r>
          </w:p>
        </w:tc>
        <w:tc>
          <w:tcPr>
            <w:tcW w:w="3412" w:type="dxa"/>
            <w:shd w:val="clear" w:color="auto" w:fill="FFFFFF"/>
            <w:tcMar>
              <w:top w:w="0" w:type="dxa"/>
              <w:left w:w="0" w:type="dxa"/>
              <w:bottom w:w="0" w:type="dxa"/>
              <w:right w:w="0" w:type="dxa"/>
            </w:tcMar>
            <w:vAlign w:val="center"/>
          </w:tcPr>
          <w:p w14:paraId="3E597ED2"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Mean</w:t>
            </w:r>
            <w:proofErr w:type="spellEnd"/>
            <w:r w:rsidRPr="006A7336">
              <w:rPr>
                <w:rFonts w:ascii="Segoe UI" w:hAnsi="Segoe UI" w:cs="Segoe UI"/>
                <w:sz w:val="18"/>
                <w:szCs w:val="18"/>
              </w:rPr>
              <w:t xml:space="preserve"> (SD)</w:t>
            </w:r>
          </w:p>
        </w:tc>
        <w:tc>
          <w:tcPr>
            <w:tcW w:w="2400" w:type="dxa"/>
            <w:shd w:val="clear" w:color="auto" w:fill="FFFFFF"/>
            <w:tcMar>
              <w:top w:w="0" w:type="dxa"/>
              <w:left w:w="0" w:type="dxa"/>
              <w:bottom w:w="0" w:type="dxa"/>
              <w:right w:w="0" w:type="dxa"/>
            </w:tcMar>
            <w:vAlign w:val="center"/>
          </w:tcPr>
          <w:p w14:paraId="0A630B8B"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w:t>
            </w:r>
            <w:r w:rsidR="00956960" w:rsidRPr="006A7336">
              <w:rPr>
                <w:rFonts w:ascii="Segoe UI" w:hAnsi="Segoe UI" w:cs="Segoe UI"/>
                <w:sz w:val="18"/>
                <w:szCs w:val="18"/>
              </w:rPr>
              <w:t>.00</w:t>
            </w:r>
            <w:r w:rsidRPr="006A7336">
              <w:rPr>
                <w:rFonts w:ascii="Segoe UI" w:hAnsi="Segoe UI" w:cs="Segoe UI"/>
                <w:sz w:val="18"/>
                <w:szCs w:val="18"/>
              </w:rPr>
              <w:t xml:space="preserve"> (0.36)</w:t>
            </w:r>
          </w:p>
        </w:tc>
      </w:tr>
      <w:tr w:rsidR="00956960" w:rsidRPr="006A7336" w14:paraId="05239F47" w14:textId="77777777" w:rsidTr="00A96F13">
        <w:tc>
          <w:tcPr>
            <w:tcW w:w="2410" w:type="dxa"/>
            <w:shd w:val="clear" w:color="auto" w:fill="FFFFFF"/>
            <w:tcMar>
              <w:top w:w="0" w:type="dxa"/>
              <w:left w:w="0" w:type="dxa"/>
              <w:bottom w:w="0" w:type="dxa"/>
              <w:right w:w="0" w:type="dxa"/>
            </w:tcMar>
            <w:vAlign w:val="center"/>
          </w:tcPr>
          <w:p w14:paraId="6DDC5E26"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LVEF [%]</w:t>
            </w:r>
          </w:p>
        </w:tc>
        <w:tc>
          <w:tcPr>
            <w:tcW w:w="3412" w:type="dxa"/>
            <w:shd w:val="clear" w:color="auto" w:fill="FFFFFF"/>
            <w:tcMar>
              <w:top w:w="0" w:type="dxa"/>
              <w:left w:w="0" w:type="dxa"/>
              <w:bottom w:w="0" w:type="dxa"/>
              <w:right w:w="0" w:type="dxa"/>
            </w:tcMar>
            <w:vAlign w:val="center"/>
          </w:tcPr>
          <w:p w14:paraId="3A14DA2E"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Mean</w:t>
            </w:r>
            <w:proofErr w:type="spellEnd"/>
            <w:r w:rsidRPr="006A7336">
              <w:rPr>
                <w:rFonts w:ascii="Segoe UI" w:hAnsi="Segoe UI" w:cs="Segoe UI"/>
                <w:sz w:val="18"/>
                <w:szCs w:val="18"/>
              </w:rPr>
              <w:t xml:space="preserve"> (SD)</w:t>
            </w:r>
          </w:p>
        </w:tc>
        <w:tc>
          <w:tcPr>
            <w:tcW w:w="2400" w:type="dxa"/>
            <w:shd w:val="clear" w:color="auto" w:fill="FFFFFF"/>
            <w:tcMar>
              <w:top w:w="0" w:type="dxa"/>
              <w:left w:w="0" w:type="dxa"/>
              <w:bottom w:w="0" w:type="dxa"/>
              <w:right w:w="0" w:type="dxa"/>
            </w:tcMar>
            <w:vAlign w:val="center"/>
          </w:tcPr>
          <w:p w14:paraId="4D02F2A6"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57.5 (10.8)</w:t>
            </w:r>
          </w:p>
        </w:tc>
      </w:tr>
      <w:tr w:rsidR="00956960" w:rsidRPr="006A7336" w14:paraId="09C184EC" w14:textId="77777777" w:rsidTr="00A96F13">
        <w:tc>
          <w:tcPr>
            <w:tcW w:w="2410" w:type="dxa"/>
            <w:shd w:val="clear" w:color="auto" w:fill="FFFFFF"/>
            <w:tcMar>
              <w:top w:w="0" w:type="dxa"/>
              <w:left w:w="0" w:type="dxa"/>
              <w:bottom w:w="0" w:type="dxa"/>
              <w:right w:w="0" w:type="dxa"/>
            </w:tcMar>
            <w:vAlign w:val="center"/>
          </w:tcPr>
          <w:p w14:paraId="42A21985"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AVA [cm</w:t>
            </w:r>
            <w:r w:rsidRPr="006A7336">
              <w:rPr>
                <w:rFonts w:ascii="Segoe UI" w:hAnsi="Segoe UI" w:cs="Segoe UI"/>
                <w:sz w:val="18"/>
                <w:szCs w:val="18"/>
                <w:vertAlign w:val="superscript"/>
              </w:rPr>
              <w:t>2</w:t>
            </w:r>
            <w:r w:rsidRPr="006A7336">
              <w:rPr>
                <w:rFonts w:ascii="Segoe UI" w:hAnsi="Segoe UI" w:cs="Segoe UI"/>
                <w:sz w:val="18"/>
                <w:szCs w:val="18"/>
              </w:rPr>
              <w:t>]</w:t>
            </w:r>
          </w:p>
        </w:tc>
        <w:tc>
          <w:tcPr>
            <w:tcW w:w="3412" w:type="dxa"/>
            <w:shd w:val="clear" w:color="auto" w:fill="FFFFFF"/>
            <w:tcMar>
              <w:top w:w="0" w:type="dxa"/>
              <w:left w:w="0" w:type="dxa"/>
              <w:bottom w:w="0" w:type="dxa"/>
              <w:right w:w="0" w:type="dxa"/>
            </w:tcMar>
          </w:tcPr>
          <w:p w14:paraId="5FB9DC08"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Median (</w:t>
            </w:r>
            <w:proofErr w:type="spellStart"/>
            <w:r w:rsidRPr="006A7336">
              <w:rPr>
                <w:rFonts w:ascii="Segoe UI" w:hAnsi="Segoe UI" w:cs="Segoe UI"/>
                <w:sz w:val="18"/>
                <w:szCs w:val="18"/>
              </w:rPr>
              <w:t>quartiles</w:t>
            </w:r>
            <w:proofErr w:type="spellEnd"/>
            <w:r w:rsidRPr="006A7336">
              <w:rPr>
                <w:rFonts w:ascii="Segoe UI" w:hAnsi="Segoe UI" w:cs="Segoe UI"/>
                <w:sz w:val="18"/>
                <w:szCs w:val="18"/>
              </w:rPr>
              <w:t>)</w:t>
            </w:r>
          </w:p>
        </w:tc>
        <w:tc>
          <w:tcPr>
            <w:tcW w:w="2400" w:type="dxa"/>
            <w:shd w:val="clear" w:color="auto" w:fill="FFFFFF"/>
            <w:tcMar>
              <w:top w:w="0" w:type="dxa"/>
              <w:left w:w="0" w:type="dxa"/>
              <w:bottom w:w="0" w:type="dxa"/>
              <w:right w:w="0" w:type="dxa"/>
            </w:tcMar>
            <w:vAlign w:val="center"/>
          </w:tcPr>
          <w:p w14:paraId="783AFB24"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0.8</w:t>
            </w:r>
            <w:r w:rsidR="00956960" w:rsidRPr="006A7336">
              <w:rPr>
                <w:rFonts w:ascii="Segoe UI" w:hAnsi="Segoe UI" w:cs="Segoe UI"/>
                <w:sz w:val="18"/>
                <w:szCs w:val="18"/>
              </w:rPr>
              <w:t>0</w:t>
            </w:r>
            <w:r w:rsidRPr="006A7336">
              <w:rPr>
                <w:rFonts w:ascii="Segoe UI" w:hAnsi="Segoe UI" w:cs="Segoe UI"/>
                <w:sz w:val="18"/>
                <w:szCs w:val="18"/>
              </w:rPr>
              <w:t xml:space="preserve"> (0.</w:t>
            </w:r>
            <w:r w:rsidR="00127A36" w:rsidRPr="006A7336">
              <w:rPr>
                <w:rFonts w:ascii="Segoe UI" w:hAnsi="Segoe UI" w:cs="Segoe UI"/>
                <w:sz w:val="18"/>
                <w:szCs w:val="18"/>
              </w:rPr>
              <w:t>6</w:t>
            </w:r>
            <w:r w:rsidR="00956960" w:rsidRPr="006A7336">
              <w:rPr>
                <w:rFonts w:ascii="Segoe UI" w:hAnsi="Segoe UI" w:cs="Segoe UI"/>
                <w:sz w:val="18"/>
                <w:szCs w:val="18"/>
              </w:rPr>
              <w:t>0</w:t>
            </w:r>
            <w:r w:rsidRPr="006A7336">
              <w:rPr>
                <w:rFonts w:ascii="Segoe UI" w:hAnsi="Segoe UI" w:cs="Segoe UI"/>
                <w:sz w:val="18"/>
                <w:szCs w:val="18"/>
              </w:rPr>
              <w:t>-</w:t>
            </w:r>
            <w:r w:rsidR="00127A36" w:rsidRPr="006A7336">
              <w:rPr>
                <w:rFonts w:ascii="Segoe UI" w:hAnsi="Segoe UI" w:cs="Segoe UI"/>
                <w:sz w:val="18"/>
                <w:szCs w:val="18"/>
              </w:rPr>
              <w:t>0</w:t>
            </w:r>
            <w:r w:rsidRPr="006A7336">
              <w:rPr>
                <w:rFonts w:ascii="Segoe UI" w:hAnsi="Segoe UI" w:cs="Segoe UI"/>
                <w:sz w:val="18"/>
                <w:szCs w:val="18"/>
              </w:rPr>
              <w:t>.</w:t>
            </w:r>
            <w:r w:rsidR="00127A36" w:rsidRPr="006A7336">
              <w:rPr>
                <w:rFonts w:ascii="Segoe UI" w:hAnsi="Segoe UI" w:cs="Segoe UI"/>
                <w:sz w:val="18"/>
                <w:szCs w:val="18"/>
              </w:rPr>
              <w:t>9</w:t>
            </w:r>
            <w:r w:rsidR="00956960" w:rsidRPr="006A7336">
              <w:rPr>
                <w:rFonts w:ascii="Segoe UI" w:hAnsi="Segoe UI" w:cs="Segoe UI"/>
                <w:sz w:val="18"/>
                <w:szCs w:val="18"/>
              </w:rPr>
              <w:t>0</w:t>
            </w:r>
            <w:r w:rsidRPr="006A7336">
              <w:rPr>
                <w:rFonts w:ascii="Segoe UI" w:hAnsi="Segoe UI" w:cs="Segoe UI"/>
                <w:sz w:val="18"/>
                <w:szCs w:val="18"/>
              </w:rPr>
              <w:t>)</w:t>
            </w:r>
          </w:p>
        </w:tc>
      </w:tr>
      <w:tr w:rsidR="00956960" w:rsidRPr="006A7336" w14:paraId="1ED37F3E" w14:textId="77777777" w:rsidTr="00A96F13">
        <w:tc>
          <w:tcPr>
            <w:tcW w:w="2410" w:type="dxa"/>
            <w:shd w:val="clear" w:color="auto" w:fill="FFFFFF"/>
            <w:tcMar>
              <w:top w:w="0" w:type="dxa"/>
              <w:left w:w="0" w:type="dxa"/>
              <w:bottom w:w="0" w:type="dxa"/>
              <w:right w:w="0" w:type="dxa"/>
            </w:tcMar>
            <w:vAlign w:val="center"/>
          </w:tcPr>
          <w:p w14:paraId="60151A7D"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lang w:val="en-US"/>
              </w:rPr>
            </w:pPr>
            <w:r w:rsidRPr="006A7336">
              <w:rPr>
                <w:rFonts w:ascii="Segoe UI" w:hAnsi="Segoe UI" w:cs="Segoe UI"/>
                <w:sz w:val="18"/>
                <w:szCs w:val="18"/>
                <w:lang w:val="en-US"/>
              </w:rPr>
              <w:t>Transaortic mean pressure gradient [mmHg]</w:t>
            </w:r>
          </w:p>
        </w:tc>
        <w:tc>
          <w:tcPr>
            <w:tcW w:w="3412" w:type="dxa"/>
            <w:shd w:val="clear" w:color="auto" w:fill="FFFFFF"/>
            <w:tcMar>
              <w:top w:w="0" w:type="dxa"/>
              <w:left w:w="0" w:type="dxa"/>
              <w:bottom w:w="0" w:type="dxa"/>
              <w:right w:w="0" w:type="dxa"/>
            </w:tcMar>
          </w:tcPr>
          <w:p w14:paraId="24A61590"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Median (</w:t>
            </w:r>
            <w:proofErr w:type="spellStart"/>
            <w:r w:rsidRPr="006A7336">
              <w:rPr>
                <w:rFonts w:ascii="Segoe UI" w:hAnsi="Segoe UI" w:cs="Segoe UI"/>
                <w:sz w:val="18"/>
                <w:szCs w:val="18"/>
              </w:rPr>
              <w:t>quartiles</w:t>
            </w:r>
            <w:proofErr w:type="spellEnd"/>
            <w:r w:rsidRPr="006A7336">
              <w:rPr>
                <w:rFonts w:ascii="Segoe UI" w:hAnsi="Segoe UI" w:cs="Segoe UI"/>
                <w:sz w:val="18"/>
                <w:szCs w:val="18"/>
              </w:rPr>
              <w:t>)</w:t>
            </w:r>
          </w:p>
        </w:tc>
        <w:tc>
          <w:tcPr>
            <w:tcW w:w="2400" w:type="dxa"/>
            <w:shd w:val="clear" w:color="auto" w:fill="FFFFFF"/>
            <w:tcMar>
              <w:top w:w="0" w:type="dxa"/>
              <w:left w:w="0" w:type="dxa"/>
              <w:bottom w:w="0" w:type="dxa"/>
              <w:right w:w="0" w:type="dxa"/>
            </w:tcMar>
            <w:vAlign w:val="center"/>
          </w:tcPr>
          <w:p w14:paraId="1295FB39" w14:textId="77777777" w:rsidR="00816180" w:rsidRPr="006A7336" w:rsidRDefault="00127A3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46 (40-55)</w:t>
            </w:r>
          </w:p>
        </w:tc>
      </w:tr>
      <w:tr w:rsidR="00956960" w:rsidRPr="006A7336" w14:paraId="3EA91AFF" w14:textId="77777777" w:rsidTr="00A96F13">
        <w:tc>
          <w:tcPr>
            <w:tcW w:w="2410" w:type="dxa"/>
            <w:vMerge w:val="restart"/>
            <w:shd w:val="clear" w:color="auto" w:fill="FFFFFF"/>
            <w:tcMar>
              <w:top w:w="0" w:type="dxa"/>
              <w:left w:w="0" w:type="dxa"/>
              <w:bottom w:w="0" w:type="dxa"/>
              <w:right w:w="0" w:type="dxa"/>
            </w:tcMar>
            <w:vAlign w:val="center"/>
          </w:tcPr>
          <w:p w14:paraId="32C53694"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NYHA</w:t>
            </w:r>
          </w:p>
        </w:tc>
        <w:tc>
          <w:tcPr>
            <w:tcW w:w="3412" w:type="dxa"/>
            <w:shd w:val="clear" w:color="auto" w:fill="FFFFFF"/>
            <w:tcMar>
              <w:top w:w="0" w:type="dxa"/>
              <w:left w:w="0" w:type="dxa"/>
              <w:bottom w:w="0" w:type="dxa"/>
              <w:right w:w="0" w:type="dxa"/>
            </w:tcMar>
            <w:vAlign w:val="center"/>
          </w:tcPr>
          <w:p w14:paraId="52CBA96D"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I</w:t>
            </w:r>
          </w:p>
        </w:tc>
        <w:tc>
          <w:tcPr>
            <w:tcW w:w="2400" w:type="dxa"/>
            <w:shd w:val="clear" w:color="auto" w:fill="FFFFFF"/>
            <w:tcMar>
              <w:top w:w="0" w:type="dxa"/>
              <w:left w:w="0" w:type="dxa"/>
              <w:bottom w:w="0" w:type="dxa"/>
              <w:right w:w="0" w:type="dxa"/>
            </w:tcMar>
            <w:vAlign w:val="center"/>
          </w:tcPr>
          <w:p w14:paraId="6A2F9662"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7 (6%)</w:t>
            </w:r>
          </w:p>
        </w:tc>
      </w:tr>
      <w:tr w:rsidR="00956960" w:rsidRPr="006A7336" w14:paraId="4AF32C01" w14:textId="77777777" w:rsidTr="00A96F13">
        <w:tc>
          <w:tcPr>
            <w:tcW w:w="2410" w:type="dxa"/>
            <w:vMerge/>
            <w:shd w:val="clear" w:color="auto" w:fill="FFFFFF"/>
            <w:tcMar>
              <w:top w:w="0" w:type="dxa"/>
              <w:left w:w="0" w:type="dxa"/>
              <w:bottom w:w="0" w:type="dxa"/>
              <w:right w:w="0" w:type="dxa"/>
            </w:tcMar>
            <w:vAlign w:val="center"/>
          </w:tcPr>
          <w:p w14:paraId="787D89F7"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0322C710"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II</w:t>
            </w:r>
          </w:p>
        </w:tc>
        <w:tc>
          <w:tcPr>
            <w:tcW w:w="2400" w:type="dxa"/>
            <w:shd w:val="clear" w:color="auto" w:fill="FFFFFF"/>
            <w:tcMar>
              <w:top w:w="0" w:type="dxa"/>
              <w:left w:w="0" w:type="dxa"/>
              <w:bottom w:w="0" w:type="dxa"/>
              <w:right w:w="0" w:type="dxa"/>
            </w:tcMar>
            <w:vAlign w:val="center"/>
          </w:tcPr>
          <w:p w14:paraId="683B6DE0"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59 (52%)</w:t>
            </w:r>
          </w:p>
        </w:tc>
      </w:tr>
      <w:tr w:rsidR="00956960" w:rsidRPr="006A7336" w14:paraId="15F2A7A9" w14:textId="77777777" w:rsidTr="00A96F13">
        <w:tc>
          <w:tcPr>
            <w:tcW w:w="2410" w:type="dxa"/>
            <w:vMerge/>
            <w:shd w:val="clear" w:color="auto" w:fill="FFFFFF"/>
            <w:tcMar>
              <w:top w:w="0" w:type="dxa"/>
              <w:left w:w="0" w:type="dxa"/>
              <w:bottom w:w="0" w:type="dxa"/>
              <w:right w:w="0" w:type="dxa"/>
            </w:tcMar>
            <w:vAlign w:val="center"/>
          </w:tcPr>
          <w:p w14:paraId="6DEBF5FB"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1048934D"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III</w:t>
            </w:r>
          </w:p>
        </w:tc>
        <w:tc>
          <w:tcPr>
            <w:tcW w:w="2400" w:type="dxa"/>
            <w:shd w:val="clear" w:color="auto" w:fill="FFFFFF"/>
            <w:tcMar>
              <w:top w:w="0" w:type="dxa"/>
              <w:left w:w="0" w:type="dxa"/>
              <w:bottom w:w="0" w:type="dxa"/>
              <w:right w:w="0" w:type="dxa"/>
            </w:tcMar>
            <w:vAlign w:val="center"/>
          </w:tcPr>
          <w:p w14:paraId="4B47A0DA"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41 (36%)</w:t>
            </w:r>
          </w:p>
        </w:tc>
      </w:tr>
      <w:tr w:rsidR="00956960" w:rsidRPr="006A7336" w14:paraId="11711BF7" w14:textId="77777777" w:rsidTr="00A96F13">
        <w:tc>
          <w:tcPr>
            <w:tcW w:w="2410" w:type="dxa"/>
            <w:vMerge/>
            <w:shd w:val="clear" w:color="auto" w:fill="FFFFFF"/>
            <w:tcMar>
              <w:top w:w="0" w:type="dxa"/>
              <w:left w:w="0" w:type="dxa"/>
              <w:bottom w:w="0" w:type="dxa"/>
              <w:right w:w="0" w:type="dxa"/>
            </w:tcMar>
            <w:vAlign w:val="center"/>
          </w:tcPr>
          <w:p w14:paraId="1916B76B"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1787401E"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IV</w:t>
            </w:r>
          </w:p>
        </w:tc>
        <w:tc>
          <w:tcPr>
            <w:tcW w:w="2400" w:type="dxa"/>
            <w:shd w:val="clear" w:color="auto" w:fill="FFFFFF"/>
            <w:tcMar>
              <w:top w:w="0" w:type="dxa"/>
              <w:left w:w="0" w:type="dxa"/>
              <w:bottom w:w="0" w:type="dxa"/>
              <w:right w:w="0" w:type="dxa"/>
            </w:tcMar>
            <w:vAlign w:val="center"/>
          </w:tcPr>
          <w:p w14:paraId="3AB373E0"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 (3%)</w:t>
            </w:r>
          </w:p>
        </w:tc>
      </w:tr>
      <w:tr w:rsidR="00956960" w:rsidRPr="006A7336" w14:paraId="42B89202" w14:textId="77777777" w:rsidTr="00A96F13">
        <w:tc>
          <w:tcPr>
            <w:tcW w:w="2410" w:type="dxa"/>
            <w:vMerge w:val="restart"/>
            <w:shd w:val="clear" w:color="auto" w:fill="FFFFFF"/>
            <w:tcMar>
              <w:top w:w="0" w:type="dxa"/>
              <w:left w:w="0" w:type="dxa"/>
              <w:bottom w:w="0" w:type="dxa"/>
              <w:right w:w="0" w:type="dxa"/>
            </w:tcMar>
            <w:vAlign w:val="center"/>
          </w:tcPr>
          <w:p w14:paraId="3B4A8010"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CCS</w:t>
            </w:r>
          </w:p>
        </w:tc>
        <w:tc>
          <w:tcPr>
            <w:tcW w:w="3412" w:type="dxa"/>
            <w:shd w:val="clear" w:color="auto" w:fill="FFFFFF"/>
            <w:tcMar>
              <w:top w:w="0" w:type="dxa"/>
              <w:left w:w="0" w:type="dxa"/>
              <w:bottom w:w="0" w:type="dxa"/>
              <w:right w:w="0" w:type="dxa"/>
            </w:tcMar>
            <w:vAlign w:val="center"/>
          </w:tcPr>
          <w:p w14:paraId="341FBB88"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w:t>
            </w:r>
          </w:p>
        </w:tc>
        <w:tc>
          <w:tcPr>
            <w:tcW w:w="2400" w:type="dxa"/>
            <w:shd w:val="clear" w:color="auto" w:fill="FFFFFF"/>
            <w:tcMar>
              <w:top w:w="0" w:type="dxa"/>
              <w:left w:w="0" w:type="dxa"/>
              <w:bottom w:w="0" w:type="dxa"/>
              <w:right w:w="0" w:type="dxa"/>
            </w:tcMar>
            <w:vAlign w:val="center"/>
          </w:tcPr>
          <w:p w14:paraId="406A2274"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15 (13%)</w:t>
            </w:r>
          </w:p>
        </w:tc>
      </w:tr>
      <w:tr w:rsidR="00956960" w:rsidRPr="006A7336" w14:paraId="42F22722" w14:textId="77777777" w:rsidTr="00A96F13">
        <w:tc>
          <w:tcPr>
            <w:tcW w:w="2410" w:type="dxa"/>
            <w:vMerge/>
            <w:shd w:val="clear" w:color="auto" w:fill="FFFFFF"/>
            <w:tcMar>
              <w:top w:w="0" w:type="dxa"/>
              <w:left w:w="0" w:type="dxa"/>
              <w:bottom w:w="0" w:type="dxa"/>
              <w:right w:w="0" w:type="dxa"/>
            </w:tcMar>
            <w:vAlign w:val="center"/>
          </w:tcPr>
          <w:p w14:paraId="3DC636B6"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782DB1BD"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w:t>
            </w:r>
          </w:p>
        </w:tc>
        <w:tc>
          <w:tcPr>
            <w:tcW w:w="2400" w:type="dxa"/>
            <w:shd w:val="clear" w:color="auto" w:fill="FFFFFF"/>
            <w:tcMar>
              <w:top w:w="0" w:type="dxa"/>
              <w:left w:w="0" w:type="dxa"/>
              <w:bottom w:w="0" w:type="dxa"/>
              <w:right w:w="0" w:type="dxa"/>
            </w:tcMar>
            <w:vAlign w:val="center"/>
          </w:tcPr>
          <w:p w14:paraId="0C08A6C2"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24 (21%)</w:t>
            </w:r>
          </w:p>
        </w:tc>
      </w:tr>
      <w:tr w:rsidR="00956960" w:rsidRPr="006A7336" w14:paraId="2755235E" w14:textId="77777777" w:rsidTr="00A96F13">
        <w:tc>
          <w:tcPr>
            <w:tcW w:w="2410" w:type="dxa"/>
            <w:vMerge/>
            <w:shd w:val="clear" w:color="auto" w:fill="FFFFFF"/>
            <w:tcMar>
              <w:top w:w="0" w:type="dxa"/>
              <w:left w:w="0" w:type="dxa"/>
              <w:bottom w:w="0" w:type="dxa"/>
              <w:right w:w="0" w:type="dxa"/>
            </w:tcMar>
            <w:vAlign w:val="center"/>
          </w:tcPr>
          <w:p w14:paraId="5ED42834"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0C173F77"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w:t>
            </w:r>
          </w:p>
        </w:tc>
        <w:tc>
          <w:tcPr>
            <w:tcW w:w="2400" w:type="dxa"/>
            <w:shd w:val="clear" w:color="auto" w:fill="FFFFFF"/>
            <w:tcMar>
              <w:top w:w="0" w:type="dxa"/>
              <w:left w:w="0" w:type="dxa"/>
              <w:bottom w:w="0" w:type="dxa"/>
              <w:right w:w="0" w:type="dxa"/>
            </w:tcMar>
            <w:vAlign w:val="center"/>
          </w:tcPr>
          <w:p w14:paraId="72EA7345"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10 (9%)</w:t>
            </w:r>
          </w:p>
        </w:tc>
      </w:tr>
      <w:tr w:rsidR="00956960" w:rsidRPr="006A7336" w14:paraId="25254D54" w14:textId="77777777" w:rsidTr="00A96F13">
        <w:tc>
          <w:tcPr>
            <w:tcW w:w="2410" w:type="dxa"/>
            <w:vMerge/>
            <w:shd w:val="clear" w:color="auto" w:fill="FFFFFF"/>
            <w:tcMar>
              <w:top w:w="0" w:type="dxa"/>
              <w:left w:w="0" w:type="dxa"/>
              <w:bottom w:w="0" w:type="dxa"/>
              <w:right w:w="0" w:type="dxa"/>
            </w:tcMar>
            <w:vAlign w:val="center"/>
          </w:tcPr>
          <w:p w14:paraId="083A8606"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12" w:type="dxa"/>
            <w:shd w:val="clear" w:color="auto" w:fill="FFFFFF"/>
            <w:tcMar>
              <w:top w:w="0" w:type="dxa"/>
              <w:left w:w="0" w:type="dxa"/>
              <w:bottom w:w="0" w:type="dxa"/>
              <w:right w:w="0" w:type="dxa"/>
            </w:tcMar>
            <w:vAlign w:val="center"/>
          </w:tcPr>
          <w:p w14:paraId="4834427C"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w:t>
            </w:r>
          </w:p>
        </w:tc>
        <w:tc>
          <w:tcPr>
            <w:tcW w:w="2400" w:type="dxa"/>
            <w:shd w:val="clear" w:color="auto" w:fill="FFFFFF"/>
            <w:tcMar>
              <w:top w:w="0" w:type="dxa"/>
              <w:left w:w="0" w:type="dxa"/>
              <w:bottom w:w="0" w:type="dxa"/>
              <w:right w:w="0" w:type="dxa"/>
            </w:tcMar>
            <w:vAlign w:val="center"/>
          </w:tcPr>
          <w:p w14:paraId="17E772A1" w14:textId="77777777" w:rsidR="00816180" w:rsidRPr="006A7336" w:rsidRDefault="00816180"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 (12%)</w:t>
            </w:r>
          </w:p>
        </w:tc>
      </w:tr>
    </w:tbl>
    <w:p w14:paraId="231443E5" w14:textId="77777777" w:rsidR="00816180" w:rsidRPr="006A7336" w:rsidRDefault="00816180" w:rsidP="00BA1DF3">
      <w:pPr>
        <w:spacing w:line="360" w:lineRule="auto"/>
        <w:rPr>
          <w:rFonts w:ascii="Segoe UI" w:hAnsi="Segoe UI" w:cs="Segoe UI"/>
          <w:sz w:val="22"/>
          <w:lang w:val="en-US"/>
        </w:rPr>
      </w:pPr>
    </w:p>
    <w:p w14:paraId="5B7D5A64" w14:textId="77777777" w:rsidR="00976EC7" w:rsidRPr="006A7336" w:rsidRDefault="005A269D" w:rsidP="00BA1DF3">
      <w:pPr>
        <w:spacing w:line="360" w:lineRule="auto"/>
        <w:rPr>
          <w:rFonts w:ascii="Segoe UI" w:hAnsi="Segoe UI" w:cs="Segoe UI"/>
          <w:sz w:val="22"/>
          <w:lang w:val="en-US"/>
        </w:rPr>
      </w:pPr>
      <w:r w:rsidRPr="006A7336">
        <w:rPr>
          <w:rFonts w:ascii="Segoe UI" w:hAnsi="Segoe UI" w:cs="Segoe UI"/>
          <w:sz w:val="22"/>
          <w:lang w:val="en-US"/>
        </w:rPr>
        <w:br w:type="textWrapping" w:clear="all"/>
      </w:r>
      <w:r w:rsidR="009526E6" w:rsidRPr="006A7336">
        <w:rPr>
          <w:rFonts w:ascii="Segoe UI" w:hAnsi="Segoe UI" w:cs="Segoe UI"/>
          <w:sz w:val="22"/>
          <w:lang w:val="en-US"/>
        </w:rPr>
        <w:t>SD: standard deviation; Q1: lower quartile; Q3: upper quartile; CCS: Canadian Cardiovascular Society classification; NYHA: New York Heart Association classification; LVEF: left ventricle ejection fraction</w:t>
      </w:r>
      <w:r w:rsidR="006F287F" w:rsidRPr="006A7336">
        <w:rPr>
          <w:rFonts w:ascii="Segoe UI" w:hAnsi="Segoe UI" w:cs="Segoe UI"/>
          <w:sz w:val="22"/>
          <w:lang w:val="en-US"/>
        </w:rPr>
        <w:t>; PCI</w:t>
      </w:r>
      <w:r w:rsidR="00816180" w:rsidRPr="006A7336">
        <w:rPr>
          <w:rFonts w:ascii="Segoe UI" w:hAnsi="Segoe UI" w:cs="Segoe UI"/>
          <w:sz w:val="22"/>
          <w:lang w:val="en-US"/>
        </w:rPr>
        <w:t xml:space="preserve">: </w:t>
      </w:r>
      <w:r w:rsidR="006F287F" w:rsidRPr="006A7336">
        <w:rPr>
          <w:rFonts w:ascii="Segoe UI" w:hAnsi="Segoe UI" w:cs="Segoe UI"/>
          <w:sz w:val="22"/>
          <w:lang w:val="en-US"/>
        </w:rPr>
        <w:t>Percutaneous Coronary Intervention</w:t>
      </w:r>
      <w:r w:rsidRPr="006A7336">
        <w:rPr>
          <w:rFonts w:ascii="Segoe UI" w:hAnsi="Segoe UI" w:cs="Segoe UI"/>
          <w:sz w:val="22"/>
          <w:lang w:val="en-US"/>
        </w:rPr>
        <w:t>; AVA</w:t>
      </w:r>
      <w:r w:rsidR="00816180" w:rsidRPr="006A7336">
        <w:rPr>
          <w:rFonts w:ascii="Segoe UI" w:hAnsi="Segoe UI" w:cs="Segoe UI"/>
          <w:sz w:val="22"/>
          <w:lang w:val="en-US"/>
        </w:rPr>
        <w:t>:</w:t>
      </w:r>
      <w:r w:rsidRPr="006A7336">
        <w:rPr>
          <w:rFonts w:ascii="Segoe UI" w:hAnsi="Segoe UI" w:cs="Segoe UI"/>
          <w:sz w:val="22"/>
          <w:lang w:val="en-US"/>
        </w:rPr>
        <w:t xml:space="preserve"> aortic valve area; AS</w:t>
      </w:r>
      <w:r w:rsidR="00816180" w:rsidRPr="006A7336">
        <w:rPr>
          <w:rFonts w:ascii="Segoe UI" w:hAnsi="Segoe UI" w:cs="Segoe UI"/>
          <w:sz w:val="22"/>
          <w:lang w:val="en-US"/>
        </w:rPr>
        <w:t>:</w:t>
      </w:r>
      <w:r w:rsidRPr="006A7336">
        <w:rPr>
          <w:rFonts w:ascii="Segoe UI" w:hAnsi="Segoe UI" w:cs="Segoe UI"/>
          <w:sz w:val="22"/>
          <w:lang w:val="en-US"/>
        </w:rPr>
        <w:t xml:space="preserve"> aortic </w:t>
      </w:r>
      <w:r w:rsidRPr="006A7336">
        <w:rPr>
          <w:rFonts w:ascii="Segoe UI" w:hAnsi="Segoe UI" w:cs="Segoe UI"/>
          <w:sz w:val="22"/>
          <w:lang w:val="en-US"/>
        </w:rPr>
        <w:lastRenderedPageBreak/>
        <w:t>stenosis</w:t>
      </w:r>
      <w:r w:rsidR="00816180" w:rsidRPr="006A7336">
        <w:rPr>
          <w:rFonts w:ascii="Segoe UI" w:hAnsi="Segoe UI" w:cs="Segoe UI"/>
          <w:sz w:val="22"/>
          <w:lang w:val="en-US"/>
        </w:rPr>
        <w:t xml:space="preserve">; HGNF: high gradient normal flow; HGHF: high gradient high flow; LFHG: low flow high gradient; LFLG: low flow low gradient; </w:t>
      </w:r>
      <w:proofErr w:type="spellStart"/>
      <w:r w:rsidR="00816180" w:rsidRPr="006A7336">
        <w:rPr>
          <w:rFonts w:ascii="Segoe UI" w:hAnsi="Segoe UI" w:cs="Segoe UI"/>
          <w:sz w:val="22"/>
          <w:lang w:val="en-US"/>
        </w:rPr>
        <w:t>pLFLG</w:t>
      </w:r>
      <w:proofErr w:type="spellEnd"/>
      <w:r w:rsidR="00816180" w:rsidRPr="006A7336">
        <w:rPr>
          <w:rFonts w:ascii="Segoe UI" w:hAnsi="Segoe UI" w:cs="Segoe UI"/>
          <w:sz w:val="22"/>
          <w:lang w:val="en-US"/>
        </w:rPr>
        <w:t>: paradoxical low flow low gradient </w:t>
      </w:r>
    </w:p>
    <w:p w14:paraId="7301A2FD" w14:textId="77777777" w:rsidR="00124BDE" w:rsidRPr="006A7336" w:rsidRDefault="00124BDE" w:rsidP="00BA1DF3">
      <w:pPr>
        <w:spacing w:line="360" w:lineRule="auto"/>
        <w:rPr>
          <w:rFonts w:ascii="Segoe UI" w:hAnsi="Segoe UI" w:cs="Segoe UI"/>
          <w:sz w:val="22"/>
          <w:lang w:val="en-US"/>
        </w:rPr>
      </w:pPr>
    </w:p>
    <w:p w14:paraId="20D6BCFF" w14:textId="77777777" w:rsidR="00AF1996" w:rsidRPr="006A7336" w:rsidRDefault="00AC766C" w:rsidP="00BA1DF3">
      <w:pPr>
        <w:spacing w:line="360" w:lineRule="auto"/>
        <w:rPr>
          <w:rFonts w:ascii="Segoe UI" w:hAnsi="Segoe UI" w:cs="Segoe UI"/>
          <w:sz w:val="22"/>
          <w:lang w:val="en-US"/>
        </w:rPr>
      </w:pPr>
      <w:r w:rsidRPr="006A7336">
        <w:rPr>
          <w:rFonts w:ascii="Segoe UI" w:hAnsi="Segoe UI" w:cs="Segoe UI"/>
          <w:b/>
          <w:bCs/>
          <w:i/>
          <w:iCs/>
          <w:sz w:val="22"/>
          <w:lang w:val="en-US"/>
        </w:rPr>
        <w:t>Levels of frailty, anxiety and depression, social support and quality of life</w:t>
      </w:r>
    </w:p>
    <w:p w14:paraId="691D4A7E" w14:textId="77777777" w:rsidR="009526E6" w:rsidRPr="006A7336" w:rsidRDefault="00AC766C" w:rsidP="00BA1DF3">
      <w:pPr>
        <w:tabs>
          <w:tab w:val="num" w:pos="720"/>
          <w:tab w:val="num" w:pos="1440"/>
        </w:tabs>
        <w:spacing w:line="360" w:lineRule="auto"/>
        <w:rPr>
          <w:rFonts w:ascii="Segoe UI" w:hAnsi="Segoe UI" w:cs="Segoe UI"/>
          <w:sz w:val="22"/>
          <w:lang w:val="en-US"/>
        </w:rPr>
      </w:pPr>
      <w:r w:rsidRPr="006A7336">
        <w:rPr>
          <w:rFonts w:ascii="Segoe UI" w:hAnsi="Segoe UI" w:cs="Segoe UI"/>
          <w:sz w:val="22"/>
          <w:lang w:val="en-US"/>
        </w:rPr>
        <w:tab/>
        <w:t xml:space="preserve">Table 2 </w:t>
      </w:r>
      <w:proofErr w:type="spellStart"/>
      <w:r w:rsidRPr="006A7336">
        <w:rPr>
          <w:rFonts w:ascii="Segoe UI" w:hAnsi="Segoe UI" w:cs="Segoe UI"/>
          <w:sz w:val="22"/>
          <w:lang w:val="en-US"/>
        </w:rPr>
        <w:t>summarises</w:t>
      </w:r>
      <w:proofErr w:type="spellEnd"/>
      <w:r w:rsidRPr="006A7336">
        <w:rPr>
          <w:rFonts w:ascii="Segoe UI" w:hAnsi="Segoe UI" w:cs="Segoe UI"/>
          <w:sz w:val="22"/>
          <w:lang w:val="en-US"/>
        </w:rPr>
        <w:t xml:space="preserve"> the scores on the scales that assessed frailty (TFI), anxiety and depression (HADS), social support (MSPS</w:t>
      </w:r>
      <w:r w:rsidR="00BA63C1" w:rsidRPr="006A7336">
        <w:rPr>
          <w:rFonts w:ascii="Segoe UI" w:hAnsi="Segoe UI" w:cs="Segoe UI"/>
          <w:sz w:val="22"/>
          <w:lang w:val="en-US"/>
        </w:rPr>
        <w:t>S</w:t>
      </w:r>
      <w:r w:rsidRPr="006A7336">
        <w:rPr>
          <w:rFonts w:ascii="Segoe UI" w:hAnsi="Segoe UI" w:cs="Segoe UI"/>
          <w:sz w:val="22"/>
          <w:lang w:val="en-US"/>
        </w:rPr>
        <w:t>) and quality of life (</w:t>
      </w:r>
      <w:r w:rsidR="00D03493" w:rsidRPr="006A7336">
        <w:rPr>
          <w:rFonts w:ascii="Segoe UI" w:hAnsi="Segoe UI" w:cs="Segoe UI"/>
          <w:sz w:val="22"/>
          <w:lang w:val="en-US"/>
        </w:rPr>
        <w:t xml:space="preserve">MLHFQ, </w:t>
      </w:r>
      <w:r w:rsidRPr="006A7336">
        <w:rPr>
          <w:rFonts w:ascii="Segoe UI" w:hAnsi="Segoe UI" w:cs="Segoe UI"/>
          <w:sz w:val="22"/>
          <w:lang w:val="en-US"/>
        </w:rPr>
        <w:t xml:space="preserve">TASQ). Among the study participants, 82.3% of patients had frailty syndrome. Prominent symptoms of anxiety were </w:t>
      </w:r>
      <w:r w:rsidR="00CA44FB" w:rsidRPr="006A7336">
        <w:rPr>
          <w:rFonts w:ascii="Segoe UI" w:hAnsi="Segoe UI" w:cs="Segoe UI"/>
          <w:sz w:val="22"/>
          <w:lang w:val="en-US"/>
        </w:rPr>
        <w:t>present in 31</w:t>
      </w:r>
      <w:r w:rsidRPr="006A7336">
        <w:rPr>
          <w:rFonts w:ascii="Segoe UI" w:hAnsi="Segoe UI" w:cs="Segoe UI"/>
          <w:sz w:val="22"/>
          <w:lang w:val="en-US"/>
        </w:rPr>
        <w:t>% of pat</w:t>
      </w:r>
      <w:r w:rsidR="00CA44FB" w:rsidRPr="006A7336">
        <w:rPr>
          <w:rFonts w:ascii="Segoe UI" w:hAnsi="Segoe UI" w:cs="Segoe UI"/>
          <w:sz w:val="22"/>
          <w:lang w:val="en-US"/>
        </w:rPr>
        <w:t>ients and of depression in 36</w:t>
      </w:r>
      <w:r w:rsidRPr="006A7336">
        <w:rPr>
          <w:rFonts w:ascii="Segoe UI" w:hAnsi="Segoe UI" w:cs="Segoe UI"/>
          <w:sz w:val="22"/>
          <w:lang w:val="en-US"/>
        </w:rPr>
        <w:t xml:space="preserve">%. Study patients with severe AS presented moderate </w:t>
      </w:r>
      <w:r w:rsidR="00CA44FB" w:rsidRPr="006A7336">
        <w:rPr>
          <w:rFonts w:ascii="Segoe UI" w:hAnsi="Segoe UI" w:cs="Segoe UI"/>
          <w:sz w:val="22"/>
          <w:lang w:val="en-US"/>
        </w:rPr>
        <w:t>levels of quality of life (60.7±22.8</w:t>
      </w:r>
      <w:r w:rsidRPr="006A7336">
        <w:rPr>
          <w:rFonts w:ascii="Segoe UI" w:hAnsi="Segoe UI" w:cs="Segoe UI"/>
          <w:sz w:val="22"/>
          <w:lang w:val="en-US"/>
        </w:rPr>
        <w:t>) and high levels of total</w:t>
      </w:r>
      <w:r w:rsidR="00CA44FB" w:rsidRPr="006A7336">
        <w:rPr>
          <w:rFonts w:ascii="Segoe UI" w:hAnsi="Segoe UI" w:cs="Segoe UI"/>
          <w:sz w:val="22"/>
          <w:lang w:val="en-US"/>
        </w:rPr>
        <w:t xml:space="preserve"> perceived social support (70.1± 14.7</w:t>
      </w:r>
      <w:r w:rsidRPr="006A7336">
        <w:rPr>
          <w:rFonts w:ascii="Segoe UI" w:hAnsi="Segoe UI" w:cs="Segoe UI"/>
          <w:sz w:val="22"/>
          <w:lang w:val="en-US"/>
        </w:rPr>
        <w:t>).</w:t>
      </w:r>
    </w:p>
    <w:p w14:paraId="23BFA508" w14:textId="77777777" w:rsidR="00AF1996" w:rsidRPr="006A7336" w:rsidRDefault="00AC766C" w:rsidP="00BA1DF3">
      <w:pPr>
        <w:spacing w:line="360" w:lineRule="auto"/>
        <w:rPr>
          <w:rFonts w:ascii="Segoe UI" w:hAnsi="Segoe UI" w:cs="Segoe UI"/>
          <w:sz w:val="22"/>
          <w:lang w:val="en-US"/>
        </w:rPr>
      </w:pPr>
      <w:r w:rsidRPr="006A7336">
        <w:rPr>
          <w:rFonts w:ascii="Segoe UI" w:hAnsi="Segoe UI" w:cs="Segoe UI"/>
          <w:sz w:val="22"/>
          <w:lang w:val="en-US"/>
        </w:rPr>
        <w:t>Table 2. Results of the questionnaires</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20" w:firstRow="1" w:lastRow="0" w:firstColumn="0" w:lastColumn="0" w:noHBand="0" w:noVBand="1"/>
      </w:tblPr>
      <w:tblGrid>
        <w:gridCol w:w="838"/>
        <w:gridCol w:w="3427"/>
        <w:gridCol w:w="850"/>
        <w:gridCol w:w="709"/>
        <w:gridCol w:w="707"/>
        <w:gridCol w:w="709"/>
        <w:gridCol w:w="708"/>
        <w:gridCol w:w="567"/>
        <w:gridCol w:w="531"/>
      </w:tblGrid>
      <w:tr w:rsidR="00A96F13" w:rsidRPr="006A7336" w14:paraId="5030CCBB" w14:textId="77777777">
        <w:trPr>
          <w:jc w:val="center"/>
        </w:trPr>
        <w:tc>
          <w:tcPr>
            <w:tcW w:w="838" w:type="dxa"/>
            <w:shd w:val="clear" w:color="auto" w:fill="D1D1D1"/>
            <w:tcMar>
              <w:top w:w="0" w:type="dxa"/>
              <w:left w:w="0" w:type="dxa"/>
              <w:bottom w:w="0" w:type="dxa"/>
              <w:right w:w="0" w:type="dxa"/>
            </w:tcMar>
            <w:vAlign w:val="center"/>
          </w:tcPr>
          <w:p w14:paraId="0A2AF4E8"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b/>
                <w:sz w:val="18"/>
                <w:szCs w:val="18"/>
              </w:rPr>
              <w:t>Scale</w:t>
            </w:r>
            <w:proofErr w:type="spellEnd"/>
          </w:p>
        </w:tc>
        <w:tc>
          <w:tcPr>
            <w:tcW w:w="3427" w:type="dxa"/>
            <w:shd w:val="clear" w:color="auto" w:fill="D1D1D1"/>
            <w:tcMar>
              <w:top w:w="0" w:type="dxa"/>
              <w:left w:w="0" w:type="dxa"/>
              <w:bottom w:w="0" w:type="dxa"/>
              <w:right w:w="0" w:type="dxa"/>
            </w:tcMar>
            <w:vAlign w:val="center"/>
          </w:tcPr>
          <w:p w14:paraId="2D022952"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b/>
                <w:sz w:val="18"/>
                <w:szCs w:val="18"/>
              </w:rPr>
              <w:t>Subscale</w:t>
            </w:r>
            <w:proofErr w:type="spellEnd"/>
          </w:p>
        </w:tc>
        <w:tc>
          <w:tcPr>
            <w:tcW w:w="850" w:type="dxa"/>
            <w:shd w:val="clear" w:color="auto" w:fill="D1D1D1"/>
            <w:tcMar>
              <w:top w:w="0" w:type="dxa"/>
              <w:left w:w="0" w:type="dxa"/>
              <w:bottom w:w="0" w:type="dxa"/>
              <w:right w:w="0" w:type="dxa"/>
            </w:tcMar>
            <w:vAlign w:val="center"/>
          </w:tcPr>
          <w:p w14:paraId="46F7FBBE"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b/>
                <w:sz w:val="18"/>
                <w:szCs w:val="18"/>
              </w:rPr>
              <w:t>Mean</w:t>
            </w:r>
            <w:proofErr w:type="spellEnd"/>
          </w:p>
        </w:tc>
        <w:tc>
          <w:tcPr>
            <w:tcW w:w="709" w:type="dxa"/>
            <w:shd w:val="clear" w:color="auto" w:fill="D1D1D1"/>
            <w:tcMar>
              <w:top w:w="0" w:type="dxa"/>
              <w:left w:w="0" w:type="dxa"/>
              <w:bottom w:w="0" w:type="dxa"/>
              <w:right w:w="0" w:type="dxa"/>
            </w:tcMar>
            <w:vAlign w:val="center"/>
          </w:tcPr>
          <w:p w14:paraId="32817068"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b/>
                <w:sz w:val="18"/>
                <w:szCs w:val="18"/>
              </w:rPr>
              <w:t>SD</w:t>
            </w:r>
          </w:p>
        </w:tc>
        <w:tc>
          <w:tcPr>
            <w:tcW w:w="707" w:type="dxa"/>
            <w:shd w:val="clear" w:color="auto" w:fill="D1D1D1"/>
            <w:tcMar>
              <w:top w:w="0" w:type="dxa"/>
              <w:left w:w="0" w:type="dxa"/>
              <w:bottom w:w="0" w:type="dxa"/>
              <w:right w:w="0" w:type="dxa"/>
            </w:tcMar>
            <w:vAlign w:val="center"/>
          </w:tcPr>
          <w:p w14:paraId="2AC20B17"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b/>
                <w:sz w:val="18"/>
                <w:szCs w:val="18"/>
              </w:rPr>
              <w:t>Median</w:t>
            </w:r>
          </w:p>
        </w:tc>
        <w:tc>
          <w:tcPr>
            <w:tcW w:w="709" w:type="dxa"/>
            <w:shd w:val="clear" w:color="auto" w:fill="D1D1D1"/>
            <w:tcMar>
              <w:top w:w="0" w:type="dxa"/>
              <w:left w:w="0" w:type="dxa"/>
              <w:bottom w:w="0" w:type="dxa"/>
              <w:right w:w="0" w:type="dxa"/>
            </w:tcMar>
            <w:vAlign w:val="center"/>
          </w:tcPr>
          <w:p w14:paraId="71304BDE"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b/>
                <w:sz w:val="18"/>
                <w:szCs w:val="18"/>
              </w:rPr>
              <w:t>Min</w:t>
            </w:r>
          </w:p>
        </w:tc>
        <w:tc>
          <w:tcPr>
            <w:tcW w:w="708" w:type="dxa"/>
            <w:shd w:val="clear" w:color="auto" w:fill="D1D1D1"/>
            <w:tcMar>
              <w:top w:w="0" w:type="dxa"/>
              <w:left w:w="0" w:type="dxa"/>
              <w:bottom w:w="0" w:type="dxa"/>
              <w:right w:w="0" w:type="dxa"/>
            </w:tcMar>
            <w:vAlign w:val="center"/>
          </w:tcPr>
          <w:p w14:paraId="64DB6DAC"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b/>
                <w:sz w:val="18"/>
                <w:szCs w:val="18"/>
              </w:rPr>
              <w:t>Max</w:t>
            </w:r>
          </w:p>
        </w:tc>
        <w:tc>
          <w:tcPr>
            <w:tcW w:w="567" w:type="dxa"/>
            <w:shd w:val="clear" w:color="auto" w:fill="D1D1D1"/>
            <w:tcMar>
              <w:top w:w="0" w:type="dxa"/>
              <w:left w:w="0" w:type="dxa"/>
              <w:bottom w:w="0" w:type="dxa"/>
              <w:right w:w="0" w:type="dxa"/>
            </w:tcMar>
            <w:vAlign w:val="center"/>
          </w:tcPr>
          <w:p w14:paraId="510B3A39"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b/>
                <w:sz w:val="18"/>
                <w:szCs w:val="18"/>
              </w:rPr>
              <w:t>Q1</w:t>
            </w:r>
          </w:p>
        </w:tc>
        <w:tc>
          <w:tcPr>
            <w:tcW w:w="531" w:type="dxa"/>
            <w:shd w:val="clear" w:color="auto" w:fill="D1D1D1"/>
            <w:tcMar>
              <w:top w:w="0" w:type="dxa"/>
              <w:left w:w="0" w:type="dxa"/>
              <w:bottom w:w="0" w:type="dxa"/>
              <w:right w:w="0" w:type="dxa"/>
            </w:tcMar>
            <w:vAlign w:val="center"/>
          </w:tcPr>
          <w:p w14:paraId="36C57546"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b/>
                <w:sz w:val="18"/>
                <w:szCs w:val="18"/>
              </w:rPr>
              <w:t>Q3</w:t>
            </w:r>
          </w:p>
        </w:tc>
      </w:tr>
      <w:tr w:rsidR="00A96F13" w:rsidRPr="006A7336" w14:paraId="11D2DC4E" w14:textId="77777777" w:rsidTr="00A96F13">
        <w:trPr>
          <w:jc w:val="center"/>
        </w:trPr>
        <w:tc>
          <w:tcPr>
            <w:tcW w:w="838" w:type="dxa"/>
            <w:vMerge w:val="restart"/>
            <w:shd w:val="clear" w:color="auto" w:fill="FFFFFF"/>
            <w:tcMar>
              <w:top w:w="0" w:type="dxa"/>
              <w:left w:w="0" w:type="dxa"/>
              <w:bottom w:w="0" w:type="dxa"/>
              <w:right w:w="0" w:type="dxa"/>
            </w:tcMar>
            <w:vAlign w:val="center"/>
          </w:tcPr>
          <w:p w14:paraId="7B2AF4A7"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TFI</w:t>
            </w:r>
          </w:p>
        </w:tc>
        <w:tc>
          <w:tcPr>
            <w:tcW w:w="3427" w:type="dxa"/>
            <w:shd w:val="clear" w:color="auto" w:fill="FFFFFF"/>
            <w:tcMar>
              <w:top w:w="0" w:type="dxa"/>
              <w:left w:w="0" w:type="dxa"/>
              <w:bottom w:w="0" w:type="dxa"/>
              <w:right w:w="0" w:type="dxa"/>
            </w:tcMar>
            <w:vAlign w:val="center"/>
          </w:tcPr>
          <w:p w14:paraId="39F898E3"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Overall</w:t>
            </w:r>
            <w:proofErr w:type="spellEnd"/>
            <w:r w:rsidRPr="006A7336">
              <w:rPr>
                <w:rFonts w:ascii="Segoe UI" w:hAnsi="Segoe UI" w:cs="Segoe UI"/>
                <w:sz w:val="18"/>
                <w:szCs w:val="18"/>
              </w:rPr>
              <w:t xml:space="preserve"> TFI </w:t>
            </w:r>
            <w:proofErr w:type="spellStart"/>
            <w:r w:rsidRPr="006A7336">
              <w:rPr>
                <w:rFonts w:ascii="Segoe UI" w:hAnsi="Segoe UI" w:cs="Segoe UI"/>
                <w:sz w:val="18"/>
                <w:szCs w:val="18"/>
              </w:rPr>
              <w:t>score</w:t>
            </w:r>
            <w:proofErr w:type="spellEnd"/>
          </w:p>
        </w:tc>
        <w:tc>
          <w:tcPr>
            <w:tcW w:w="850" w:type="dxa"/>
            <w:shd w:val="clear" w:color="auto" w:fill="FFFFFF"/>
            <w:tcMar>
              <w:top w:w="0" w:type="dxa"/>
              <w:left w:w="0" w:type="dxa"/>
              <w:bottom w:w="0" w:type="dxa"/>
              <w:right w:w="0" w:type="dxa"/>
            </w:tcMar>
            <w:vAlign w:val="center"/>
          </w:tcPr>
          <w:p w14:paraId="110E1DCD"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7</w:t>
            </w:r>
            <w:r w:rsidR="009526E6" w:rsidRPr="006A7336">
              <w:rPr>
                <w:rFonts w:ascii="Segoe UI" w:hAnsi="Segoe UI" w:cs="Segoe UI"/>
                <w:sz w:val="18"/>
                <w:szCs w:val="18"/>
              </w:rPr>
              <w:t>.</w:t>
            </w:r>
            <w:r w:rsidR="00CA44FB" w:rsidRPr="006A7336">
              <w:rPr>
                <w:rFonts w:ascii="Segoe UI" w:hAnsi="Segoe UI" w:cs="Segoe UI"/>
                <w:sz w:val="18"/>
                <w:szCs w:val="18"/>
              </w:rPr>
              <w:t>1</w:t>
            </w:r>
          </w:p>
        </w:tc>
        <w:tc>
          <w:tcPr>
            <w:tcW w:w="709" w:type="dxa"/>
            <w:shd w:val="clear" w:color="auto" w:fill="FFFFFF"/>
            <w:tcMar>
              <w:top w:w="0" w:type="dxa"/>
              <w:left w:w="0" w:type="dxa"/>
              <w:bottom w:w="0" w:type="dxa"/>
              <w:right w:w="0" w:type="dxa"/>
            </w:tcMar>
            <w:vAlign w:val="center"/>
          </w:tcPr>
          <w:p w14:paraId="6599F313"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w:t>
            </w:r>
            <w:r w:rsidR="009526E6" w:rsidRPr="006A7336">
              <w:rPr>
                <w:rFonts w:ascii="Segoe UI" w:hAnsi="Segoe UI" w:cs="Segoe UI"/>
                <w:sz w:val="18"/>
                <w:szCs w:val="18"/>
              </w:rPr>
              <w:t>.</w:t>
            </w:r>
            <w:r w:rsidR="00CA44FB" w:rsidRPr="006A7336">
              <w:rPr>
                <w:rFonts w:ascii="Segoe UI" w:hAnsi="Segoe UI" w:cs="Segoe UI"/>
                <w:sz w:val="18"/>
                <w:szCs w:val="18"/>
              </w:rPr>
              <w:t>7</w:t>
            </w:r>
          </w:p>
        </w:tc>
        <w:tc>
          <w:tcPr>
            <w:tcW w:w="707" w:type="dxa"/>
            <w:shd w:val="clear" w:color="auto" w:fill="FFFFFF"/>
            <w:tcMar>
              <w:top w:w="0" w:type="dxa"/>
              <w:left w:w="0" w:type="dxa"/>
              <w:bottom w:w="0" w:type="dxa"/>
              <w:right w:w="0" w:type="dxa"/>
            </w:tcMar>
            <w:vAlign w:val="center"/>
          </w:tcPr>
          <w:p w14:paraId="5E0F032E"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7</w:t>
            </w:r>
          </w:p>
        </w:tc>
        <w:tc>
          <w:tcPr>
            <w:tcW w:w="709" w:type="dxa"/>
            <w:shd w:val="clear" w:color="auto" w:fill="FFFFFF"/>
            <w:tcMar>
              <w:top w:w="0" w:type="dxa"/>
              <w:left w:w="0" w:type="dxa"/>
              <w:bottom w:w="0" w:type="dxa"/>
              <w:right w:w="0" w:type="dxa"/>
            </w:tcMar>
            <w:vAlign w:val="center"/>
          </w:tcPr>
          <w:p w14:paraId="00F9EF68"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w:t>
            </w:r>
          </w:p>
        </w:tc>
        <w:tc>
          <w:tcPr>
            <w:tcW w:w="708" w:type="dxa"/>
            <w:shd w:val="clear" w:color="auto" w:fill="FFFFFF"/>
            <w:tcMar>
              <w:top w:w="0" w:type="dxa"/>
              <w:left w:w="0" w:type="dxa"/>
              <w:bottom w:w="0" w:type="dxa"/>
              <w:right w:w="0" w:type="dxa"/>
            </w:tcMar>
            <w:vAlign w:val="center"/>
          </w:tcPr>
          <w:p w14:paraId="0F620748"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13</w:t>
            </w:r>
          </w:p>
        </w:tc>
        <w:tc>
          <w:tcPr>
            <w:tcW w:w="567" w:type="dxa"/>
            <w:shd w:val="clear" w:color="auto" w:fill="FFFFFF"/>
            <w:tcMar>
              <w:top w:w="0" w:type="dxa"/>
              <w:left w:w="0" w:type="dxa"/>
              <w:bottom w:w="0" w:type="dxa"/>
              <w:right w:w="0" w:type="dxa"/>
            </w:tcMar>
            <w:vAlign w:val="center"/>
          </w:tcPr>
          <w:p w14:paraId="3EBE05DC"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w:t>
            </w:r>
          </w:p>
        </w:tc>
        <w:tc>
          <w:tcPr>
            <w:tcW w:w="531" w:type="dxa"/>
            <w:shd w:val="clear" w:color="auto" w:fill="FFFFFF"/>
            <w:tcMar>
              <w:top w:w="0" w:type="dxa"/>
              <w:left w:w="0" w:type="dxa"/>
              <w:bottom w:w="0" w:type="dxa"/>
              <w:right w:w="0" w:type="dxa"/>
            </w:tcMar>
            <w:vAlign w:val="center"/>
          </w:tcPr>
          <w:p w14:paraId="1AF3B0D0"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9</w:t>
            </w:r>
          </w:p>
        </w:tc>
      </w:tr>
      <w:tr w:rsidR="00A96F13" w:rsidRPr="006A7336" w14:paraId="7BA9DE6D" w14:textId="77777777" w:rsidTr="00A96F13">
        <w:trPr>
          <w:jc w:val="center"/>
        </w:trPr>
        <w:tc>
          <w:tcPr>
            <w:tcW w:w="838" w:type="dxa"/>
            <w:vMerge/>
            <w:shd w:val="clear" w:color="auto" w:fill="FFFFFF"/>
            <w:tcMar>
              <w:top w:w="0" w:type="dxa"/>
              <w:left w:w="0" w:type="dxa"/>
              <w:bottom w:w="0" w:type="dxa"/>
              <w:right w:w="0" w:type="dxa"/>
            </w:tcMar>
            <w:vAlign w:val="center"/>
          </w:tcPr>
          <w:p w14:paraId="615A4D6A"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shd w:val="clear" w:color="auto" w:fill="FFFFFF"/>
            <w:tcMar>
              <w:top w:w="0" w:type="dxa"/>
              <w:left w:w="0" w:type="dxa"/>
              <w:bottom w:w="0" w:type="dxa"/>
              <w:right w:w="0" w:type="dxa"/>
            </w:tcMar>
            <w:vAlign w:val="center"/>
          </w:tcPr>
          <w:p w14:paraId="6058B45F"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Physical</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components</w:t>
            </w:r>
            <w:proofErr w:type="spellEnd"/>
          </w:p>
        </w:tc>
        <w:tc>
          <w:tcPr>
            <w:tcW w:w="850" w:type="dxa"/>
            <w:shd w:val="clear" w:color="auto" w:fill="FFFFFF"/>
            <w:tcMar>
              <w:top w:w="0" w:type="dxa"/>
              <w:left w:w="0" w:type="dxa"/>
              <w:bottom w:w="0" w:type="dxa"/>
              <w:right w:w="0" w:type="dxa"/>
            </w:tcMar>
            <w:vAlign w:val="center"/>
          </w:tcPr>
          <w:p w14:paraId="460C8AAF" w14:textId="77777777" w:rsidR="00AF1996" w:rsidRPr="006A7336" w:rsidRDefault="00CA44FB"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w:t>
            </w:r>
            <w:r w:rsidR="009526E6" w:rsidRPr="006A7336">
              <w:rPr>
                <w:rFonts w:ascii="Segoe UI" w:hAnsi="Segoe UI" w:cs="Segoe UI"/>
                <w:sz w:val="18"/>
                <w:szCs w:val="18"/>
              </w:rPr>
              <w:t>.</w:t>
            </w:r>
            <w:r w:rsidRPr="006A7336">
              <w:rPr>
                <w:rFonts w:ascii="Segoe UI" w:hAnsi="Segoe UI" w:cs="Segoe UI"/>
                <w:sz w:val="18"/>
                <w:szCs w:val="18"/>
              </w:rPr>
              <w:t>0</w:t>
            </w:r>
          </w:p>
        </w:tc>
        <w:tc>
          <w:tcPr>
            <w:tcW w:w="709" w:type="dxa"/>
            <w:shd w:val="clear" w:color="auto" w:fill="FFFFFF"/>
            <w:tcMar>
              <w:top w:w="0" w:type="dxa"/>
              <w:left w:w="0" w:type="dxa"/>
              <w:bottom w:w="0" w:type="dxa"/>
              <w:right w:w="0" w:type="dxa"/>
            </w:tcMar>
            <w:vAlign w:val="center"/>
          </w:tcPr>
          <w:p w14:paraId="6A31442C"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w:t>
            </w:r>
            <w:r w:rsidR="009526E6" w:rsidRPr="006A7336">
              <w:rPr>
                <w:rFonts w:ascii="Segoe UI" w:hAnsi="Segoe UI" w:cs="Segoe UI"/>
                <w:sz w:val="18"/>
                <w:szCs w:val="18"/>
              </w:rPr>
              <w:t>.</w:t>
            </w:r>
            <w:r w:rsidR="00CA44FB" w:rsidRPr="006A7336">
              <w:rPr>
                <w:rFonts w:ascii="Segoe UI" w:hAnsi="Segoe UI" w:cs="Segoe UI"/>
                <w:sz w:val="18"/>
                <w:szCs w:val="18"/>
              </w:rPr>
              <w:t>9</w:t>
            </w:r>
          </w:p>
        </w:tc>
        <w:tc>
          <w:tcPr>
            <w:tcW w:w="707" w:type="dxa"/>
            <w:shd w:val="clear" w:color="auto" w:fill="FFFFFF"/>
            <w:tcMar>
              <w:top w:w="0" w:type="dxa"/>
              <w:left w:w="0" w:type="dxa"/>
              <w:bottom w:w="0" w:type="dxa"/>
              <w:right w:w="0" w:type="dxa"/>
            </w:tcMar>
            <w:vAlign w:val="center"/>
          </w:tcPr>
          <w:p w14:paraId="7F113BB3"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w:t>
            </w:r>
          </w:p>
        </w:tc>
        <w:tc>
          <w:tcPr>
            <w:tcW w:w="709" w:type="dxa"/>
            <w:shd w:val="clear" w:color="auto" w:fill="FFFFFF"/>
            <w:tcMar>
              <w:top w:w="0" w:type="dxa"/>
              <w:left w:w="0" w:type="dxa"/>
              <w:bottom w:w="0" w:type="dxa"/>
              <w:right w:w="0" w:type="dxa"/>
            </w:tcMar>
            <w:vAlign w:val="center"/>
          </w:tcPr>
          <w:p w14:paraId="532C3B8F"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0</w:t>
            </w:r>
          </w:p>
        </w:tc>
        <w:tc>
          <w:tcPr>
            <w:tcW w:w="708" w:type="dxa"/>
            <w:shd w:val="clear" w:color="auto" w:fill="FFFFFF"/>
            <w:tcMar>
              <w:top w:w="0" w:type="dxa"/>
              <w:left w:w="0" w:type="dxa"/>
              <w:bottom w:w="0" w:type="dxa"/>
              <w:right w:w="0" w:type="dxa"/>
            </w:tcMar>
            <w:vAlign w:val="center"/>
          </w:tcPr>
          <w:p w14:paraId="62F5CEC3"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8</w:t>
            </w:r>
          </w:p>
        </w:tc>
        <w:tc>
          <w:tcPr>
            <w:tcW w:w="567" w:type="dxa"/>
            <w:shd w:val="clear" w:color="auto" w:fill="FFFFFF"/>
            <w:tcMar>
              <w:top w:w="0" w:type="dxa"/>
              <w:left w:w="0" w:type="dxa"/>
              <w:bottom w:w="0" w:type="dxa"/>
              <w:right w:w="0" w:type="dxa"/>
            </w:tcMar>
            <w:vAlign w:val="center"/>
          </w:tcPr>
          <w:p w14:paraId="0B0A0BAD"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w:t>
            </w:r>
          </w:p>
        </w:tc>
        <w:tc>
          <w:tcPr>
            <w:tcW w:w="531" w:type="dxa"/>
            <w:shd w:val="clear" w:color="auto" w:fill="FFFFFF"/>
            <w:tcMar>
              <w:top w:w="0" w:type="dxa"/>
              <w:left w:w="0" w:type="dxa"/>
              <w:bottom w:w="0" w:type="dxa"/>
              <w:right w:w="0" w:type="dxa"/>
            </w:tcMar>
            <w:vAlign w:val="center"/>
          </w:tcPr>
          <w:p w14:paraId="1B6E907D"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w:t>
            </w:r>
          </w:p>
        </w:tc>
      </w:tr>
      <w:tr w:rsidR="00A96F13" w:rsidRPr="006A7336" w14:paraId="5A8024D6" w14:textId="77777777" w:rsidTr="00A96F13">
        <w:trPr>
          <w:jc w:val="center"/>
        </w:trPr>
        <w:tc>
          <w:tcPr>
            <w:tcW w:w="838" w:type="dxa"/>
            <w:vMerge/>
            <w:shd w:val="clear" w:color="auto" w:fill="FFFFFF"/>
            <w:tcMar>
              <w:top w:w="0" w:type="dxa"/>
              <w:left w:w="0" w:type="dxa"/>
              <w:bottom w:w="0" w:type="dxa"/>
              <w:right w:w="0" w:type="dxa"/>
            </w:tcMar>
            <w:vAlign w:val="center"/>
          </w:tcPr>
          <w:p w14:paraId="3EC705B1"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shd w:val="clear" w:color="auto" w:fill="FFFFFF"/>
            <w:tcMar>
              <w:top w:w="0" w:type="dxa"/>
              <w:left w:w="0" w:type="dxa"/>
              <w:bottom w:w="0" w:type="dxa"/>
              <w:right w:w="0" w:type="dxa"/>
            </w:tcMar>
            <w:vAlign w:val="center"/>
          </w:tcPr>
          <w:p w14:paraId="74322825"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Psychological</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components</w:t>
            </w:r>
            <w:proofErr w:type="spellEnd"/>
          </w:p>
        </w:tc>
        <w:tc>
          <w:tcPr>
            <w:tcW w:w="850" w:type="dxa"/>
            <w:shd w:val="clear" w:color="auto" w:fill="FFFFFF"/>
            <w:tcMar>
              <w:top w:w="0" w:type="dxa"/>
              <w:left w:w="0" w:type="dxa"/>
              <w:bottom w:w="0" w:type="dxa"/>
              <w:right w:w="0" w:type="dxa"/>
            </w:tcMar>
            <w:vAlign w:val="center"/>
          </w:tcPr>
          <w:p w14:paraId="433B1345" w14:textId="77777777" w:rsidR="00AF1996" w:rsidRPr="006A7336" w:rsidRDefault="00CA44FB"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w:t>
            </w:r>
            <w:r w:rsidR="009526E6" w:rsidRPr="006A7336">
              <w:rPr>
                <w:rFonts w:ascii="Segoe UI" w:hAnsi="Segoe UI" w:cs="Segoe UI"/>
                <w:sz w:val="18"/>
                <w:szCs w:val="18"/>
              </w:rPr>
              <w:t>.</w:t>
            </w:r>
            <w:r w:rsidRPr="006A7336">
              <w:rPr>
                <w:rFonts w:ascii="Segoe UI" w:hAnsi="Segoe UI" w:cs="Segoe UI"/>
                <w:sz w:val="18"/>
                <w:szCs w:val="18"/>
              </w:rPr>
              <w:t>0</w:t>
            </w:r>
          </w:p>
        </w:tc>
        <w:tc>
          <w:tcPr>
            <w:tcW w:w="709" w:type="dxa"/>
            <w:shd w:val="clear" w:color="auto" w:fill="FFFFFF"/>
            <w:tcMar>
              <w:top w:w="0" w:type="dxa"/>
              <w:left w:w="0" w:type="dxa"/>
              <w:bottom w:w="0" w:type="dxa"/>
              <w:right w:w="0" w:type="dxa"/>
            </w:tcMar>
            <w:vAlign w:val="center"/>
          </w:tcPr>
          <w:p w14:paraId="4C5F1369"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w:t>
            </w:r>
            <w:r w:rsidR="009526E6" w:rsidRPr="006A7336">
              <w:rPr>
                <w:rFonts w:ascii="Segoe UI" w:hAnsi="Segoe UI" w:cs="Segoe UI"/>
                <w:sz w:val="18"/>
                <w:szCs w:val="18"/>
              </w:rPr>
              <w:t>.</w:t>
            </w:r>
            <w:r w:rsidR="00CA44FB" w:rsidRPr="006A7336">
              <w:rPr>
                <w:rFonts w:ascii="Segoe UI" w:hAnsi="Segoe UI" w:cs="Segoe UI"/>
                <w:sz w:val="18"/>
                <w:szCs w:val="18"/>
              </w:rPr>
              <w:t>1</w:t>
            </w:r>
          </w:p>
        </w:tc>
        <w:tc>
          <w:tcPr>
            <w:tcW w:w="707" w:type="dxa"/>
            <w:shd w:val="clear" w:color="auto" w:fill="FFFFFF"/>
            <w:tcMar>
              <w:top w:w="0" w:type="dxa"/>
              <w:left w:w="0" w:type="dxa"/>
              <w:bottom w:w="0" w:type="dxa"/>
              <w:right w:w="0" w:type="dxa"/>
            </w:tcMar>
            <w:vAlign w:val="center"/>
          </w:tcPr>
          <w:p w14:paraId="767878B6"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w:t>
            </w:r>
          </w:p>
        </w:tc>
        <w:tc>
          <w:tcPr>
            <w:tcW w:w="709" w:type="dxa"/>
            <w:shd w:val="clear" w:color="auto" w:fill="FFFFFF"/>
            <w:tcMar>
              <w:top w:w="0" w:type="dxa"/>
              <w:left w:w="0" w:type="dxa"/>
              <w:bottom w:w="0" w:type="dxa"/>
              <w:right w:w="0" w:type="dxa"/>
            </w:tcMar>
            <w:vAlign w:val="center"/>
          </w:tcPr>
          <w:p w14:paraId="06BBC898"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0</w:t>
            </w:r>
          </w:p>
        </w:tc>
        <w:tc>
          <w:tcPr>
            <w:tcW w:w="708" w:type="dxa"/>
            <w:shd w:val="clear" w:color="auto" w:fill="FFFFFF"/>
            <w:tcMar>
              <w:top w:w="0" w:type="dxa"/>
              <w:left w:w="0" w:type="dxa"/>
              <w:bottom w:w="0" w:type="dxa"/>
              <w:right w:w="0" w:type="dxa"/>
            </w:tcMar>
            <w:vAlign w:val="center"/>
          </w:tcPr>
          <w:p w14:paraId="6D0B270A"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w:t>
            </w:r>
          </w:p>
        </w:tc>
        <w:tc>
          <w:tcPr>
            <w:tcW w:w="567" w:type="dxa"/>
            <w:shd w:val="clear" w:color="auto" w:fill="FFFFFF"/>
            <w:tcMar>
              <w:top w:w="0" w:type="dxa"/>
              <w:left w:w="0" w:type="dxa"/>
              <w:bottom w:w="0" w:type="dxa"/>
              <w:right w:w="0" w:type="dxa"/>
            </w:tcMar>
            <w:vAlign w:val="center"/>
          </w:tcPr>
          <w:p w14:paraId="5FE590D5"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w:t>
            </w:r>
          </w:p>
        </w:tc>
        <w:tc>
          <w:tcPr>
            <w:tcW w:w="531" w:type="dxa"/>
            <w:shd w:val="clear" w:color="auto" w:fill="FFFFFF"/>
            <w:tcMar>
              <w:top w:w="0" w:type="dxa"/>
              <w:left w:w="0" w:type="dxa"/>
              <w:bottom w:w="0" w:type="dxa"/>
              <w:right w:w="0" w:type="dxa"/>
            </w:tcMar>
            <w:vAlign w:val="center"/>
          </w:tcPr>
          <w:p w14:paraId="04F2324B"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w:t>
            </w:r>
          </w:p>
        </w:tc>
      </w:tr>
      <w:tr w:rsidR="00A96F13" w:rsidRPr="006A7336" w14:paraId="4FD2A217" w14:textId="77777777" w:rsidTr="00A96F13">
        <w:trPr>
          <w:jc w:val="center"/>
        </w:trPr>
        <w:tc>
          <w:tcPr>
            <w:tcW w:w="838" w:type="dxa"/>
            <w:vMerge/>
            <w:shd w:val="clear" w:color="auto" w:fill="FFFFFF"/>
            <w:tcMar>
              <w:top w:w="0" w:type="dxa"/>
              <w:left w:w="0" w:type="dxa"/>
              <w:bottom w:w="0" w:type="dxa"/>
              <w:right w:w="0" w:type="dxa"/>
            </w:tcMar>
            <w:vAlign w:val="center"/>
          </w:tcPr>
          <w:p w14:paraId="01120B6D"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shd w:val="clear" w:color="auto" w:fill="FFFFFF"/>
            <w:tcMar>
              <w:top w:w="0" w:type="dxa"/>
              <w:left w:w="0" w:type="dxa"/>
              <w:bottom w:w="0" w:type="dxa"/>
              <w:right w:w="0" w:type="dxa"/>
            </w:tcMar>
            <w:vAlign w:val="center"/>
          </w:tcPr>
          <w:p w14:paraId="2C4CF45E"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Social</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components</w:t>
            </w:r>
            <w:proofErr w:type="spellEnd"/>
          </w:p>
        </w:tc>
        <w:tc>
          <w:tcPr>
            <w:tcW w:w="850" w:type="dxa"/>
            <w:shd w:val="clear" w:color="auto" w:fill="FFFFFF"/>
            <w:tcMar>
              <w:top w:w="0" w:type="dxa"/>
              <w:left w:w="0" w:type="dxa"/>
              <w:bottom w:w="0" w:type="dxa"/>
              <w:right w:w="0" w:type="dxa"/>
            </w:tcMar>
            <w:vAlign w:val="center"/>
          </w:tcPr>
          <w:p w14:paraId="1F479497"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w:t>
            </w:r>
            <w:r w:rsidR="009526E6" w:rsidRPr="006A7336">
              <w:rPr>
                <w:rFonts w:ascii="Segoe UI" w:hAnsi="Segoe UI" w:cs="Segoe UI"/>
                <w:sz w:val="18"/>
                <w:szCs w:val="18"/>
              </w:rPr>
              <w:t>.</w:t>
            </w:r>
            <w:r w:rsidR="00CA44FB" w:rsidRPr="006A7336">
              <w:rPr>
                <w:rFonts w:ascii="Segoe UI" w:hAnsi="Segoe UI" w:cs="Segoe UI"/>
                <w:sz w:val="18"/>
                <w:szCs w:val="18"/>
              </w:rPr>
              <w:t>2</w:t>
            </w:r>
          </w:p>
        </w:tc>
        <w:tc>
          <w:tcPr>
            <w:tcW w:w="709" w:type="dxa"/>
            <w:shd w:val="clear" w:color="auto" w:fill="FFFFFF"/>
            <w:tcMar>
              <w:top w:w="0" w:type="dxa"/>
              <w:left w:w="0" w:type="dxa"/>
              <w:bottom w:w="0" w:type="dxa"/>
              <w:right w:w="0" w:type="dxa"/>
            </w:tcMar>
            <w:vAlign w:val="center"/>
          </w:tcPr>
          <w:p w14:paraId="181C2D0D"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0</w:t>
            </w:r>
            <w:r w:rsidR="009526E6" w:rsidRPr="006A7336">
              <w:rPr>
                <w:rFonts w:ascii="Segoe UI" w:hAnsi="Segoe UI" w:cs="Segoe UI"/>
                <w:sz w:val="18"/>
                <w:szCs w:val="18"/>
              </w:rPr>
              <w:t>.</w:t>
            </w:r>
            <w:r w:rsidR="00CA44FB" w:rsidRPr="006A7336">
              <w:rPr>
                <w:rFonts w:ascii="Segoe UI" w:hAnsi="Segoe UI" w:cs="Segoe UI"/>
                <w:sz w:val="18"/>
                <w:szCs w:val="18"/>
              </w:rPr>
              <w:t>8</w:t>
            </w:r>
          </w:p>
        </w:tc>
        <w:tc>
          <w:tcPr>
            <w:tcW w:w="707" w:type="dxa"/>
            <w:shd w:val="clear" w:color="auto" w:fill="FFFFFF"/>
            <w:tcMar>
              <w:top w:w="0" w:type="dxa"/>
              <w:left w:w="0" w:type="dxa"/>
              <w:bottom w:w="0" w:type="dxa"/>
              <w:right w:w="0" w:type="dxa"/>
            </w:tcMar>
            <w:vAlign w:val="center"/>
          </w:tcPr>
          <w:p w14:paraId="0BF912CC"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w:t>
            </w:r>
          </w:p>
        </w:tc>
        <w:tc>
          <w:tcPr>
            <w:tcW w:w="709" w:type="dxa"/>
            <w:shd w:val="clear" w:color="auto" w:fill="FFFFFF"/>
            <w:tcMar>
              <w:top w:w="0" w:type="dxa"/>
              <w:left w:w="0" w:type="dxa"/>
              <w:bottom w:w="0" w:type="dxa"/>
              <w:right w:w="0" w:type="dxa"/>
            </w:tcMar>
            <w:vAlign w:val="center"/>
          </w:tcPr>
          <w:p w14:paraId="6D52C761"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0</w:t>
            </w:r>
          </w:p>
        </w:tc>
        <w:tc>
          <w:tcPr>
            <w:tcW w:w="708" w:type="dxa"/>
            <w:shd w:val="clear" w:color="auto" w:fill="FFFFFF"/>
            <w:tcMar>
              <w:top w:w="0" w:type="dxa"/>
              <w:left w:w="0" w:type="dxa"/>
              <w:bottom w:w="0" w:type="dxa"/>
              <w:right w:w="0" w:type="dxa"/>
            </w:tcMar>
            <w:vAlign w:val="center"/>
          </w:tcPr>
          <w:p w14:paraId="1BB7BD54"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w:t>
            </w:r>
          </w:p>
        </w:tc>
        <w:tc>
          <w:tcPr>
            <w:tcW w:w="567" w:type="dxa"/>
            <w:shd w:val="clear" w:color="auto" w:fill="FFFFFF"/>
            <w:tcMar>
              <w:top w:w="0" w:type="dxa"/>
              <w:left w:w="0" w:type="dxa"/>
              <w:bottom w:w="0" w:type="dxa"/>
              <w:right w:w="0" w:type="dxa"/>
            </w:tcMar>
            <w:vAlign w:val="center"/>
          </w:tcPr>
          <w:p w14:paraId="72E6FCBB"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w:t>
            </w:r>
          </w:p>
        </w:tc>
        <w:tc>
          <w:tcPr>
            <w:tcW w:w="531" w:type="dxa"/>
            <w:shd w:val="clear" w:color="auto" w:fill="FFFFFF"/>
            <w:tcMar>
              <w:top w:w="0" w:type="dxa"/>
              <w:left w:w="0" w:type="dxa"/>
              <w:bottom w:w="0" w:type="dxa"/>
              <w:right w:w="0" w:type="dxa"/>
            </w:tcMar>
            <w:vAlign w:val="center"/>
          </w:tcPr>
          <w:p w14:paraId="227A7B23"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w:t>
            </w:r>
          </w:p>
        </w:tc>
      </w:tr>
      <w:tr w:rsidR="00A96F13" w:rsidRPr="006A7336" w14:paraId="1B891729" w14:textId="77777777" w:rsidTr="00A96F13">
        <w:trPr>
          <w:jc w:val="center"/>
        </w:trPr>
        <w:tc>
          <w:tcPr>
            <w:tcW w:w="838" w:type="dxa"/>
            <w:vMerge w:val="restart"/>
            <w:shd w:val="clear" w:color="auto" w:fill="FFFFFF"/>
            <w:tcMar>
              <w:top w:w="0" w:type="dxa"/>
              <w:left w:w="0" w:type="dxa"/>
              <w:bottom w:w="0" w:type="dxa"/>
              <w:right w:w="0" w:type="dxa"/>
            </w:tcMar>
            <w:vAlign w:val="center"/>
          </w:tcPr>
          <w:p w14:paraId="5EA124EB"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HADS</w:t>
            </w:r>
          </w:p>
        </w:tc>
        <w:tc>
          <w:tcPr>
            <w:tcW w:w="3427" w:type="dxa"/>
            <w:shd w:val="clear" w:color="auto" w:fill="FFFFFF"/>
            <w:tcMar>
              <w:top w:w="0" w:type="dxa"/>
              <w:left w:w="0" w:type="dxa"/>
              <w:bottom w:w="0" w:type="dxa"/>
              <w:right w:w="0" w:type="dxa"/>
            </w:tcMar>
            <w:vAlign w:val="center"/>
          </w:tcPr>
          <w:p w14:paraId="67124008"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Anxiety</w:t>
            </w:r>
            <w:proofErr w:type="spellEnd"/>
          </w:p>
        </w:tc>
        <w:tc>
          <w:tcPr>
            <w:tcW w:w="850" w:type="dxa"/>
            <w:shd w:val="clear" w:color="auto" w:fill="FFFFFF"/>
            <w:tcMar>
              <w:top w:w="0" w:type="dxa"/>
              <w:left w:w="0" w:type="dxa"/>
              <w:bottom w:w="0" w:type="dxa"/>
              <w:right w:w="0" w:type="dxa"/>
            </w:tcMar>
            <w:vAlign w:val="center"/>
          </w:tcPr>
          <w:p w14:paraId="422F6BFE"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8</w:t>
            </w:r>
            <w:r w:rsidR="009526E6" w:rsidRPr="006A7336">
              <w:rPr>
                <w:rFonts w:ascii="Segoe UI" w:hAnsi="Segoe UI" w:cs="Segoe UI"/>
                <w:sz w:val="18"/>
                <w:szCs w:val="18"/>
              </w:rPr>
              <w:t>.</w:t>
            </w:r>
            <w:r w:rsidR="00CA44FB" w:rsidRPr="006A7336">
              <w:rPr>
                <w:rFonts w:ascii="Segoe UI" w:hAnsi="Segoe UI" w:cs="Segoe UI"/>
                <w:sz w:val="18"/>
                <w:szCs w:val="18"/>
              </w:rPr>
              <w:t>2</w:t>
            </w:r>
          </w:p>
        </w:tc>
        <w:tc>
          <w:tcPr>
            <w:tcW w:w="709" w:type="dxa"/>
            <w:shd w:val="clear" w:color="auto" w:fill="FFFFFF"/>
            <w:tcMar>
              <w:top w:w="0" w:type="dxa"/>
              <w:left w:w="0" w:type="dxa"/>
              <w:bottom w:w="0" w:type="dxa"/>
              <w:right w:w="0" w:type="dxa"/>
            </w:tcMar>
            <w:vAlign w:val="center"/>
          </w:tcPr>
          <w:p w14:paraId="304EB722"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w:t>
            </w:r>
            <w:r w:rsidR="009526E6" w:rsidRPr="006A7336">
              <w:rPr>
                <w:rFonts w:ascii="Segoe UI" w:hAnsi="Segoe UI" w:cs="Segoe UI"/>
                <w:sz w:val="18"/>
                <w:szCs w:val="18"/>
              </w:rPr>
              <w:t>.</w:t>
            </w:r>
            <w:r w:rsidR="00CA44FB" w:rsidRPr="006A7336">
              <w:rPr>
                <w:rFonts w:ascii="Segoe UI" w:hAnsi="Segoe UI" w:cs="Segoe UI"/>
                <w:sz w:val="18"/>
                <w:szCs w:val="18"/>
              </w:rPr>
              <w:t>3</w:t>
            </w:r>
          </w:p>
        </w:tc>
        <w:tc>
          <w:tcPr>
            <w:tcW w:w="707" w:type="dxa"/>
            <w:shd w:val="clear" w:color="auto" w:fill="FFFFFF"/>
            <w:tcMar>
              <w:top w:w="0" w:type="dxa"/>
              <w:left w:w="0" w:type="dxa"/>
              <w:bottom w:w="0" w:type="dxa"/>
              <w:right w:w="0" w:type="dxa"/>
            </w:tcMar>
            <w:vAlign w:val="center"/>
          </w:tcPr>
          <w:p w14:paraId="56D44E3E"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8</w:t>
            </w:r>
          </w:p>
        </w:tc>
        <w:tc>
          <w:tcPr>
            <w:tcW w:w="709" w:type="dxa"/>
            <w:shd w:val="clear" w:color="auto" w:fill="FFFFFF"/>
            <w:tcMar>
              <w:top w:w="0" w:type="dxa"/>
              <w:left w:w="0" w:type="dxa"/>
              <w:bottom w:w="0" w:type="dxa"/>
              <w:right w:w="0" w:type="dxa"/>
            </w:tcMar>
            <w:vAlign w:val="center"/>
          </w:tcPr>
          <w:p w14:paraId="29CA97E3"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w:t>
            </w:r>
          </w:p>
        </w:tc>
        <w:tc>
          <w:tcPr>
            <w:tcW w:w="708" w:type="dxa"/>
            <w:shd w:val="clear" w:color="auto" w:fill="FFFFFF"/>
            <w:tcMar>
              <w:top w:w="0" w:type="dxa"/>
              <w:left w:w="0" w:type="dxa"/>
              <w:bottom w:w="0" w:type="dxa"/>
              <w:right w:w="0" w:type="dxa"/>
            </w:tcMar>
            <w:vAlign w:val="center"/>
          </w:tcPr>
          <w:p w14:paraId="5C31A080"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19</w:t>
            </w:r>
          </w:p>
        </w:tc>
        <w:tc>
          <w:tcPr>
            <w:tcW w:w="567" w:type="dxa"/>
            <w:shd w:val="clear" w:color="auto" w:fill="FFFFFF"/>
            <w:tcMar>
              <w:top w:w="0" w:type="dxa"/>
              <w:left w:w="0" w:type="dxa"/>
              <w:bottom w:w="0" w:type="dxa"/>
              <w:right w:w="0" w:type="dxa"/>
            </w:tcMar>
            <w:vAlign w:val="center"/>
          </w:tcPr>
          <w:p w14:paraId="76E741D0"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w:t>
            </w:r>
          </w:p>
        </w:tc>
        <w:tc>
          <w:tcPr>
            <w:tcW w:w="531" w:type="dxa"/>
            <w:shd w:val="clear" w:color="auto" w:fill="FFFFFF"/>
            <w:tcMar>
              <w:top w:w="0" w:type="dxa"/>
              <w:left w:w="0" w:type="dxa"/>
              <w:bottom w:w="0" w:type="dxa"/>
              <w:right w:w="0" w:type="dxa"/>
            </w:tcMar>
            <w:vAlign w:val="center"/>
          </w:tcPr>
          <w:p w14:paraId="20D4B74F"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11</w:t>
            </w:r>
          </w:p>
        </w:tc>
      </w:tr>
      <w:tr w:rsidR="00A96F13" w:rsidRPr="006A7336" w14:paraId="00AB3FB2" w14:textId="77777777" w:rsidTr="00A96F13">
        <w:trPr>
          <w:jc w:val="center"/>
        </w:trPr>
        <w:tc>
          <w:tcPr>
            <w:tcW w:w="838" w:type="dxa"/>
            <w:vMerge/>
            <w:shd w:val="clear" w:color="auto" w:fill="FFFFFF"/>
            <w:tcMar>
              <w:top w:w="0" w:type="dxa"/>
              <w:left w:w="0" w:type="dxa"/>
              <w:bottom w:w="0" w:type="dxa"/>
              <w:right w:w="0" w:type="dxa"/>
            </w:tcMar>
            <w:vAlign w:val="center"/>
          </w:tcPr>
          <w:p w14:paraId="754A41FA"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shd w:val="clear" w:color="auto" w:fill="FFFFFF"/>
            <w:tcMar>
              <w:top w:w="0" w:type="dxa"/>
              <w:left w:w="0" w:type="dxa"/>
              <w:bottom w:w="0" w:type="dxa"/>
              <w:right w:w="0" w:type="dxa"/>
            </w:tcMar>
            <w:vAlign w:val="center"/>
          </w:tcPr>
          <w:p w14:paraId="3CD21BF7"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Depression</w:t>
            </w:r>
            <w:proofErr w:type="spellEnd"/>
          </w:p>
        </w:tc>
        <w:tc>
          <w:tcPr>
            <w:tcW w:w="850" w:type="dxa"/>
            <w:shd w:val="clear" w:color="auto" w:fill="FFFFFF"/>
            <w:tcMar>
              <w:top w:w="0" w:type="dxa"/>
              <w:left w:w="0" w:type="dxa"/>
              <w:bottom w:w="0" w:type="dxa"/>
              <w:right w:w="0" w:type="dxa"/>
            </w:tcMar>
            <w:vAlign w:val="center"/>
          </w:tcPr>
          <w:p w14:paraId="6387AE37"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9</w:t>
            </w:r>
            <w:r w:rsidR="009526E6" w:rsidRPr="006A7336">
              <w:rPr>
                <w:rFonts w:ascii="Segoe UI" w:hAnsi="Segoe UI" w:cs="Segoe UI"/>
                <w:sz w:val="18"/>
                <w:szCs w:val="18"/>
              </w:rPr>
              <w:t>.</w:t>
            </w:r>
            <w:r w:rsidR="00CA44FB" w:rsidRPr="006A7336">
              <w:rPr>
                <w:rFonts w:ascii="Segoe UI" w:hAnsi="Segoe UI" w:cs="Segoe UI"/>
                <w:sz w:val="18"/>
                <w:szCs w:val="18"/>
              </w:rPr>
              <w:t>1</w:t>
            </w:r>
          </w:p>
        </w:tc>
        <w:tc>
          <w:tcPr>
            <w:tcW w:w="709" w:type="dxa"/>
            <w:shd w:val="clear" w:color="auto" w:fill="FFFFFF"/>
            <w:tcMar>
              <w:top w:w="0" w:type="dxa"/>
              <w:left w:w="0" w:type="dxa"/>
              <w:bottom w:w="0" w:type="dxa"/>
              <w:right w:w="0" w:type="dxa"/>
            </w:tcMar>
            <w:vAlign w:val="center"/>
          </w:tcPr>
          <w:p w14:paraId="67336BDD"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w:t>
            </w:r>
            <w:r w:rsidR="009526E6" w:rsidRPr="006A7336">
              <w:rPr>
                <w:rFonts w:ascii="Segoe UI" w:hAnsi="Segoe UI" w:cs="Segoe UI"/>
                <w:sz w:val="18"/>
                <w:szCs w:val="18"/>
              </w:rPr>
              <w:t>.</w:t>
            </w:r>
            <w:r w:rsidR="00CA44FB" w:rsidRPr="006A7336">
              <w:rPr>
                <w:rFonts w:ascii="Segoe UI" w:hAnsi="Segoe UI" w:cs="Segoe UI"/>
                <w:sz w:val="18"/>
                <w:szCs w:val="18"/>
              </w:rPr>
              <w:t>9</w:t>
            </w:r>
          </w:p>
        </w:tc>
        <w:tc>
          <w:tcPr>
            <w:tcW w:w="707" w:type="dxa"/>
            <w:shd w:val="clear" w:color="auto" w:fill="FFFFFF"/>
            <w:tcMar>
              <w:top w:w="0" w:type="dxa"/>
              <w:left w:w="0" w:type="dxa"/>
              <w:bottom w:w="0" w:type="dxa"/>
              <w:right w:w="0" w:type="dxa"/>
            </w:tcMar>
            <w:vAlign w:val="center"/>
          </w:tcPr>
          <w:p w14:paraId="3ABDEF1A"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9</w:t>
            </w:r>
          </w:p>
        </w:tc>
        <w:tc>
          <w:tcPr>
            <w:tcW w:w="709" w:type="dxa"/>
            <w:shd w:val="clear" w:color="auto" w:fill="FFFFFF"/>
            <w:tcMar>
              <w:top w:w="0" w:type="dxa"/>
              <w:left w:w="0" w:type="dxa"/>
              <w:bottom w:w="0" w:type="dxa"/>
              <w:right w:w="0" w:type="dxa"/>
            </w:tcMar>
            <w:vAlign w:val="center"/>
          </w:tcPr>
          <w:p w14:paraId="238A8EEA"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w:t>
            </w:r>
          </w:p>
        </w:tc>
        <w:tc>
          <w:tcPr>
            <w:tcW w:w="708" w:type="dxa"/>
            <w:shd w:val="clear" w:color="auto" w:fill="FFFFFF"/>
            <w:tcMar>
              <w:top w:w="0" w:type="dxa"/>
              <w:left w:w="0" w:type="dxa"/>
              <w:bottom w:w="0" w:type="dxa"/>
              <w:right w:w="0" w:type="dxa"/>
            </w:tcMar>
            <w:vAlign w:val="center"/>
          </w:tcPr>
          <w:p w14:paraId="15997204"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19</w:t>
            </w:r>
          </w:p>
        </w:tc>
        <w:tc>
          <w:tcPr>
            <w:tcW w:w="567" w:type="dxa"/>
            <w:shd w:val="clear" w:color="auto" w:fill="FFFFFF"/>
            <w:tcMar>
              <w:top w:w="0" w:type="dxa"/>
              <w:left w:w="0" w:type="dxa"/>
              <w:bottom w:w="0" w:type="dxa"/>
              <w:right w:w="0" w:type="dxa"/>
            </w:tcMar>
            <w:vAlign w:val="center"/>
          </w:tcPr>
          <w:p w14:paraId="3AB7B01C"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6</w:t>
            </w:r>
          </w:p>
        </w:tc>
        <w:tc>
          <w:tcPr>
            <w:tcW w:w="531" w:type="dxa"/>
            <w:shd w:val="clear" w:color="auto" w:fill="FFFFFF"/>
            <w:tcMar>
              <w:top w:w="0" w:type="dxa"/>
              <w:left w:w="0" w:type="dxa"/>
              <w:bottom w:w="0" w:type="dxa"/>
              <w:right w:w="0" w:type="dxa"/>
            </w:tcMar>
            <w:vAlign w:val="center"/>
          </w:tcPr>
          <w:p w14:paraId="33EC05E7"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12</w:t>
            </w:r>
          </w:p>
        </w:tc>
      </w:tr>
      <w:tr w:rsidR="00A96F13" w:rsidRPr="006A7336" w14:paraId="6F3D8FE5" w14:textId="77777777" w:rsidTr="00A96F13">
        <w:trPr>
          <w:jc w:val="center"/>
        </w:trPr>
        <w:tc>
          <w:tcPr>
            <w:tcW w:w="838" w:type="dxa"/>
            <w:vMerge w:val="restart"/>
            <w:shd w:val="clear" w:color="auto" w:fill="FFFFFF"/>
            <w:tcMar>
              <w:top w:w="0" w:type="dxa"/>
              <w:left w:w="0" w:type="dxa"/>
              <w:bottom w:w="0" w:type="dxa"/>
              <w:right w:w="0" w:type="dxa"/>
            </w:tcMar>
            <w:vAlign w:val="center"/>
          </w:tcPr>
          <w:p w14:paraId="44B73BCC"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MSPSS</w:t>
            </w:r>
          </w:p>
        </w:tc>
        <w:tc>
          <w:tcPr>
            <w:tcW w:w="3427" w:type="dxa"/>
            <w:shd w:val="clear" w:color="auto" w:fill="FFFFFF"/>
            <w:tcMar>
              <w:top w:w="0" w:type="dxa"/>
              <w:left w:w="0" w:type="dxa"/>
              <w:bottom w:w="0" w:type="dxa"/>
              <w:right w:w="0" w:type="dxa"/>
            </w:tcMar>
            <w:vAlign w:val="center"/>
          </w:tcPr>
          <w:p w14:paraId="447DDA6D"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 xml:space="preserve">Total </w:t>
            </w:r>
            <w:proofErr w:type="spellStart"/>
            <w:r w:rsidRPr="006A7336">
              <w:rPr>
                <w:rFonts w:ascii="Segoe UI" w:hAnsi="Segoe UI" w:cs="Segoe UI"/>
                <w:sz w:val="18"/>
                <w:szCs w:val="18"/>
              </w:rPr>
              <w:t>perceived</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support</w:t>
            </w:r>
            <w:proofErr w:type="spellEnd"/>
          </w:p>
        </w:tc>
        <w:tc>
          <w:tcPr>
            <w:tcW w:w="850" w:type="dxa"/>
            <w:shd w:val="clear" w:color="auto" w:fill="FFFFFF"/>
            <w:tcMar>
              <w:top w:w="0" w:type="dxa"/>
              <w:left w:w="0" w:type="dxa"/>
              <w:bottom w:w="0" w:type="dxa"/>
              <w:right w:w="0" w:type="dxa"/>
            </w:tcMar>
            <w:vAlign w:val="center"/>
          </w:tcPr>
          <w:p w14:paraId="2B315A52"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70</w:t>
            </w:r>
            <w:r w:rsidR="009526E6" w:rsidRPr="006A7336">
              <w:rPr>
                <w:rFonts w:ascii="Segoe UI" w:hAnsi="Segoe UI" w:cs="Segoe UI"/>
                <w:sz w:val="18"/>
                <w:szCs w:val="18"/>
              </w:rPr>
              <w:t>.</w:t>
            </w:r>
            <w:r w:rsidR="00CA44FB" w:rsidRPr="006A7336">
              <w:rPr>
                <w:rFonts w:ascii="Segoe UI" w:hAnsi="Segoe UI" w:cs="Segoe UI"/>
                <w:sz w:val="18"/>
                <w:szCs w:val="18"/>
              </w:rPr>
              <w:t>1</w:t>
            </w:r>
          </w:p>
        </w:tc>
        <w:tc>
          <w:tcPr>
            <w:tcW w:w="709" w:type="dxa"/>
            <w:shd w:val="clear" w:color="auto" w:fill="FFFFFF"/>
            <w:tcMar>
              <w:top w:w="0" w:type="dxa"/>
              <w:left w:w="0" w:type="dxa"/>
              <w:bottom w:w="0" w:type="dxa"/>
              <w:right w:w="0" w:type="dxa"/>
            </w:tcMar>
            <w:vAlign w:val="center"/>
          </w:tcPr>
          <w:p w14:paraId="1F62C3A6"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14</w:t>
            </w:r>
            <w:r w:rsidR="009526E6" w:rsidRPr="006A7336">
              <w:rPr>
                <w:rFonts w:ascii="Segoe UI" w:hAnsi="Segoe UI" w:cs="Segoe UI"/>
                <w:sz w:val="18"/>
                <w:szCs w:val="18"/>
              </w:rPr>
              <w:t>.</w:t>
            </w:r>
            <w:r w:rsidR="00CA44FB" w:rsidRPr="006A7336">
              <w:rPr>
                <w:rFonts w:ascii="Segoe UI" w:hAnsi="Segoe UI" w:cs="Segoe UI"/>
                <w:sz w:val="18"/>
                <w:szCs w:val="18"/>
              </w:rPr>
              <w:t>7</w:t>
            </w:r>
          </w:p>
        </w:tc>
        <w:tc>
          <w:tcPr>
            <w:tcW w:w="707" w:type="dxa"/>
            <w:shd w:val="clear" w:color="auto" w:fill="FFFFFF"/>
            <w:tcMar>
              <w:top w:w="0" w:type="dxa"/>
              <w:left w:w="0" w:type="dxa"/>
              <w:bottom w:w="0" w:type="dxa"/>
              <w:right w:w="0" w:type="dxa"/>
            </w:tcMar>
            <w:vAlign w:val="center"/>
          </w:tcPr>
          <w:p w14:paraId="2AF87233"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73</w:t>
            </w:r>
          </w:p>
        </w:tc>
        <w:tc>
          <w:tcPr>
            <w:tcW w:w="709" w:type="dxa"/>
            <w:shd w:val="clear" w:color="auto" w:fill="FFFFFF"/>
            <w:tcMar>
              <w:top w:w="0" w:type="dxa"/>
              <w:left w:w="0" w:type="dxa"/>
              <w:bottom w:w="0" w:type="dxa"/>
              <w:right w:w="0" w:type="dxa"/>
            </w:tcMar>
            <w:vAlign w:val="center"/>
          </w:tcPr>
          <w:p w14:paraId="1841DF87"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12</w:t>
            </w:r>
          </w:p>
        </w:tc>
        <w:tc>
          <w:tcPr>
            <w:tcW w:w="708" w:type="dxa"/>
            <w:shd w:val="clear" w:color="auto" w:fill="FFFFFF"/>
            <w:tcMar>
              <w:top w:w="0" w:type="dxa"/>
              <w:left w:w="0" w:type="dxa"/>
              <w:bottom w:w="0" w:type="dxa"/>
              <w:right w:w="0" w:type="dxa"/>
            </w:tcMar>
            <w:vAlign w:val="center"/>
          </w:tcPr>
          <w:p w14:paraId="3228FF15"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84</w:t>
            </w:r>
          </w:p>
        </w:tc>
        <w:tc>
          <w:tcPr>
            <w:tcW w:w="567" w:type="dxa"/>
            <w:shd w:val="clear" w:color="auto" w:fill="FFFFFF"/>
            <w:tcMar>
              <w:top w:w="0" w:type="dxa"/>
              <w:left w:w="0" w:type="dxa"/>
              <w:bottom w:w="0" w:type="dxa"/>
              <w:right w:w="0" w:type="dxa"/>
            </w:tcMar>
            <w:vAlign w:val="center"/>
          </w:tcPr>
          <w:p w14:paraId="69CE9594"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62</w:t>
            </w:r>
          </w:p>
        </w:tc>
        <w:tc>
          <w:tcPr>
            <w:tcW w:w="531" w:type="dxa"/>
            <w:shd w:val="clear" w:color="auto" w:fill="FFFFFF"/>
            <w:tcMar>
              <w:top w:w="0" w:type="dxa"/>
              <w:left w:w="0" w:type="dxa"/>
              <w:bottom w:w="0" w:type="dxa"/>
              <w:right w:w="0" w:type="dxa"/>
            </w:tcMar>
            <w:vAlign w:val="center"/>
          </w:tcPr>
          <w:p w14:paraId="354D3D83"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84</w:t>
            </w:r>
          </w:p>
        </w:tc>
      </w:tr>
      <w:tr w:rsidR="00A96F13" w:rsidRPr="006A7336" w14:paraId="44846294" w14:textId="77777777" w:rsidTr="00A96F13">
        <w:trPr>
          <w:jc w:val="center"/>
        </w:trPr>
        <w:tc>
          <w:tcPr>
            <w:tcW w:w="838" w:type="dxa"/>
            <w:vMerge/>
            <w:shd w:val="clear" w:color="auto" w:fill="FFFFFF"/>
            <w:tcMar>
              <w:top w:w="0" w:type="dxa"/>
              <w:left w:w="0" w:type="dxa"/>
              <w:bottom w:w="0" w:type="dxa"/>
              <w:right w:w="0" w:type="dxa"/>
            </w:tcMar>
            <w:vAlign w:val="center"/>
          </w:tcPr>
          <w:p w14:paraId="27C64512"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shd w:val="clear" w:color="auto" w:fill="FFFFFF"/>
            <w:tcMar>
              <w:top w:w="0" w:type="dxa"/>
              <w:left w:w="0" w:type="dxa"/>
              <w:bottom w:w="0" w:type="dxa"/>
              <w:right w:w="0" w:type="dxa"/>
            </w:tcMar>
            <w:vAlign w:val="center"/>
          </w:tcPr>
          <w:p w14:paraId="7C548732"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lang w:val="en-GB"/>
              </w:rPr>
            </w:pPr>
            <w:r w:rsidRPr="006A7336">
              <w:rPr>
                <w:rFonts w:ascii="Segoe UI" w:hAnsi="Segoe UI" w:cs="Segoe UI"/>
                <w:sz w:val="18"/>
                <w:szCs w:val="18"/>
                <w:lang w:val="en-GB"/>
              </w:rPr>
              <w:t>Perceived support from significant other</w:t>
            </w:r>
          </w:p>
        </w:tc>
        <w:tc>
          <w:tcPr>
            <w:tcW w:w="850" w:type="dxa"/>
            <w:shd w:val="clear" w:color="auto" w:fill="FFFFFF"/>
            <w:tcMar>
              <w:top w:w="0" w:type="dxa"/>
              <w:left w:w="0" w:type="dxa"/>
              <w:bottom w:w="0" w:type="dxa"/>
              <w:right w:w="0" w:type="dxa"/>
            </w:tcMar>
            <w:vAlign w:val="center"/>
          </w:tcPr>
          <w:p w14:paraId="51D38A31"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24</w:t>
            </w:r>
            <w:r w:rsidR="009526E6" w:rsidRPr="006A7336">
              <w:rPr>
                <w:rFonts w:ascii="Segoe UI" w:hAnsi="Segoe UI" w:cs="Segoe UI"/>
                <w:sz w:val="18"/>
                <w:szCs w:val="18"/>
              </w:rPr>
              <w:t>.</w:t>
            </w:r>
            <w:r w:rsidR="00CA44FB" w:rsidRPr="006A7336">
              <w:rPr>
                <w:rFonts w:ascii="Segoe UI" w:hAnsi="Segoe UI" w:cs="Segoe UI"/>
                <w:sz w:val="18"/>
                <w:szCs w:val="18"/>
              </w:rPr>
              <w:t>5</w:t>
            </w:r>
          </w:p>
        </w:tc>
        <w:tc>
          <w:tcPr>
            <w:tcW w:w="709" w:type="dxa"/>
            <w:shd w:val="clear" w:color="auto" w:fill="FFFFFF"/>
            <w:tcMar>
              <w:top w:w="0" w:type="dxa"/>
              <w:left w:w="0" w:type="dxa"/>
              <w:bottom w:w="0" w:type="dxa"/>
              <w:right w:w="0" w:type="dxa"/>
            </w:tcMar>
            <w:vAlign w:val="center"/>
          </w:tcPr>
          <w:p w14:paraId="3B694B8C"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w:t>
            </w:r>
            <w:r w:rsidR="009526E6" w:rsidRPr="006A7336">
              <w:rPr>
                <w:rFonts w:ascii="Segoe UI" w:hAnsi="Segoe UI" w:cs="Segoe UI"/>
                <w:sz w:val="18"/>
                <w:szCs w:val="18"/>
              </w:rPr>
              <w:t>.</w:t>
            </w:r>
            <w:r w:rsidR="00CA44FB" w:rsidRPr="006A7336">
              <w:rPr>
                <w:rFonts w:ascii="Segoe UI" w:hAnsi="Segoe UI" w:cs="Segoe UI"/>
                <w:sz w:val="18"/>
                <w:szCs w:val="18"/>
              </w:rPr>
              <w:t>3</w:t>
            </w:r>
          </w:p>
        </w:tc>
        <w:tc>
          <w:tcPr>
            <w:tcW w:w="707" w:type="dxa"/>
            <w:shd w:val="clear" w:color="auto" w:fill="FFFFFF"/>
            <w:tcMar>
              <w:top w:w="0" w:type="dxa"/>
              <w:left w:w="0" w:type="dxa"/>
              <w:bottom w:w="0" w:type="dxa"/>
              <w:right w:w="0" w:type="dxa"/>
            </w:tcMar>
            <w:vAlign w:val="center"/>
          </w:tcPr>
          <w:p w14:paraId="51841A37"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28</w:t>
            </w:r>
          </w:p>
        </w:tc>
        <w:tc>
          <w:tcPr>
            <w:tcW w:w="709" w:type="dxa"/>
            <w:shd w:val="clear" w:color="auto" w:fill="FFFFFF"/>
            <w:tcMar>
              <w:top w:w="0" w:type="dxa"/>
              <w:left w:w="0" w:type="dxa"/>
              <w:bottom w:w="0" w:type="dxa"/>
              <w:right w:w="0" w:type="dxa"/>
            </w:tcMar>
            <w:vAlign w:val="center"/>
          </w:tcPr>
          <w:p w14:paraId="53EEA072"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w:t>
            </w:r>
          </w:p>
        </w:tc>
        <w:tc>
          <w:tcPr>
            <w:tcW w:w="708" w:type="dxa"/>
            <w:shd w:val="clear" w:color="auto" w:fill="FFFFFF"/>
            <w:tcMar>
              <w:top w:w="0" w:type="dxa"/>
              <w:left w:w="0" w:type="dxa"/>
              <w:bottom w:w="0" w:type="dxa"/>
              <w:right w:w="0" w:type="dxa"/>
            </w:tcMar>
            <w:vAlign w:val="center"/>
          </w:tcPr>
          <w:p w14:paraId="048E27E9"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28</w:t>
            </w:r>
          </w:p>
        </w:tc>
        <w:tc>
          <w:tcPr>
            <w:tcW w:w="567" w:type="dxa"/>
            <w:shd w:val="clear" w:color="auto" w:fill="FFFFFF"/>
            <w:tcMar>
              <w:top w:w="0" w:type="dxa"/>
              <w:left w:w="0" w:type="dxa"/>
              <w:bottom w:w="0" w:type="dxa"/>
              <w:right w:w="0" w:type="dxa"/>
            </w:tcMar>
            <w:vAlign w:val="center"/>
          </w:tcPr>
          <w:p w14:paraId="5C9DB7BC"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24</w:t>
            </w:r>
          </w:p>
        </w:tc>
        <w:tc>
          <w:tcPr>
            <w:tcW w:w="531" w:type="dxa"/>
            <w:shd w:val="clear" w:color="auto" w:fill="FFFFFF"/>
            <w:tcMar>
              <w:top w:w="0" w:type="dxa"/>
              <w:left w:w="0" w:type="dxa"/>
              <w:bottom w:w="0" w:type="dxa"/>
              <w:right w:w="0" w:type="dxa"/>
            </w:tcMar>
            <w:vAlign w:val="center"/>
          </w:tcPr>
          <w:p w14:paraId="299E99F0"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28</w:t>
            </w:r>
          </w:p>
        </w:tc>
      </w:tr>
      <w:tr w:rsidR="00A96F13" w:rsidRPr="006A7336" w14:paraId="761E0D54" w14:textId="77777777" w:rsidTr="00A96F13">
        <w:trPr>
          <w:jc w:val="center"/>
        </w:trPr>
        <w:tc>
          <w:tcPr>
            <w:tcW w:w="838" w:type="dxa"/>
            <w:vMerge/>
            <w:shd w:val="clear" w:color="auto" w:fill="FFFFFF"/>
            <w:tcMar>
              <w:top w:w="0" w:type="dxa"/>
              <w:left w:w="0" w:type="dxa"/>
              <w:bottom w:w="0" w:type="dxa"/>
              <w:right w:w="0" w:type="dxa"/>
            </w:tcMar>
            <w:vAlign w:val="center"/>
          </w:tcPr>
          <w:p w14:paraId="25C6B22A"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shd w:val="clear" w:color="auto" w:fill="FFFFFF"/>
            <w:tcMar>
              <w:top w:w="0" w:type="dxa"/>
              <w:left w:w="0" w:type="dxa"/>
              <w:bottom w:w="0" w:type="dxa"/>
              <w:right w:w="0" w:type="dxa"/>
            </w:tcMar>
            <w:vAlign w:val="center"/>
          </w:tcPr>
          <w:p w14:paraId="52ADCC66"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Perceived</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support</w:t>
            </w:r>
            <w:proofErr w:type="spellEnd"/>
            <w:r w:rsidRPr="006A7336">
              <w:rPr>
                <w:rFonts w:ascii="Segoe UI" w:hAnsi="Segoe UI" w:cs="Segoe UI"/>
                <w:sz w:val="18"/>
                <w:szCs w:val="18"/>
              </w:rPr>
              <w:t xml:space="preserve"> from family</w:t>
            </w:r>
          </w:p>
        </w:tc>
        <w:tc>
          <w:tcPr>
            <w:tcW w:w="850" w:type="dxa"/>
            <w:shd w:val="clear" w:color="auto" w:fill="FFFFFF"/>
            <w:tcMar>
              <w:top w:w="0" w:type="dxa"/>
              <w:left w:w="0" w:type="dxa"/>
              <w:bottom w:w="0" w:type="dxa"/>
              <w:right w:w="0" w:type="dxa"/>
            </w:tcMar>
            <w:vAlign w:val="center"/>
          </w:tcPr>
          <w:p w14:paraId="70874868"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24</w:t>
            </w:r>
            <w:r w:rsidR="009526E6" w:rsidRPr="006A7336">
              <w:rPr>
                <w:rFonts w:ascii="Segoe UI" w:hAnsi="Segoe UI" w:cs="Segoe UI"/>
                <w:sz w:val="18"/>
                <w:szCs w:val="18"/>
              </w:rPr>
              <w:t>.</w:t>
            </w:r>
            <w:r w:rsidR="00CA44FB" w:rsidRPr="006A7336">
              <w:rPr>
                <w:rFonts w:ascii="Segoe UI" w:hAnsi="Segoe UI" w:cs="Segoe UI"/>
                <w:sz w:val="18"/>
                <w:szCs w:val="18"/>
              </w:rPr>
              <w:t>5</w:t>
            </w:r>
          </w:p>
        </w:tc>
        <w:tc>
          <w:tcPr>
            <w:tcW w:w="709" w:type="dxa"/>
            <w:shd w:val="clear" w:color="auto" w:fill="FFFFFF"/>
            <w:tcMar>
              <w:top w:w="0" w:type="dxa"/>
              <w:left w:w="0" w:type="dxa"/>
              <w:bottom w:w="0" w:type="dxa"/>
              <w:right w:w="0" w:type="dxa"/>
            </w:tcMar>
            <w:vAlign w:val="center"/>
          </w:tcPr>
          <w:p w14:paraId="10F1B871"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w:t>
            </w:r>
            <w:r w:rsidR="009526E6" w:rsidRPr="006A7336">
              <w:rPr>
                <w:rFonts w:ascii="Segoe UI" w:hAnsi="Segoe UI" w:cs="Segoe UI"/>
                <w:sz w:val="18"/>
                <w:szCs w:val="18"/>
              </w:rPr>
              <w:t>.</w:t>
            </w:r>
            <w:r w:rsidR="00CA44FB" w:rsidRPr="006A7336">
              <w:rPr>
                <w:rFonts w:ascii="Segoe UI" w:hAnsi="Segoe UI" w:cs="Segoe UI"/>
                <w:sz w:val="18"/>
                <w:szCs w:val="18"/>
              </w:rPr>
              <w:t>1</w:t>
            </w:r>
          </w:p>
        </w:tc>
        <w:tc>
          <w:tcPr>
            <w:tcW w:w="707" w:type="dxa"/>
            <w:shd w:val="clear" w:color="auto" w:fill="FFFFFF"/>
            <w:tcMar>
              <w:top w:w="0" w:type="dxa"/>
              <w:left w:w="0" w:type="dxa"/>
              <w:bottom w:w="0" w:type="dxa"/>
              <w:right w:w="0" w:type="dxa"/>
            </w:tcMar>
            <w:vAlign w:val="center"/>
          </w:tcPr>
          <w:p w14:paraId="243D87DE"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27</w:t>
            </w:r>
          </w:p>
        </w:tc>
        <w:tc>
          <w:tcPr>
            <w:tcW w:w="709" w:type="dxa"/>
            <w:shd w:val="clear" w:color="auto" w:fill="FFFFFF"/>
            <w:tcMar>
              <w:top w:w="0" w:type="dxa"/>
              <w:left w:w="0" w:type="dxa"/>
              <w:bottom w:w="0" w:type="dxa"/>
              <w:right w:w="0" w:type="dxa"/>
            </w:tcMar>
            <w:vAlign w:val="center"/>
          </w:tcPr>
          <w:p w14:paraId="679207B1"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w:t>
            </w:r>
          </w:p>
        </w:tc>
        <w:tc>
          <w:tcPr>
            <w:tcW w:w="708" w:type="dxa"/>
            <w:shd w:val="clear" w:color="auto" w:fill="FFFFFF"/>
            <w:tcMar>
              <w:top w:w="0" w:type="dxa"/>
              <w:left w:w="0" w:type="dxa"/>
              <w:bottom w:w="0" w:type="dxa"/>
              <w:right w:w="0" w:type="dxa"/>
            </w:tcMar>
            <w:vAlign w:val="center"/>
          </w:tcPr>
          <w:p w14:paraId="683E0C68"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28</w:t>
            </w:r>
          </w:p>
        </w:tc>
        <w:tc>
          <w:tcPr>
            <w:tcW w:w="567" w:type="dxa"/>
            <w:shd w:val="clear" w:color="auto" w:fill="FFFFFF"/>
            <w:tcMar>
              <w:top w:w="0" w:type="dxa"/>
              <w:left w:w="0" w:type="dxa"/>
              <w:bottom w:w="0" w:type="dxa"/>
              <w:right w:w="0" w:type="dxa"/>
            </w:tcMar>
            <w:vAlign w:val="center"/>
          </w:tcPr>
          <w:p w14:paraId="2F6EDC55"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23</w:t>
            </w:r>
          </w:p>
        </w:tc>
        <w:tc>
          <w:tcPr>
            <w:tcW w:w="531" w:type="dxa"/>
            <w:shd w:val="clear" w:color="auto" w:fill="FFFFFF"/>
            <w:tcMar>
              <w:top w:w="0" w:type="dxa"/>
              <w:left w:w="0" w:type="dxa"/>
              <w:bottom w:w="0" w:type="dxa"/>
              <w:right w:w="0" w:type="dxa"/>
            </w:tcMar>
            <w:vAlign w:val="center"/>
          </w:tcPr>
          <w:p w14:paraId="4B076798"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28</w:t>
            </w:r>
          </w:p>
        </w:tc>
      </w:tr>
      <w:tr w:rsidR="00A96F13" w:rsidRPr="006A7336" w14:paraId="4B9352FF" w14:textId="77777777" w:rsidTr="00A96F13">
        <w:trPr>
          <w:jc w:val="center"/>
        </w:trPr>
        <w:tc>
          <w:tcPr>
            <w:tcW w:w="838" w:type="dxa"/>
            <w:vMerge/>
            <w:shd w:val="clear" w:color="auto" w:fill="FFFFFF"/>
            <w:tcMar>
              <w:top w:w="0" w:type="dxa"/>
              <w:left w:w="0" w:type="dxa"/>
              <w:bottom w:w="0" w:type="dxa"/>
              <w:right w:w="0" w:type="dxa"/>
            </w:tcMar>
            <w:vAlign w:val="center"/>
          </w:tcPr>
          <w:p w14:paraId="79F24AEB"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shd w:val="clear" w:color="auto" w:fill="FFFFFF"/>
            <w:tcMar>
              <w:top w:w="0" w:type="dxa"/>
              <w:left w:w="0" w:type="dxa"/>
              <w:bottom w:w="0" w:type="dxa"/>
              <w:right w:w="0" w:type="dxa"/>
            </w:tcMar>
            <w:vAlign w:val="center"/>
          </w:tcPr>
          <w:p w14:paraId="5F311FDE"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Perceived</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support</w:t>
            </w:r>
            <w:proofErr w:type="spellEnd"/>
            <w:r w:rsidRPr="006A7336">
              <w:rPr>
                <w:rFonts w:ascii="Segoe UI" w:hAnsi="Segoe UI" w:cs="Segoe UI"/>
                <w:sz w:val="18"/>
                <w:szCs w:val="18"/>
              </w:rPr>
              <w:t xml:space="preserve"> from </w:t>
            </w:r>
            <w:proofErr w:type="spellStart"/>
            <w:r w:rsidRPr="006A7336">
              <w:rPr>
                <w:rFonts w:ascii="Segoe UI" w:hAnsi="Segoe UI" w:cs="Segoe UI"/>
                <w:sz w:val="18"/>
                <w:szCs w:val="18"/>
              </w:rPr>
              <w:t>friends</w:t>
            </w:r>
            <w:proofErr w:type="spellEnd"/>
          </w:p>
        </w:tc>
        <w:tc>
          <w:tcPr>
            <w:tcW w:w="850" w:type="dxa"/>
            <w:shd w:val="clear" w:color="auto" w:fill="FFFFFF"/>
            <w:tcMar>
              <w:top w:w="0" w:type="dxa"/>
              <w:left w:w="0" w:type="dxa"/>
              <w:bottom w:w="0" w:type="dxa"/>
              <w:right w:w="0" w:type="dxa"/>
            </w:tcMar>
            <w:vAlign w:val="center"/>
          </w:tcPr>
          <w:p w14:paraId="7AA06348"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21</w:t>
            </w:r>
            <w:r w:rsidR="009526E6" w:rsidRPr="006A7336">
              <w:rPr>
                <w:rFonts w:ascii="Segoe UI" w:hAnsi="Segoe UI" w:cs="Segoe UI"/>
                <w:sz w:val="18"/>
                <w:szCs w:val="18"/>
              </w:rPr>
              <w:t>.</w:t>
            </w:r>
            <w:r w:rsidR="00CA44FB" w:rsidRPr="006A7336">
              <w:rPr>
                <w:rFonts w:ascii="Segoe UI" w:hAnsi="Segoe UI" w:cs="Segoe UI"/>
                <w:sz w:val="18"/>
                <w:szCs w:val="18"/>
              </w:rPr>
              <w:t>1</w:t>
            </w:r>
          </w:p>
        </w:tc>
        <w:tc>
          <w:tcPr>
            <w:tcW w:w="709" w:type="dxa"/>
            <w:shd w:val="clear" w:color="auto" w:fill="FFFFFF"/>
            <w:tcMar>
              <w:top w:w="0" w:type="dxa"/>
              <w:left w:w="0" w:type="dxa"/>
              <w:bottom w:w="0" w:type="dxa"/>
              <w:right w:w="0" w:type="dxa"/>
            </w:tcMar>
            <w:vAlign w:val="center"/>
          </w:tcPr>
          <w:p w14:paraId="760DC6FA"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6</w:t>
            </w:r>
            <w:r w:rsidR="009526E6" w:rsidRPr="006A7336">
              <w:rPr>
                <w:rFonts w:ascii="Segoe UI" w:hAnsi="Segoe UI" w:cs="Segoe UI"/>
                <w:sz w:val="18"/>
                <w:szCs w:val="18"/>
              </w:rPr>
              <w:t>.</w:t>
            </w:r>
            <w:r w:rsidR="00CA44FB" w:rsidRPr="006A7336">
              <w:rPr>
                <w:rFonts w:ascii="Segoe UI" w:hAnsi="Segoe UI" w:cs="Segoe UI"/>
                <w:sz w:val="18"/>
                <w:szCs w:val="18"/>
              </w:rPr>
              <w:t>8</w:t>
            </w:r>
          </w:p>
        </w:tc>
        <w:tc>
          <w:tcPr>
            <w:tcW w:w="707" w:type="dxa"/>
            <w:shd w:val="clear" w:color="auto" w:fill="FFFFFF"/>
            <w:tcMar>
              <w:top w:w="0" w:type="dxa"/>
              <w:left w:w="0" w:type="dxa"/>
              <w:bottom w:w="0" w:type="dxa"/>
              <w:right w:w="0" w:type="dxa"/>
            </w:tcMar>
            <w:vAlign w:val="center"/>
          </w:tcPr>
          <w:p w14:paraId="09974E8C"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23</w:t>
            </w:r>
          </w:p>
        </w:tc>
        <w:tc>
          <w:tcPr>
            <w:tcW w:w="709" w:type="dxa"/>
            <w:shd w:val="clear" w:color="auto" w:fill="FFFFFF"/>
            <w:tcMar>
              <w:top w:w="0" w:type="dxa"/>
              <w:left w:w="0" w:type="dxa"/>
              <w:bottom w:w="0" w:type="dxa"/>
              <w:right w:w="0" w:type="dxa"/>
            </w:tcMar>
            <w:vAlign w:val="center"/>
          </w:tcPr>
          <w:p w14:paraId="0CAD0FBA"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w:t>
            </w:r>
          </w:p>
        </w:tc>
        <w:tc>
          <w:tcPr>
            <w:tcW w:w="708" w:type="dxa"/>
            <w:shd w:val="clear" w:color="auto" w:fill="FFFFFF"/>
            <w:tcMar>
              <w:top w:w="0" w:type="dxa"/>
              <w:left w:w="0" w:type="dxa"/>
              <w:bottom w:w="0" w:type="dxa"/>
              <w:right w:w="0" w:type="dxa"/>
            </w:tcMar>
            <w:vAlign w:val="center"/>
          </w:tcPr>
          <w:p w14:paraId="66411541"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28</w:t>
            </w:r>
          </w:p>
        </w:tc>
        <w:tc>
          <w:tcPr>
            <w:tcW w:w="567" w:type="dxa"/>
            <w:shd w:val="clear" w:color="auto" w:fill="FFFFFF"/>
            <w:tcMar>
              <w:top w:w="0" w:type="dxa"/>
              <w:left w:w="0" w:type="dxa"/>
              <w:bottom w:w="0" w:type="dxa"/>
              <w:right w:w="0" w:type="dxa"/>
            </w:tcMar>
            <w:vAlign w:val="center"/>
          </w:tcPr>
          <w:p w14:paraId="69D951C7"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16</w:t>
            </w:r>
          </w:p>
        </w:tc>
        <w:tc>
          <w:tcPr>
            <w:tcW w:w="531" w:type="dxa"/>
            <w:shd w:val="clear" w:color="auto" w:fill="FFFFFF"/>
            <w:tcMar>
              <w:top w:w="0" w:type="dxa"/>
              <w:left w:w="0" w:type="dxa"/>
              <w:bottom w:w="0" w:type="dxa"/>
              <w:right w:w="0" w:type="dxa"/>
            </w:tcMar>
            <w:vAlign w:val="center"/>
          </w:tcPr>
          <w:p w14:paraId="51232019"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28</w:t>
            </w:r>
          </w:p>
        </w:tc>
      </w:tr>
      <w:tr w:rsidR="00A96F13" w:rsidRPr="006A7336" w14:paraId="300A52C5" w14:textId="77777777" w:rsidTr="00A96F13">
        <w:trPr>
          <w:jc w:val="center"/>
        </w:trPr>
        <w:tc>
          <w:tcPr>
            <w:tcW w:w="838" w:type="dxa"/>
            <w:shd w:val="clear" w:color="auto" w:fill="FFFFFF"/>
            <w:tcMar>
              <w:top w:w="0" w:type="dxa"/>
              <w:left w:w="0" w:type="dxa"/>
              <w:bottom w:w="0" w:type="dxa"/>
              <w:right w:w="0" w:type="dxa"/>
            </w:tcMar>
            <w:vAlign w:val="center"/>
          </w:tcPr>
          <w:p w14:paraId="6DE3DA66" w14:textId="77777777" w:rsidR="00D03493" w:rsidRPr="006A7336" w:rsidRDefault="00D03493"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MLHFQ</w:t>
            </w:r>
          </w:p>
        </w:tc>
        <w:tc>
          <w:tcPr>
            <w:tcW w:w="3427" w:type="dxa"/>
            <w:shd w:val="clear" w:color="auto" w:fill="FFFFFF"/>
            <w:tcMar>
              <w:top w:w="0" w:type="dxa"/>
              <w:left w:w="0" w:type="dxa"/>
              <w:bottom w:w="0" w:type="dxa"/>
              <w:right w:w="0" w:type="dxa"/>
            </w:tcMar>
            <w:vAlign w:val="center"/>
          </w:tcPr>
          <w:p w14:paraId="593E6C1F" w14:textId="77777777" w:rsidR="00D03493" w:rsidRPr="006A7336" w:rsidRDefault="00D03493"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 xml:space="preserve">Total </w:t>
            </w:r>
            <w:proofErr w:type="spellStart"/>
            <w:r w:rsidRPr="006A7336">
              <w:rPr>
                <w:rFonts w:ascii="Segoe UI" w:hAnsi="Segoe UI" w:cs="Segoe UI"/>
                <w:sz w:val="18"/>
                <w:szCs w:val="18"/>
              </w:rPr>
              <w:t>score</w:t>
            </w:r>
            <w:proofErr w:type="spellEnd"/>
          </w:p>
        </w:tc>
        <w:tc>
          <w:tcPr>
            <w:tcW w:w="850" w:type="dxa"/>
            <w:shd w:val="clear" w:color="auto" w:fill="FFFFFF"/>
            <w:tcMar>
              <w:top w:w="0" w:type="dxa"/>
              <w:left w:w="0" w:type="dxa"/>
              <w:bottom w:w="0" w:type="dxa"/>
              <w:right w:w="0" w:type="dxa"/>
            </w:tcMar>
            <w:vAlign w:val="center"/>
          </w:tcPr>
          <w:p w14:paraId="4AC6BED9" w14:textId="77777777" w:rsidR="00D03493" w:rsidRPr="006A7336" w:rsidRDefault="00D03493"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38.0</w:t>
            </w:r>
          </w:p>
        </w:tc>
        <w:tc>
          <w:tcPr>
            <w:tcW w:w="709" w:type="dxa"/>
            <w:shd w:val="clear" w:color="auto" w:fill="FFFFFF"/>
            <w:tcMar>
              <w:top w:w="0" w:type="dxa"/>
              <w:left w:w="0" w:type="dxa"/>
              <w:bottom w:w="0" w:type="dxa"/>
              <w:right w:w="0" w:type="dxa"/>
            </w:tcMar>
            <w:vAlign w:val="center"/>
          </w:tcPr>
          <w:p w14:paraId="45945FA7" w14:textId="77777777" w:rsidR="00D03493" w:rsidRPr="006A7336" w:rsidRDefault="00D03493"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25.4</w:t>
            </w:r>
          </w:p>
        </w:tc>
        <w:tc>
          <w:tcPr>
            <w:tcW w:w="707" w:type="dxa"/>
            <w:shd w:val="clear" w:color="auto" w:fill="FFFFFF"/>
            <w:tcMar>
              <w:top w:w="0" w:type="dxa"/>
              <w:left w:w="0" w:type="dxa"/>
              <w:bottom w:w="0" w:type="dxa"/>
              <w:right w:w="0" w:type="dxa"/>
            </w:tcMar>
            <w:vAlign w:val="center"/>
          </w:tcPr>
          <w:p w14:paraId="682654D2" w14:textId="77777777" w:rsidR="00D03493" w:rsidRPr="006A7336" w:rsidRDefault="00D03493"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31</w:t>
            </w:r>
          </w:p>
        </w:tc>
        <w:tc>
          <w:tcPr>
            <w:tcW w:w="709" w:type="dxa"/>
            <w:shd w:val="clear" w:color="auto" w:fill="FFFFFF"/>
            <w:tcMar>
              <w:top w:w="0" w:type="dxa"/>
              <w:left w:w="0" w:type="dxa"/>
              <w:bottom w:w="0" w:type="dxa"/>
              <w:right w:w="0" w:type="dxa"/>
            </w:tcMar>
            <w:vAlign w:val="center"/>
          </w:tcPr>
          <w:p w14:paraId="2190DD40" w14:textId="77777777" w:rsidR="00D03493" w:rsidRPr="006A7336" w:rsidRDefault="00D03493"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w:t>
            </w:r>
          </w:p>
        </w:tc>
        <w:tc>
          <w:tcPr>
            <w:tcW w:w="708" w:type="dxa"/>
            <w:shd w:val="clear" w:color="auto" w:fill="FFFFFF"/>
            <w:tcMar>
              <w:top w:w="0" w:type="dxa"/>
              <w:left w:w="0" w:type="dxa"/>
              <w:bottom w:w="0" w:type="dxa"/>
              <w:right w:w="0" w:type="dxa"/>
            </w:tcMar>
            <w:vAlign w:val="center"/>
          </w:tcPr>
          <w:p w14:paraId="4D849560" w14:textId="77777777" w:rsidR="00D03493" w:rsidRPr="006A7336" w:rsidRDefault="00D03493"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96</w:t>
            </w:r>
          </w:p>
        </w:tc>
        <w:tc>
          <w:tcPr>
            <w:tcW w:w="567" w:type="dxa"/>
            <w:shd w:val="clear" w:color="auto" w:fill="FFFFFF"/>
            <w:tcMar>
              <w:top w:w="0" w:type="dxa"/>
              <w:left w:w="0" w:type="dxa"/>
              <w:bottom w:w="0" w:type="dxa"/>
              <w:right w:w="0" w:type="dxa"/>
            </w:tcMar>
            <w:vAlign w:val="center"/>
          </w:tcPr>
          <w:p w14:paraId="72635565" w14:textId="77777777" w:rsidR="00D03493" w:rsidRPr="006A7336" w:rsidRDefault="00D03493"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16</w:t>
            </w:r>
          </w:p>
        </w:tc>
        <w:tc>
          <w:tcPr>
            <w:tcW w:w="531" w:type="dxa"/>
            <w:shd w:val="clear" w:color="auto" w:fill="FFFFFF"/>
            <w:tcMar>
              <w:top w:w="0" w:type="dxa"/>
              <w:left w:w="0" w:type="dxa"/>
              <w:bottom w:w="0" w:type="dxa"/>
              <w:right w:w="0" w:type="dxa"/>
            </w:tcMar>
            <w:vAlign w:val="center"/>
          </w:tcPr>
          <w:p w14:paraId="67CFF581" w14:textId="77777777" w:rsidR="00D03493" w:rsidRPr="006A7336" w:rsidRDefault="00D03493"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57</w:t>
            </w:r>
          </w:p>
        </w:tc>
      </w:tr>
      <w:tr w:rsidR="00A96F13" w:rsidRPr="006A7336" w14:paraId="64D76E89" w14:textId="77777777" w:rsidTr="00A96F13">
        <w:trPr>
          <w:jc w:val="center"/>
        </w:trPr>
        <w:tc>
          <w:tcPr>
            <w:tcW w:w="838" w:type="dxa"/>
            <w:shd w:val="clear" w:color="auto" w:fill="FFFFFF"/>
            <w:tcMar>
              <w:top w:w="0" w:type="dxa"/>
              <w:left w:w="0" w:type="dxa"/>
              <w:bottom w:w="0" w:type="dxa"/>
              <w:right w:w="0" w:type="dxa"/>
            </w:tcMar>
            <w:vAlign w:val="center"/>
          </w:tcPr>
          <w:p w14:paraId="1716218A" w14:textId="77777777" w:rsidR="00AF1996" w:rsidRPr="006A7336" w:rsidRDefault="002567CB"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TASQ</w:t>
            </w:r>
          </w:p>
        </w:tc>
        <w:tc>
          <w:tcPr>
            <w:tcW w:w="3427" w:type="dxa"/>
            <w:shd w:val="clear" w:color="auto" w:fill="FFFFFF"/>
            <w:tcMar>
              <w:top w:w="0" w:type="dxa"/>
              <w:left w:w="0" w:type="dxa"/>
              <w:bottom w:w="0" w:type="dxa"/>
              <w:right w:w="0" w:type="dxa"/>
            </w:tcMar>
            <w:vAlign w:val="center"/>
          </w:tcPr>
          <w:p w14:paraId="47117A08" w14:textId="77777777" w:rsidR="00AF1996" w:rsidRPr="006A7336" w:rsidRDefault="002567CB"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T</w:t>
            </w:r>
            <w:r w:rsidR="00AF1996" w:rsidRPr="006A7336">
              <w:rPr>
                <w:rFonts w:ascii="Segoe UI" w:hAnsi="Segoe UI" w:cs="Segoe UI"/>
                <w:sz w:val="18"/>
                <w:szCs w:val="18"/>
              </w:rPr>
              <w:t xml:space="preserve">otal </w:t>
            </w:r>
            <w:proofErr w:type="spellStart"/>
            <w:r w:rsidR="00AF1996" w:rsidRPr="006A7336">
              <w:rPr>
                <w:rFonts w:ascii="Segoe UI" w:hAnsi="Segoe UI" w:cs="Segoe UI"/>
                <w:sz w:val="18"/>
                <w:szCs w:val="18"/>
              </w:rPr>
              <w:t>score</w:t>
            </w:r>
            <w:proofErr w:type="spellEnd"/>
          </w:p>
        </w:tc>
        <w:tc>
          <w:tcPr>
            <w:tcW w:w="850" w:type="dxa"/>
            <w:shd w:val="clear" w:color="auto" w:fill="FFFFFF"/>
            <w:tcMar>
              <w:top w:w="0" w:type="dxa"/>
              <w:left w:w="0" w:type="dxa"/>
              <w:bottom w:w="0" w:type="dxa"/>
              <w:right w:w="0" w:type="dxa"/>
            </w:tcMar>
            <w:vAlign w:val="center"/>
          </w:tcPr>
          <w:p w14:paraId="04836904" w14:textId="77777777" w:rsidR="00AF1996" w:rsidRPr="006A7336" w:rsidRDefault="00CA44FB"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60.7</w:t>
            </w:r>
          </w:p>
        </w:tc>
        <w:tc>
          <w:tcPr>
            <w:tcW w:w="709" w:type="dxa"/>
            <w:shd w:val="clear" w:color="auto" w:fill="FFFFFF"/>
            <w:tcMar>
              <w:top w:w="0" w:type="dxa"/>
              <w:left w:w="0" w:type="dxa"/>
              <w:bottom w:w="0" w:type="dxa"/>
              <w:right w:w="0" w:type="dxa"/>
            </w:tcMar>
            <w:vAlign w:val="center"/>
          </w:tcPr>
          <w:p w14:paraId="40606557" w14:textId="77777777" w:rsidR="00AF1996" w:rsidRPr="006A7336" w:rsidRDefault="00CA44FB"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22.8</w:t>
            </w:r>
          </w:p>
        </w:tc>
        <w:tc>
          <w:tcPr>
            <w:tcW w:w="707" w:type="dxa"/>
            <w:shd w:val="clear" w:color="auto" w:fill="FFFFFF"/>
            <w:tcMar>
              <w:top w:w="0" w:type="dxa"/>
              <w:left w:w="0" w:type="dxa"/>
              <w:bottom w:w="0" w:type="dxa"/>
              <w:right w:w="0" w:type="dxa"/>
            </w:tcMar>
            <w:vAlign w:val="center"/>
          </w:tcPr>
          <w:p w14:paraId="4D1C9EDC"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59</w:t>
            </w:r>
          </w:p>
        </w:tc>
        <w:tc>
          <w:tcPr>
            <w:tcW w:w="709" w:type="dxa"/>
            <w:shd w:val="clear" w:color="auto" w:fill="FFFFFF"/>
            <w:tcMar>
              <w:top w:w="0" w:type="dxa"/>
              <w:left w:w="0" w:type="dxa"/>
              <w:bottom w:w="0" w:type="dxa"/>
              <w:right w:w="0" w:type="dxa"/>
            </w:tcMar>
            <w:vAlign w:val="center"/>
          </w:tcPr>
          <w:p w14:paraId="5E07391C"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25</w:t>
            </w:r>
          </w:p>
        </w:tc>
        <w:tc>
          <w:tcPr>
            <w:tcW w:w="708" w:type="dxa"/>
            <w:shd w:val="clear" w:color="auto" w:fill="FFFFFF"/>
            <w:tcMar>
              <w:top w:w="0" w:type="dxa"/>
              <w:left w:w="0" w:type="dxa"/>
              <w:bottom w:w="0" w:type="dxa"/>
              <w:right w:w="0" w:type="dxa"/>
            </w:tcMar>
            <w:vAlign w:val="center"/>
          </w:tcPr>
          <w:p w14:paraId="5626C32F"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110</w:t>
            </w:r>
          </w:p>
        </w:tc>
        <w:tc>
          <w:tcPr>
            <w:tcW w:w="567" w:type="dxa"/>
            <w:shd w:val="clear" w:color="auto" w:fill="FFFFFF"/>
            <w:tcMar>
              <w:top w:w="0" w:type="dxa"/>
              <w:left w:w="0" w:type="dxa"/>
              <w:bottom w:w="0" w:type="dxa"/>
              <w:right w:w="0" w:type="dxa"/>
            </w:tcMar>
            <w:vAlign w:val="center"/>
          </w:tcPr>
          <w:p w14:paraId="281ABE03" w14:textId="77777777" w:rsidR="00AF1996" w:rsidRPr="006A7336" w:rsidRDefault="00AA458F"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40.8</w:t>
            </w:r>
          </w:p>
        </w:tc>
        <w:tc>
          <w:tcPr>
            <w:tcW w:w="531" w:type="dxa"/>
            <w:shd w:val="clear" w:color="auto" w:fill="FFFFFF"/>
            <w:tcMar>
              <w:top w:w="0" w:type="dxa"/>
              <w:left w:w="0" w:type="dxa"/>
              <w:bottom w:w="0" w:type="dxa"/>
              <w:right w:w="0" w:type="dxa"/>
            </w:tcMar>
            <w:vAlign w:val="center"/>
          </w:tcPr>
          <w:p w14:paraId="24F84E0F" w14:textId="77777777" w:rsidR="00AF1996"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78</w:t>
            </w:r>
          </w:p>
        </w:tc>
      </w:tr>
      <w:tr w:rsidR="00A96F13" w:rsidRPr="006A7336" w14:paraId="09EB84EE" w14:textId="77777777">
        <w:trPr>
          <w:jc w:val="center"/>
        </w:trPr>
        <w:tc>
          <w:tcPr>
            <w:tcW w:w="838" w:type="dxa"/>
            <w:shd w:val="clear" w:color="auto" w:fill="D1D1D1"/>
            <w:tcMar>
              <w:top w:w="0" w:type="dxa"/>
              <w:left w:w="0" w:type="dxa"/>
              <w:bottom w:w="0" w:type="dxa"/>
              <w:right w:w="0" w:type="dxa"/>
            </w:tcMar>
            <w:vAlign w:val="center"/>
          </w:tcPr>
          <w:p w14:paraId="37B87CD9" w14:textId="77777777" w:rsidR="002E67FD" w:rsidRPr="006A7336" w:rsidRDefault="00AF1996"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b/>
                <w:sz w:val="18"/>
                <w:szCs w:val="18"/>
              </w:rPr>
              <w:t>Scale</w:t>
            </w:r>
            <w:proofErr w:type="spellEnd"/>
          </w:p>
        </w:tc>
        <w:tc>
          <w:tcPr>
            <w:tcW w:w="3427" w:type="dxa"/>
            <w:shd w:val="clear" w:color="auto" w:fill="D1D1D1"/>
            <w:tcMar>
              <w:top w:w="0" w:type="dxa"/>
              <w:left w:w="0" w:type="dxa"/>
              <w:bottom w:w="0" w:type="dxa"/>
              <w:right w:w="0" w:type="dxa"/>
            </w:tcMar>
            <w:vAlign w:val="center"/>
          </w:tcPr>
          <w:p w14:paraId="3B9A6D12"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b/>
                <w:sz w:val="18"/>
                <w:szCs w:val="18"/>
              </w:rPr>
              <w:t>Subscale</w:t>
            </w:r>
            <w:proofErr w:type="spellEnd"/>
          </w:p>
        </w:tc>
        <w:tc>
          <w:tcPr>
            <w:tcW w:w="2975" w:type="dxa"/>
            <w:gridSpan w:val="4"/>
            <w:shd w:val="clear" w:color="auto" w:fill="D1D1D1"/>
            <w:tcMar>
              <w:top w:w="0" w:type="dxa"/>
              <w:left w:w="0" w:type="dxa"/>
              <w:bottom w:w="0" w:type="dxa"/>
              <w:right w:w="0" w:type="dxa"/>
            </w:tcMar>
            <w:vAlign w:val="center"/>
          </w:tcPr>
          <w:p w14:paraId="2E571605"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b/>
                <w:sz w:val="18"/>
                <w:szCs w:val="18"/>
              </w:rPr>
              <w:t>Level</w:t>
            </w:r>
          </w:p>
        </w:tc>
        <w:tc>
          <w:tcPr>
            <w:tcW w:w="708" w:type="dxa"/>
            <w:shd w:val="clear" w:color="auto" w:fill="D1D1D1"/>
            <w:tcMar>
              <w:top w:w="0" w:type="dxa"/>
              <w:left w:w="0" w:type="dxa"/>
              <w:bottom w:w="0" w:type="dxa"/>
              <w:right w:w="0" w:type="dxa"/>
            </w:tcMar>
            <w:vAlign w:val="center"/>
          </w:tcPr>
          <w:p w14:paraId="5DF4866C"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b/>
                <w:sz w:val="18"/>
                <w:szCs w:val="18"/>
              </w:rPr>
              <w:t>n</w:t>
            </w:r>
          </w:p>
        </w:tc>
        <w:tc>
          <w:tcPr>
            <w:tcW w:w="1098" w:type="dxa"/>
            <w:gridSpan w:val="2"/>
            <w:shd w:val="clear" w:color="auto" w:fill="D1D1D1"/>
            <w:tcMar>
              <w:top w:w="0" w:type="dxa"/>
              <w:left w:w="0" w:type="dxa"/>
              <w:bottom w:w="0" w:type="dxa"/>
              <w:right w:w="0" w:type="dxa"/>
            </w:tcMar>
            <w:vAlign w:val="center"/>
          </w:tcPr>
          <w:p w14:paraId="08D5B774"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b/>
                <w:sz w:val="18"/>
                <w:szCs w:val="18"/>
              </w:rPr>
              <w:t>%</w:t>
            </w:r>
          </w:p>
        </w:tc>
      </w:tr>
      <w:tr w:rsidR="00A96F13" w:rsidRPr="006A7336" w14:paraId="12C56F95" w14:textId="77777777" w:rsidTr="00A96F13">
        <w:trPr>
          <w:jc w:val="center"/>
        </w:trPr>
        <w:tc>
          <w:tcPr>
            <w:tcW w:w="838" w:type="dxa"/>
            <w:vMerge w:val="restart"/>
            <w:shd w:val="clear" w:color="auto" w:fill="FFFFFF"/>
            <w:tcMar>
              <w:top w:w="0" w:type="dxa"/>
              <w:left w:w="0" w:type="dxa"/>
              <w:bottom w:w="0" w:type="dxa"/>
              <w:right w:w="0" w:type="dxa"/>
            </w:tcMar>
            <w:vAlign w:val="center"/>
          </w:tcPr>
          <w:p w14:paraId="2B57633F"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TFI</w:t>
            </w:r>
          </w:p>
        </w:tc>
        <w:tc>
          <w:tcPr>
            <w:tcW w:w="3427" w:type="dxa"/>
            <w:vMerge w:val="restart"/>
            <w:shd w:val="clear" w:color="auto" w:fill="FFFFFF"/>
            <w:tcMar>
              <w:top w:w="0" w:type="dxa"/>
              <w:left w:w="0" w:type="dxa"/>
              <w:bottom w:w="0" w:type="dxa"/>
              <w:right w:w="0" w:type="dxa"/>
            </w:tcMar>
            <w:vAlign w:val="center"/>
          </w:tcPr>
          <w:p w14:paraId="528737FC"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Overall</w:t>
            </w:r>
            <w:proofErr w:type="spellEnd"/>
            <w:r w:rsidRPr="006A7336">
              <w:rPr>
                <w:rFonts w:ascii="Segoe UI" w:hAnsi="Segoe UI" w:cs="Segoe UI"/>
                <w:sz w:val="18"/>
                <w:szCs w:val="18"/>
              </w:rPr>
              <w:t xml:space="preserve"> TFI </w:t>
            </w:r>
            <w:proofErr w:type="spellStart"/>
            <w:r w:rsidRPr="006A7336">
              <w:rPr>
                <w:rFonts w:ascii="Segoe UI" w:hAnsi="Segoe UI" w:cs="Segoe UI"/>
                <w:sz w:val="18"/>
                <w:szCs w:val="18"/>
              </w:rPr>
              <w:t>score</w:t>
            </w:r>
            <w:proofErr w:type="spellEnd"/>
          </w:p>
        </w:tc>
        <w:tc>
          <w:tcPr>
            <w:tcW w:w="2975" w:type="dxa"/>
            <w:gridSpan w:val="4"/>
            <w:shd w:val="clear" w:color="auto" w:fill="FFFFFF"/>
            <w:tcMar>
              <w:top w:w="0" w:type="dxa"/>
              <w:left w:w="0" w:type="dxa"/>
              <w:bottom w:w="0" w:type="dxa"/>
              <w:right w:w="0" w:type="dxa"/>
            </w:tcMar>
            <w:vAlign w:val="center"/>
          </w:tcPr>
          <w:p w14:paraId="287B9F0E"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 xml:space="preserve">No </w:t>
            </w:r>
            <w:proofErr w:type="spellStart"/>
            <w:r w:rsidRPr="006A7336">
              <w:rPr>
                <w:rFonts w:ascii="Segoe UI" w:hAnsi="Segoe UI" w:cs="Segoe UI"/>
                <w:sz w:val="18"/>
                <w:szCs w:val="18"/>
              </w:rPr>
              <w:t>frailty</w:t>
            </w:r>
            <w:proofErr w:type="spellEnd"/>
          </w:p>
        </w:tc>
        <w:tc>
          <w:tcPr>
            <w:tcW w:w="708" w:type="dxa"/>
            <w:shd w:val="clear" w:color="auto" w:fill="FFFFFF"/>
            <w:tcMar>
              <w:top w:w="0" w:type="dxa"/>
              <w:left w:w="0" w:type="dxa"/>
              <w:bottom w:w="0" w:type="dxa"/>
              <w:right w:w="0" w:type="dxa"/>
            </w:tcMar>
            <w:vAlign w:val="center"/>
          </w:tcPr>
          <w:p w14:paraId="2991B421"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20</w:t>
            </w:r>
          </w:p>
        </w:tc>
        <w:tc>
          <w:tcPr>
            <w:tcW w:w="1098" w:type="dxa"/>
            <w:gridSpan w:val="2"/>
            <w:shd w:val="clear" w:color="auto" w:fill="FFFFFF"/>
            <w:tcMar>
              <w:top w:w="0" w:type="dxa"/>
              <w:left w:w="0" w:type="dxa"/>
              <w:bottom w:w="0" w:type="dxa"/>
              <w:right w:w="0" w:type="dxa"/>
            </w:tcMar>
            <w:vAlign w:val="center"/>
          </w:tcPr>
          <w:p w14:paraId="55B819DF" w14:textId="77777777" w:rsidR="002E67FD" w:rsidRPr="006A7336" w:rsidRDefault="00AA458F"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17.7</w:t>
            </w:r>
            <w:r w:rsidR="00201E1E" w:rsidRPr="006A7336">
              <w:rPr>
                <w:rFonts w:ascii="Segoe UI" w:hAnsi="Segoe UI" w:cs="Segoe UI"/>
                <w:sz w:val="18"/>
                <w:szCs w:val="18"/>
              </w:rPr>
              <w:t>%</w:t>
            </w:r>
          </w:p>
        </w:tc>
      </w:tr>
      <w:tr w:rsidR="00A96F13" w:rsidRPr="006A7336" w14:paraId="0A6A6F43" w14:textId="77777777" w:rsidTr="00A96F13">
        <w:trPr>
          <w:jc w:val="center"/>
        </w:trPr>
        <w:tc>
          <w:tcPr>
            <w:tcW w:w="838" w:type="dxa"/>
            <w:vMerge/>
            <w:shd w:val="clear" w:color="auto" w:fill="FFFFFF"/>
            <w:tcMar>
              <w:top w:w="0" w:type="dxa"/>
              <w:left w:w="0" w:type="dxa"/>
              <w:bottom w:w="0" w:type="dxa"/>
              <w:right w:w="0" w:type="dxa"/>
            </w:tcMar>
            <w:vAlign w:val="center"/>
          </w:tcPr>
          <w:p w14:paraId="3B566C5D" w14:textId="77777777" w:rsidR="002E67FD" w:rsidRPr="006A7336" w:rsidRDefault="002E67FD"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vMerge/>
            <w:shd w:val="clear" w:color="auto" w:fill="FFFFFF"/>
            <w:tcMar>
              <w:top w:w="0" w:type="dxa"/>
              <w:left w:w="0" w:type="dxa"/>
              <w:bottom w:w="0" w:type="dxa"/>
              <w:right w:w="0" w:type="dxa"/>
            </w:tcMar>
            <w:vAlign w:val="center"/>
          </w:tcPr>
          <w:p w14:paraId="7D87FF54" w14:textId="77777777" w:rsidR="002E67FD" w:rsidRPr="006A7336" w:rsidRDefault="002E67FD"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2975" w:type="dxa"/>
            <w:gridSpan w:val="4"/>
            <w:shd w:val="clear" w:color="auto" w:fill="FFFFFF"/>
            <w:tcMar>
              <w:top w:w="0" w:type="dxa"/>
              <w:left w:w="0" w:type="dxa"/>
              <w:bottom w:w="0" w:type="dxa"/>
              <w:right w:w="0" w:type="dxa"/>
            </w:tcMar>
            <w:vAlign w:val="center"/>
          </w:tcPr>
          <w:p w14:paraId="655B27A9"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Frailty</w:t>
            </w:r>
            <w:proofErr w:type="spellEnd"/>
          </w:p>
        </w:tc>
        <w:tc>
          <w:tcPr>
            <w:tcW w:w="708" w:type="dxa"/>
            <w:shd w:val="clear" w:color="auto" w:fill="FFFFFF"/>
            <w:tcMar>
              <w:top w:w="0" w:type="dxa"/>
              <w:left w:w="0" w:type="dxa"/>
              <w:bottom w:w="0" w:type="dxa"/>
              <w:right w:w="0" w:type="dxa"/>
            </w:tcMar>
            <w:vAlign w:val="center"/>
          </w:tcPr>
          <w:p w14:paraId="750D58D4"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93</w:t>
            </w:r>
          </w:p>
        </w:tc>
        <w:tc>
          <w:tcPr>
            <w:tcW w:w="1098" w:type="dxa"/>
            <w:gridSpan w:val="2"/>
            <w:shd w:val="clear" w:color="auto" w:fill="FFFFFF"/>
            <w:tcMar>
              <w:top w:w="0" w:type="dxa"/>
              <w:left w:w="0" w:type="dxa"/>
              <w:bottom w:w="0" w:type="dxa"/>
              <w:right w:w="0" w:type="dxa"/>
            </w:tcMar>
            <w:vAlign w:val="center"/>
          </w:tcPr>
          <w:p w14:paraId="1C15C670" w14:textId="77777777" w:rsidR="002E67FD" w:rsidRPr="006A7336" w:rsidRDefault="00AA458F"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82.3</w:t>
            </w:r>
            <w:r w:rsidR="00201E1E" w:rsidRPr="006A7336">
              <w:rPr>
                <w:rFonts w:ascii="Segoe UI" w:hAnsi="Segoe UI" w:cs="Segoe UI"/>
                <w:sz w:val="18"/>
                <w:szCs w:val="18"/>
              </w:rPr>
              <w:t>%</w:t>
            </w:r>
          </w:p>
        </w:tc>
      </w:tr>
      <w:tr w:rsidR="00A96F13" w:rsidRPr="006A7336" w14:paraId="77CE90FF" w14:textId="77777777" w:rsidTr="00A96F13">
        <w:trPr>
          <w:jc w:val="center"/>
        </w:trPr>
        <w:tc>
          <w:tcPr>
            <w:tcW w:w="838" w:type="dxa"/>
            <w:vMerge w:val="restart"/>
            <w:shd w:val="clear" w:color="auto" w:fill="FFFFFF"/>
            <w:tcMar>
              <w:top w:w="0" w:type="dxa"/>
              <w:left w:w="0" w:type="dxa"/>
              <w:bottom w:w="0" w:type="dxa"/>
              <w:right w:w="0" w:type="dxa"/>
            </w:tcMar>
            <w:vAlign w:val="center"/>
          </w:tcPr>
          <w:p w14:paraId="303B1623"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HADS</w:t>
            </w:r>
          </w:p>
        </w:tc>
        <w:tc>
          <w:tcPr>
            <w:tcW w:w="3427" w:type="dxa"/>
            <w:vMerge w:val="restart"/>
            <w:shd w:val="clear" w:color="auto" w:fill="FFFFFF"/>
            <w:tcMar>
              <w:top w:w="0" w:type="dxa"/>
              <w:left w:w="0" w:type="dxa"/>
              <w:bottom w:w="0" w:type="dxa"/>
              <w:right w:w="0" w:type="dxa"/>
            </w:tcMar>
            <w:vAlign w:val="center"/>
          </w:tcPr>
          <w:p w14:paraId="65CD0A6A"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Anxiety</w:t>
            </w:r>
            <w:proofErr w:type="spellEnd"/>
          </w:p>
        </w:tc>
        <w:tc>
          <w:tcPr>
            <w:tcW w:w="2975" w:type="dxa"/>
            <w:gridSpan w:val="4"/>
            <w:shd w:val="clear" w:color="auto" w:fill="FFFFFF"/>
            <w:tcMar>
              <w:top w:w="0" w:type="dxa"/>
              <w:left w:w="0" w:type="dxa"/>
              <w:bottom w:w="0" w:type="dxa"/>
              <w:right w:w="0" w:type="dxa"/>
            </w:tcMar>
            <w:vAlign w:val="center"/>
          </w:tcPr>
          <w:p w14:paraId="06156C36"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 xml:space="preserve">No </w:t>
            </w:r>
            <w:proofErr w:type="spellStart"/>
            <w:r w:rsidRPr="006A7336">
              <w:rPr>
                <w:rFonts w:ascii="Segoe UI" w:hAnsi="Segoe UI" w:cs="Segoe UI"/>
                <w:sz w:val="18"/>
                <w:szCs w:val="18"/>
              </w:rPr>
              <w:t>symptoms</w:t>
            </w:r>
            <w:proofErr w:type="spellEnd"/>
          </w:p>
        </w:tc>
        <w:tc>
          <w:tcPr>
            <w:tcW w:w="708" w:type="dxa"/>
            <w:shd w:val="clear" w:color="auto" w:fill="FFFFFF"/>
            <w:tcMar>
              <w:top w:w="0" w:type="dxa"/>
              <w:left w:w="0" w:type="dxa"/>
              <w:bottom w:w="0" w:type="dxa"/>
              <w:right w:w="0" w:type="dxa"/>
            </w:tcMar>
            <w:vAlign w:val="center"/>
          </w:tcPr>
          <w:p w14:paraId="7EE51613"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54</w:t>
            </w:r>
          </w:p>
        </w:tc>
        <w:tc>
          <w:tcPr>
            <w:tcW w:w="1098" w:type="dxa"/>
            <w:gridSpan w:val="2"/>
            <w:shd w:val="clear" w:color="auto" w:fill="FFFFFF"/>
            <w:tcMar>
              <w:top w:w="0" w:type="dxa"/>
              <w:left w:w="0" w:type="dxa"/>
              <w:bottom w:w="0" w:type="dxa"/>
              <w:right w:w="0" w:type="dxa"/>
            </w:tcMar>
            <w:vAlign w:val="center"/>
          </w:tcPr>
          <w:p w14:paraId="358CDB87" w14:textId="77777777" w:rsidR="002E67FD" w:rsidRPr="006A7336" w:rsidRDefault="00AA458F"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47.8</w:t>
            </w:r>
            <w:r w:rsidR="00201E1E" w:rsidRPr="006A7336">
              <w:rPr>
                <w:rFonts w:ascii="Segoe UI" w:hAnsi="Segoe UI" w:cs="Segoe UI"/>
                <w:sz w:val="18"/>
                <w:szCs w:val="18"/>
              </w:rPr>
              <w:t>%</w:t>
            </w:r>
          </w:p>
        </w:tc>
      </w:tr>
      <w:tr w:rsidR="00A96F13" w:rsidRPr="006A7336" w14:paraId="65673121" w14:textId="77777777" w:rsidTr="00A96F13">
        <w:trPr>
          <w:jc w:val="center"/>
        </w:trPr>
        <w:tc>
          <w:tcPr>
            <w:tcW w:w="838" w:type="dxa"/>
            <w:vMerge/>
            <w:shd w:val="clear" w:color="auto" w:fill="FFFFFF"/>
            <w:tcMar>
              <w:top w:w="0" w:type="dxa"/>
              <w:left w:w="0" w:type="dxa"/>
              <w:bottom w:w="0" w:type="dxa"/>
              <w:right w:w="0" w:type="dxa"/>
            </w:tcMar>
            <w:vAlign w:val="center"/>
          </w:tcPr>
          <w:p w14:paraId="4A9D875D" w14:textId="77777777" w:rsidR="002E67FD" w:rsidRPr="006A7336" w:rsidRDefault="002E67FD"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vMerge/>
            <w:shd w:val="clear" w:color="auto" w:fill="FFFFFF"/>
            <w:tcMar>
              <w:top w:w="0" w:type="dxa"/>
              <w:left w:w="0" w:type="dxa"/>
              <w:bottom w:w="0" w:type="dxa"/>
              <w:right w:w="0" w:type="dxa"/>
            </w:tcMar>
            <w:vAlign w:val="center"/>
          </w:tcPr>
          <w:p w14:paraId="185ED706" w14:textId="77777777" w:rsidR="002E67FD" w:rsidRPr="006A7336" w:rsidRDefault="002E67FD"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2975" w:type="dxa"/>
            <w:gridSpan w:val="4"/>
            <w:shd w:val="clear" w:color="auto" w:fill="FFFFFF"/>
            <w:tcMar>
              <w:top w:w="0" w:type="dxa"/>
              <w:left w:w="0" w:type="dxa"/>
              <w:bottom w:w="0" w:type="dxa"/>
              <w:right w:w="0" w:type="dxa"/>
            </w:tcMar>
            <w:vAlign w:val="center"/>
          </w:tcPr>
          <w:p w14:paraId="096BCBA9"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Borderline</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condition</w:t>
            </w:r>
            <w:proofErr w:type="spellEnd"/>
          </w:p>
        </w:tc>
        <w:tc>
          <w:tcPr>
            <w:tcW w:w="708" w:type="dxa"/>
            <w:shd w:val="clear" w:color="auto" w:fill="FFFFFF"/>
            <w:tcMar>
              <w:top w:w="0" w:type="dxa"/>
              <w:left w:w="0" w:type="dxa"/>
              <w:bottom w:w="0" w:type="dxa"/>
              <w:right w:w="0" w:type="dxa"/>
            </w:tcMar>
            <w:vAlign w:val="center"/>
          </w:tcPr>
          <w:p w14:paraId="0770DB01"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24</w:t>
            </w:r>
          </w:p>
        </w:tc>
        <w:tc>
          <w:tcPr>
            <w:tcW w:w="1098" w:type="dxa"/>
            <w:gridSpan w:val="2"/>
            <w:shd w:val="clear" w:color="auto" w:fill="FFFFFF"/>
            <w:tcMar>
              <w:top w:w="0" w:type="dxa"/>
              <w:left w:w="0" w:type="dxa"/>
              <w:bottom w:w="0" w:type="dxa"/>
              <w:right w:w="0" w:type="dxa"/>
            </w:tcMar>
            <w:vAlign w:val="center"/>
          </w:tcPr>
          <w:p w14:paraId="0F8E6938" w14:textId="77777777" w:rsidR="002E67FD" w:rsidRPr="006A7336" w:rsidRDefault="00AA458F"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21.2</w:t>
            </w:r>
            <w:r w:rsidR="00201E1E" w:rsidRPr="006A7336">
              <w:rPr>
                <w:rFonts w:ascii="Segoe UI" w:hAnsi="Segoe UI" w:cs="Segoe UI"/>
                <w:sz w:val="18"/>
                <w:szCs w:val="18"/>
              </w:rPr>
              <w:t>%</w:t>
            </w:r>
          </w:p>
        </w:tc>
      </w:tr>
      <w:tr w:rsidR="00A96F13" w:rsidRPr="006A7336" w14:paraId="64CA6087" w14:textId="77777777" w:rsidTr="00A96F13">
        <w:trPr>
          <w:jc w:val="center"/>
        </w:trPr>
        <w:tc>
          <w:tcPr>
            <w:tcW w:w="838" w:type="dxa"/>
            <w:vMerge/>
            <w:shd w:val="clear" w:color="auto" w:fill="FFFFFF"/>
            <w:tcMar>
              <w:top w:w="0" w:type="dxa"/>
              <w:left w:w="0" w:type="dxa"/>
              <w:bottom w:w="0" w:type="dxa"/>
              <w:right w:w="0" w:type="dxa"/>
            </w:tcMar>
            <w:vAlign w:val="center"/>
          </w:tcPr>
          <w:p w14:paraId="42D4AA23" w14:textId="77777777" w:rsidR="002E67FD" w:rsidRPr="006A7336" w:rsidRDefault="002E67FD"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vMerge/>
            <w:shd w:val="clear" w:color="auto" w:fill="FFFFFF"/>
            <w:tcMar>
              <w:top w:w="0" w:type="dxa"/>
              <w:left w:w="0" w:type="dxa"/>
              <w:bottom w:w="0" w:type="dxa"/>
              <w:right w:w="0" w:type="dxa"/>
            </w:tcMar>
            <w:vAlign w:val="center"/>
          </w:tcPr>
          <w:p w14:paraId="738FD0CF" w14:textId="77777777" w:rsidR="002E67FD" w:rsidRPr="006A7336" w:rsidRDefault="002E67FD"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2975" w:type="dxa"/>
            <w:gridSpan w:val="4"/>
            <w:shd w:val="clear" w:color="auto" w:fill="FFFFFF"/>
            <w:tcMar>
              <w:top w:w="0" w:type="dxa"/>
              <w:left w:w="0" w:type="dxa"/>
              <w:bottom w:w="0" w:type="dxa"/>
              <w:right w:w="0" w:type="dxa"/>
            </w:tcMar>
            <w:vAlign w:val="center"/>
          </w:tcPr>
          <w:p w14:paraId="6F4A9C11"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Distinct</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symptoms</w:t>
            </w:r>
            <w:proofErr w:type="spellEnd"/>
          </w:p>
        </w:tc>
        <w:tc>
          <w:tcPr>
            <w:tcW w:w="708" w:type="dxa"/>
            <w:shd w:val="clear" w:color="auto" w:fill="FFFFFF"/>
            <w:tcMar>
              <w:top w:w="0" w:type="dxa"/>
              <w:left w:w="0" w:type="dxa"/>
              <w:bottom w:w="0" w:type="dxa"/>
              <w:right w:w="0" w:type="dxa"/>
            </w:tcMar>
            <w:vAlign w:val="center"/>
          </w:tcPr>
          <w:p w14:paraId="1C523695"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35</w:t>
            </w:r>
          </w:p>
        </w:tc>
        <w:tc>
          <w:tcPr>
            <w:tcW w:w="1098" w:type="dxa"/>
            <w:gridSpan w:val="2"/>
            <w:shd w:val="clear" w:color="auto" w:fill="FFFFFF"/>
            <w:tcMar>
              <w:top w:w="0" w:type="dxa"/>
              <w:left w:w="0" w:type="dxa"/>
              <w:bottom w:w="0" w:type="dxa"/>
              <w:right w:w="0" w:type="dxa"/>
            </w:tcMar>
            <w:vAlign w:val="center"/>
          </w:tcPr>
          <w:p w14:paraId="1904B617" w14:textId="77777777" w:rsidR="002E67FD" w:rsidRPr="006A7336" w:rsidRDefault="00AA458F"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31.0</w:t>
            </w:r>
            <w:r w:rsidR="00201E1E" w:rsidRPr="006A7336">
              <w:rPr>
                <w:rFonts w:ascii="Segoe UI" w:hAnsi="Segoe UI" w:cs="Segoe UI"/>
                <w:sz w:val="18"/>
                <w:szCs w:val="18"/>
              </w:rPr>
              <w:t>%</w:t>
            </w:r>
          </w:p>
        </w:tc>
      </w:tr>
      <w:tr w:rsidR="00A96F13" w:rsidRPr="006A7336" w14:paraId="78653333" w14:textId="77777777" w:rsidTr="00A96F13">
        <w:trPr>
          <w:jc w:val="center"/>
        </w:trPr>
        <w:tc>
          <w:tcPr>
            <w:tcW w:w="838" w:type="dxa"/>
            <w:vMerge/>
            <w:shd w:val="clear" w:color="auto" w:fill="FFFFFF"/>
            <w:tcMar>
              <w:top w:w="0" w:type="dxa"/>
              <w:left w:w="0" w:type="dxa"/>
              <w:bottom w:w="0" w:type="dxa"/>
              <w:right w:w="0" w:type="dxa"/>
            </w:tcMar>
            <w:vAlign w:val="center"/>
          </w:tcPr>
          <w:p w14:paraId="42E60285" w14:textId="77777777" w:rsidR="002E67FD" w:rsidRPr="006A7336" w:rsidRDefault="002E67FD"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vMerge w:val="restart"/>
            <w:shd w:val="clear" w:color="auto" w:fill="FFFFFF"/>
            <w:tcMar>
              <w:top w:w="0" w:type="dxa"/>
              <w:left w:w="0" w:type="dxa"/>
              <w:bottom w:w="0" w:type="dxa"/>
              <w:right w:w="0" w:type="dxa"/>
            </w:tcMar>
            <w:vAlign w:val="center"/>
          </w:tcPr>
          <w:p w14:paraId="0CFB7C3D"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Depression</w:t>
            </w:r>
            <w:proofErr w:type="spellEnd"/>
          </w:p>
        </w:tc>
        <w:tc>
          <w:tcPr>
            <w:tcW w:w="2975" w:type="dxa"/>
            <w:gridSpan w:val="4"/>
            <w:shd w:val="clear" w:color="auto" w:fill="FFFFFF"/>
            <w:tcMar>
              <w:top w:w="0" w:type="dxa"/>
              <w:left w:w="0" w:type="dxa"/>
              <w:bottom w:w="0" w:type="dxa"/>
              <w:right w:w="0" w:type="dxa"/>
            </w:tcMar>
            <w:vAlign w:val="center"/>
          </w:tcPr>
          <w:p w14:paraId="26D9F46C"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 xml:space="preserve">No </w:t>
            </w:r>
            <w:proofErr w:type="spellStart"/>
            <w:r w:rsidRPr="006A7336">
              <w:rPr>
                <w:rFonts w:ascii="Segoe UI" w:hAnsi="Segoe UI" w:cs="Segoe UI"/>
                <w:sz w:val="18"/>
                <w:szCs w:val="18"/>
              </w:rPr>
              <w:t>symptoms</w:t>
            </w:r>
            <w:proofErr w:type="spellEnd"/>
          </w:p>
        </w:tc>
        <w:tc>
          <w:tcPr>
            <w:tcW w:w="708" w:type="dxa"/>
            <w:shd w:val="clear" w:color="auto" w:fill="FFFFFF"/>
            <w:tcMar>
              <w:top w:w="0" w:type="dxa"/>
              <w:left w:w="0" w:type="dxa"/>
              <w:bottom w:w="0" w:type="dxa"/>
              <w:right w:w="0" w:type="dxa"/>
            </w:tcMar>
            <w:vAlign w:val="center"/>
          </w:tcPr>
          <w:p w14:paraId="128298EC"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50</w:t>
            </w:r>
          </w:p>
        </w:tc>
        <w:tc>
          <w:tcPr>
            <w:tcW w:w="1098" w:type="dxa"/>
            <w:gridSpan w:val="2"/>
            <w:shd w:val="clear" w:color="auto" w:fill="FFFFFF"/>
            <w:tcMar>
              <w:top w:w="0" w:type="dxa"/>
              <w:left w:w="0" w:type="dxa"/>
              <w:bottom w:w="0" w:type="dxa"/>
              <w:right w:w="0" w:type="dxa"/>
            </w:tcMar>
            <w:vAlign w:val="center"/>
          </w:tcPr>
          <w:p w14:paraId="3731465D" w14:textId="77777777" w:rsidR="002E67FD" w:rsidRPr="006A7336" w:rsidRDefault="00AA458F"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44.3</w:t>
            </w:r>
            <w:r w:rsidR="00201E1E" w:rsidRPr="006A7336">
              <w:rPr>
                <w:rFonts w:ascii="Segoe UI" w:hAnsi="Segoe UI" w:cs="Segoe UI"/>
                <w:sz w:val="18"/>
                <w:szCs w:val="18"/>
              </w:rPr>
              <w:t>%</w:t>
            </w:r>
          </w:p>
        </w:tc>
      </w:tr>
      <w:tr w:rsidR="00A96F13" w:rsidRPr="006A7336" w14:paraId="39E00521" w14:textId="77777777" w:rsidTr="00A96F13">
        <w:trPr>
          <w:jc w:val="center"/>
        </w:trPr>
        <w:tc>
          <w:tcPr>
            <w:tcW w:w="838" w:type="dxa"/>
            <w:vMerge/>
            <w:shd w:val="clear" w:color="auto" w:fill="FFFFFF"/>
            <w:tcMar>
              <w:top w:w="0" w:type="dxa"/>
              <w:left w:w="0" w:type="dxa"/>
              <w:bottom w:w="0" w:type="dxa"/>
              <w:right w:w="0" w:type="dxa"/>
            </w:tcMar>
            <w:vAlign w:val="center"/>
          </w:tcPr>
          <w:p w14:paraId="5D6A2E6D" w14:textId="77777777" w:rsidR="002E67FD" w:rsidRPr="006A7336" w:rsidRDefault="002E67FD"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vMerge/>
            <w:shd w:val="clear" w:color="auto" w:fill="FFFFFF"/>
            <w:tcMar>
              <w:top w:w="0" w:type="dxa"/>
              <w:left w:w="0" w:type="dxa"/>
              <w:bottom w:w="0" w:type="dxa"/>
              <w:right w:w="0" w:type="dxa"/>
            </w:tcMar>
            <w:vAlign w:val="center"/>
          </w:tcPr>
          <w:p w14:paraId="4D83F206" w14:textId="77777777" w:rsidR="002E67FD" w:rsidRPr="006A7336" w:rsidRDefault="002E67FD"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2975" w:type="dxa"/>
            <w:gridSpan w:val="4"/>
            <w:shd w:val="clear" w:color="auto" w:fill="FFFFFF"/>
            <w:tcMar>
              <w:top w:w="0" w:type="dxa"/>
              <w:left w:w="0" w:type="dxa"/>
              <w:bottom w:w="0" w:type="dxa"/>
              <w:right w:w="0" w:type="dxa"/>
            </w:tcMar>
            <w:vAlign w:val="center"/>
          </w:tcPr>
          <w:p w14:paraId="59E8B5A2"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Borderline</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condition</w:t>
            </w:r>
            <w:proofErr w:type="spellEnd"/>
          </w:p>
        </w:tc>
        <w:tc>
          <w:tcPr>
            <w:tcW w:w="708" w:type="dxa"/>
            <w:shd w:val="clear" w:color="auto" w:fill="FFFFFF"/>
            <w:tcMar>
              <w:top w:w="0" w:type="dxa"/>
              <w:left w:w="0" w:type="dxa"/>
              <w:bottom w:w="0" w:type="dxa"/>
              <w:right w:w="0" w:type="dxa"/>
            </w:tcMar>
            <w:vAlign w:val="center"/>
          </w:tcPr>
          <w:p w14:paraId="4F8CDF71"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22</w:t>
            </w:r>
          </w:p>
        </w:tc>
        <w:tc>
          <w:tcPr>
            <w:tcW w:w="1098" w:type="dxa"/>
            <w:gridSpan w:val="2"/>
            <w:shd w:val="clear" w:color="auto" w:fill="FFFFFF"/>
            <w:tcMar>
              <w:top w:w="0" w:type="dxa"/>
              <w:left w:w="0" w:type="dxa"/>
              <w:bottom w:w="0" w:type="dxa"/>
              <w:right w:w="0" w:type="dxa"/>
            </w:tcMar>
            <w:vAlign w:val="center"/>
          </w:tcPr>
          <w:p w14:paraId="6A64D8DA" w14:textId="77777777" w:rsidR="002E67FD" w:rsidRPr="006A7336" w:rsidRDefault="00AA458F"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19.5</w:t>
            </w:r>
            <w:r w:rsidR="00201E1E" w:rsidRPr="006A7336">
              <w:rPr>
                <w:rFonts w:ascii="Segoe UI" w:hAnsi="Segoe UI" w:cs="Segoe UI"/>
                <w:sz w:val="18"/>
                <w:szCs w:val="18"/>
              </w:rPr>
              <w:t>%</w:t>
            </w:r>
          </w:p>
        </w:tc>
      </w:tr>
      <w:tr w:rsidR="00A96F13" w:rsidRPr="006A7336" w14:paraId="5EB81ECE" w14:textId="77777777" w:rsidTr="00A96F13">
        <w:trPr>
          <w:jc w:val="center"/>
        </w:trPr>
        <w:tc>
          <w:tcPr>
            <w:tcW w:w="838" w:type="dxa"/>
            <w:vMerge/>
            <w:shd w:val="clear" w:color="auto" w:fill="FFFFFF"/>
            <w:tcMar>
              <w:top w:w="0" w:type="dxa"/>
              <w:left w:w="0" w:type="dxa"/>
              <w:bottom w:w="0" w:type="dxa"/>
              <w:right w:w="0" w:type="dxa"/>
            </w:tcMar>
            <w:vAlign w:val="center"/>
          </w:tcPr>
          <w:p w14:paraId="623185F9" w14:textId="77777777" w:rsidR="002E67FD" w:rsidRPr="006A7336" w:rsidRDefault="002E67FD"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3427" w:type="dxa"/>
            <w:vMerge/>
            <w:shd w:val="clear" w:color="auto" w:fill="FFFFFF"/>
            <w:tcMar>
              <w:top w:w="0" w:type="dxa"/>
              <w:left w:w="0" w:type="dxa"/>
              <w:bottom w:w="0" w:type="dxa"/>
              <w:right w:w="0" w:type="dxa"/>
            </w:tcMar>
            <w:vAlign w:val="center"/>
          </w:tcPr>
          <w:p w14:paraId="20ED8A22" w14:textId="77777777" w:rsidR="002E67FD" w:rsidRPr="006A7336" w:rsidRDefault="002E67FD"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
        </w:tc>
        <w:tc>
          <w:tcPr>
            <w:tcW w:w="2975" w:type="dxa"/>
            <w:gridSpan w:val="4"/>
            <w:shd w:val="clear" w:color="auto" w:fill="FFFFFF"/>
            <w:tcMar>
              <w:top w:w="0" w:type="dxa"/>
              <w:left w:w="0" w:type="dxa"/>
              <w:bottom w:w="0" w:type="dxa"/>
              <w:right w:w="0" w:type="dxa"/>
            </w:tcMar>
            <w:vAlign w:val="center"/>
          </w:tcPr>
          <w:p w14:paraId="53D90AAC"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proofErr w:type="spellStart"/>
            <w:r w:rsidRPr="006A7336">
              <w:rPr>
                <w:rFonts w:ascii="Segoe UI" w:hAnsi="Segoe UI" w:cs="Segoe UI"/>
                <w:sz w:val="18"/>
                <w:szCs w:val="18"/>
              </w:rPr>
              <w:t>Distinct</w:t>
            </w:r>
            <w:proofErr w:type="spellEnd"/>
            <w:r w:rsidRPr="006A7336">
              <w:rPr>
                <w:rFonts w:ascii="Segoe UI" w:hAnsi="Segoe UI" w:cs="Segoe UI"/>
                <w:sz w:val="18"/>
                <w:szCs w:val="18"/>
              </w:rPr>
              <w:t xml:space="preserve"> </w:t>
            </w:r>
            <w:proofErr w:type="spellStart"/>
            <w:r w:rsidRPr="006A7336">
              <w:rPr>
                <w:rFonts w:ascii="Segoe UI" w:hAnsi="Segoe UI" w:cs="Segoe UI"/>
                <w:sz w:val="18"/>
                <w:szCs w:val="18"/>
              </w:rPr>
              <w:t>symptoms</w:t>
            </w:r>
            <w:proofErr w:type="spellEnd"/>
          </w:p>
        </w:tc>
        <w:tc>
          <w:tcPr>
            <w:tcW w:w="708" w:type="dxa"/>
            <w:shd w:val="clear" w:color="auto" w:fill="FFFFFF"/>
            <w:tcMar>
              <w:top w:w="0" w:type="dxa"/>
              <w:left w:w="0" w:type="dxa"/>
              <w:bottom w:w="0" w:type="dxa"/>
              <w:right w:w="0" w:type="dxa"/>
            </w:tcMar>
            <w:vAlign w:val="center"/>
          </w:tcPr>
          <w:p w14:paraId="487B5DE6" w14:textId="77777777" w:rsidR="002E67FD" w:rsidRPr="006A7336" w:rsidRDefault="00201E1E"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41</w:t>
            </w:r>
          </w:p>
        </w:tc>
        <w:tc>
          <w:tcPr>
            <w:tcW w:w="1098" w:type="dxa"/>
            <w:gridSpan w:val="2"/>
            <w:shd w:val="clear" w:color="auto" w:fill="FFFFFF"/>
            <w:tcMar>
              <w:top w:w="0" w:type="dxa"/>
              <w:left w:w="0" w:type="dxa"/>
              <w:bottom w:w="0" w:type="dxa"/>
              <w:right w:w="0" w:type="dxa"/>
            </w:tcMar>
            <w:vAlign w:val="center"/>
          </w:tcPr>
          <w:p w14:paraId="3FCE0C3C" w14:textId="77777777" w:rsidR="002E67FD" w:rsidRPr="006A7336" w:rsidRDefault="00AA458F" w:rsidP="00A96F13">
            <w:pPr>
              <w:pBdr>
                <w:top w:val="none" w:sz="0" w:space="0" w:color="000000"/>
                <w:left w:val="none" w:sz="0" w:space="0" w:color="000000"/>
                <w:bottom w:val="none" w:sz="0" w:space="0" w:color="000000"/>
                <w:right w:val="none" w:sz="0" w:space="0" w:color="000000"/>
              </w:pBdr>
              <w:spacing w:before="60" w:after="60"/>
              <w:jc w:val="center"/>
              <w:rPr>
                <w:rFonts w:ascii="Segoe UI" w:hAnsi="Segoe UI" w:cs="Segoe UI"/>
                <w:sz w:val="18"/>
                <w:szCs w:val="18"/>
              </w:rPr>
            </w:pPr>
            <w:r w:rsidRPr="006A7336">
              <w:rPr>
                <w:rFonts w:ascii="Segoe UI" w:hAnsi="Segoe UI" w:cs="Segoe UI"/>
                <w:sz w:val="18"/>
                <w:szCs w:val="18"/>
              </w:rPr>
              <w:t>36.3</w:t>
            </w:r>
            <w:r w:rsidR="00201E1E" w:rsidRPr="006A7336">
              <w:rPr>
                <w:rFonts w:ascii="Segoe UI" w:hAnsi="Segoe UI" w:cs="Segoe UI"/>
                <w:sz w:val="18"/>
                <w:szCs w:val="18"/>
              </w:rPr>
              <w:t>%</w:t>
            </w:r>
          </w:p>
        </w:tc>
      </w:tr>
    </w:tbl>
    <w:p w14:paraId="5882A9D7" w14:textId="77777777" w:rsidR="009526E6" w:rsidRDefault="00AF1996" w:rsidP="00BA1DF3">
      <w:pPr>
        <w:pStyle w:val="Podpistabeli"/>
        <w:spacing w:line="360" w:lineRule="auto"/>
        <w:rPr>
          <w:rFonts w:ascii="Segoe UI" w:hAnsi="Segoe UI" w:cs="Segoe UI"/>
          <w:sz w:val="22"/>
          <w:lang w:val="en-GB"/>
        </w:rPr>
      </w:pPr>
      <w:bookmarkStart w:id="2" w:name="_Hlk216521854"/>
      <w:r w:rsidRPr="006A7336">
        <w:rPr>
          <w:rFonts w:ascii="Segoe UI" w:hAnsi="Segoe UI" w:cs="Segoe UI"/>
          <w:sz w:val="22"/>
          <w:lang w:val="en-GB"/>
        </w:rPr>
        <w:lastRenderedPageBreak/>
        <w:t>SD - standard deviation, Q1 - lower quartile, Q3 - upper quartile</w:t>
      </w:r>
      <w:r w:rsidR="009526E6" w:rsidRPr="006A7336">
        <w:rPr>
          <w:rFonts w:ascii="Segoe UI" w:hAnsi="Segoe UI" w:cs="Segoe UI"/>
          <w:sz w:val="22"/>
          <w:lang w:val="en-GB"/>
        </w:rPr>
        <w:t xml:space="preserve">, TASQ - The Toronto Aortic Stenosis Quality of Life Questionnaire, HADS - Hospital Anxiety and Depression Scale, </w:t>
      </w:r>
      <w:r w:rsidR="009526E6" w:rsidRPr="006A7336">
        <w:rPr>
          <w:rFonts w:ascii="Segoe UI" w:hAnsi="Segoe UI" w:cs="Segoe UI"/>
          <w:sz w:val="22"/>
          <w:lang w:val="en-GB"/>
        </w:rPr>
        <w:br/>
        <w:t xml:space="preserve">MLHFQ - Minnesota Living with Heart Failure Questionnaire, TFI - Tilburg Frailty Index, </w:t>
      </w:r>
      <w:r w:rsidR="009526E6" w:rsidRPr="006A7336">
        <w:rPr>
          <w:rFonts w:ascii="Segoe UI" w:hAnsi="Segoe UI" w:cs="Segoe UI"/>
          <w:sz w:val="22"/>
          <w:lang w:val="en-GB"/>
        </w:rPr>
        <w:br/>
        <w:t>MSPSS -Multidimensional Scale of Perceived Social Support</w:t>
      </w:r>
    </w:p>
    <w:p w14:paraId="2E5F00B3" w14:textId="77777777" w:rsidR="00BD11FD" w:rsidRPr="00BD11FD" w:rsidRDefault="00BD11FD" w:rsidP="00BD11FD">
      <w:pPr>
        <w:spacing w:line="360" w:lineRule="auto"/>
        <w:ind w:firstLine="708"/>
        <w:rPr>
          <w:rFonts w:ascii="Segoe UI" w:hAnsi="Segoe UI" w:cs="Segoe UI"/>
          <w:sz w:val="22"/>
          <w:lang w:val="en-US"/>
        </w:rPr>
      </w:pPr>
    </w:p>
    <w:p w14:paraId="2D0BC83F" w14:textId="04766A40" w:rsidR="00BD11FD" w:rsidRPr="00BD11FD" w:rsidRDefault="00BD11FD" w:rsidP="00BD11FD">
      <w:pPr>
        <w:spacing w:line="360" w:lineRule="auto"/>
        <w:ind w:firstLine="708"/>
        <w:rPr>
          <w:rFonts w:ascii="Segoe UI" w:hAnsi="Segoe UI" w:cs="Segoe UI"/>
          <w:color w:val="FF0000"/>
          <w:sz w:val="22"/>
          <w:lang w:val="en-US"/>
        </w:rPr>
      </w:pPr>
      <w:r w:rsidRPr="00BD11FD">
        <w:rPr>
          <w:rFonts w:ascii="Segoe UI" w:hAnsi="Segoe UI" w:cs="Segoe UI"/>
          <w:color w:val="FF0000"/>
          <w:sz w:val="22"/>
          <w:lang w:val="en-US"/>
        </w:rPr>
        <w:t xml:space="preserve">An exploratory analysis comparing frailty according to </w:t>
      </w:r>
      <w:proofErr w:type="spellStart"/>
      <w:r w:rsidRPr="00BD11FD">
        <w:rPr>
          <w:rFonts w:ascii="Segoe UI" w:hAnsi="Segoe UI" w:cs="Segoe UI"/>
          <w:color w:val="FF0000"/>
          <w:sz w:val="22"/>
          <w:lang w:val="en-US"/>
        </w:rPr>
        <w:t>haemodynamic</w:t>
      </w:r>
      <w:proofErr w:type="spellEnd"/>
      <w:r w:rsidRPr="00BD11FD">
        <w:rPr>
          <w:rFonts w:ascii="Segoe UI" w:hAnsi="Segoe UI" w:cs="Segoe UI"/>
          <w:color w:val="FF0000"/>
          <w:sz w:val="22"/>
          <w:lang w:val="en-US"/>
        </w:rPr>
        <w:t xml:space="preserve"> AS phenotype was additionally performed. Because of the limited number of patients with low-gradient AS phenotypes, patients were grouped into low-gradient (LFLG and </w:t>
      </w:r>
      <w:proofErr w:type="spellStart"/>
      <w:r w:rsidRPr="00BD11FD">
        <w:rPr>
          <w:rFonts w:ascii="Segoe UI" w:hAnsi="Segoe UI" w:cs="Segoe UI"/>
          <w:color w:val="FF0000"/>
          <w:sz w:val="22"/>
          <w:lang w:val="en-US"/>
        </w:rPr>
        <w:t>pLFLG</w:t>
      </w:r>
      <w:proofErr w:type="spellEnd"/>
      <w:r w:rsidRPr="00BD11FD">
        <w:rPr>
          <w:rFonts w:ascii="Segoe UI" w:hAnsi="Segoe UI" w:cs="Segoe UI"/>
          <w:color w:val="FF0000"/>
          <w:sz w:val="22"/>
          <w:lang w:val="en-US"/>
        </w:rPr>
        <w:t>) and high-gradient (HGNF, HGHF and LFHG) AS. No statistically significant differences were observed between the groups in the overall TFI score, physical, psychological or social frailty domains, or in the prevalence of frailty (Supplementary Table S5).</w:t>
      </w:r>
    </w:p>
    <w:p w14:paraId="27BA7140" w14:textId="77777777" w:rsidR="009526E6" w:rsidRPr="006A7336" w:rsidRDefault="009526E6" w:rsidP="00BA1DF3">
      <w:pPr>
        <w:spacing w:line="360" w:lineRule="auto"/>
        <w:rPr>
          <w:rFonts w:ascii="Segoe UI" w:hAnsi="Segoe UI" w:cs="Segoe UI"/>
          <w:lang w:val="en-GB"/>
        </w:rPr>
      </w:pPr>
    </w:p>
    <w:bookmarkEnd w:id="2"/>
    <w:p w14:paraId="36977D6A" w14:textId="77777777" w:rsidR="008C04F6" w:rsidRPr="006A7336" w:rsidRDefault="00AC766C" w:rsidP="00BA1DF3">
      <w:pPr>
        <w:spacing w:line="360" w:lineRule="auto"/>
        <w:rPr>
          <w:rFonts w:ascii="Segoe UI" w:hAnsi="Segoe UI" w:cs="Segoe UI"/>
          <w:sz w:val="22"/>
          <w:lang w:val="en-US"/>
        </w:rPr>
      </w:pPr>
      <w:r w:rsidRPr="006A7336">
        <w:rPr>
          <w:rFonts w:ascii="Segoe UI" w:hAnsi="Segoe UI" w:cs="Segoe UI"/>
          <w:b/>
          <w:i/>
          <w:iCs/>
          <w:sz w:val="22"/>
          <w:lang w:val="en-US"/>
        </w:rPr>
        <w:t xml:space="preserve">Correlation analysis between </w:t>
      </w:r>
      <w:proofErr w:type="spellStart"/>
      <w:r w:rsidRPr="006A7336">
        <w:rPr>
          <w:rFonts w:ascii="Segoe UI" w:hAnsi="Segoe UI" w:cs="Segoe UI"/>
          <w:b/>
          <w:i/>
          <w:iCs/>
          <w:sz w:val="22"/>
          <w:lang w:val="en-US"/>
        </w:rPr>
        <w:t>standardised</w:t>
      </w:r>
      <w:proofErr w:type="spellEnd"/>
      <w:r w:rsidRPr="006A7336">
        <w:rPr>
          <w:rFonts w:ascii="Segoe UI" w:hAnsi="Segoe UI" w:cs="Segoe UI"/>
          <w:b/>
          <w:i/>
          <w:iCs/>
          <w:sz w:val="22"/>
          <w:lang w:val="en-US"/>
        </w:rPr>
        <w:t xml:space="preserve"> questionnaires (TFI, MSPSS, HADSM, MLHFQ, TASQ) and </w:t>
      </w:r>
      <w:proofErr w:type="spellStart"/>
      <w:r w:rsidRPr="006A7336">
        <w:rPr>
          <w:rFonts w:ascii="Segoe UI" w:hAnsi="Segoe UI" w:cs="Segoe UI"/>
          <w:b/>
          <w:i/>
          <w:iCs/>
          <w:sz w:val="22"/>
          <w:lang w:val="en-US"/>
        </w:rPr>
        <w:t>socioclinic</w:t>
      </w:r>
      <w:proofErr w:type="spellEnd"/>
      <w:r w:rsidRPr="006A7336">
        <w:rPr>
          <w:rFonts w:ascii="Segoe UI" w:hAnsi="Segoe UI" w:cs="Segoe UI"/>
          <w:b/>
          <w:i/>
          <w:iCs/>
          <w:sz w:val="22"/>
          <w:lang w:val="en-US"/>
        </w:rPr>
        <w:t xml:space="preserve"> variables and frailty syndrome (TFI)</w:t>
      </w:r>
    </w:p>
    <w:p w14:paraId="6CB32B30" w14:textId="77777777" w:rsidR="00AC766C"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The results of the correlation analysis are presented in Fig. 1. The correlation analysis showed that the score on the general frailty scale correlates significantly and positively with the score on the ph</w:t>
      </w:r>
      <w:r w:rsidR="00AA458F" w:rsidRPr="006A7336">
        <w:rPr>
          <w:rFonts w:ascii="Segoe UI" w:hAnsi="Segoe UI" w:cs="Segoe UI"/>
          <w:sz w:val="22"/>
          <w:lang w:val="en-US"/>
        </w:rPr>
        <w:t>ysical components scale (r=0.84</w:t>
      </w:r>
      <w:r w:rsidRPr="006A7336">
        <w:rPr>
          <w:rFonts w:ascii="Segoe UI" w:hAnsi="Segoe UI" w:cs="Segoe UI"/>
          <w:sz w:val="22"/>
          <w:lang w:val="en-US"/>
        </w:rPr>
        <w:t>, p&lt;0.001), the score on the psychol</w:t>
      </w:r>
      <w:r w:rsidR="00AA458F" w:rsidRPr="006A7336">
        <w:rPr>
          <w:rFonts w:ascii="Segoe UI" w:hAnsi="Segoe UI" w:cs="Segoe UI"/>
          <w:sz w:val="22"/>
          <w:lang w:val="en-US"/>
        </w:rPr>
        <w:t>ogical components scale (r=0.66</w:t>
      </w:r>
      <w:r w:rsidRPr="006A7336">
        <w:rPr>
          <w:rFonts w:ascii="Segoe UI" w:hAnsi="Segoe UI" w:cs="Segoe UI"/>
          <w:sz w:val="22"/>
          <w:lang w:val="en-US"/>
        </w:rPr>
        <w:t xml:space="preserve">, p&lt;0. 001), score on the </w:t>
      </w:r>
      <w:r w:rsidR="00AA458F" w:rsidRPr="006A7336">
        <w:rPr>
          <w:rFonts w:ascii="Segoe UI" w:hAnsi="Segoe UI" w:cs="Segoe UI"/>
          <w:sz w:val="22"/>
          <w:lang w:val="en-US"/>
        </w:rPr>
        <w:t>social components scale (r=0.32</w:t>
      </w:r>
      <w:r w:rsidRPr="006A7336">
        <w:rPr>
          <w:rFonts w:ascii="Segoe UI" w:hAnsi="Segoe UI" w:cs="Segoe UI"/>
          <w:sz w:val="22"/>
          <w:lang w:val="en-US"/>
        </w:rPr>
        <w:t>, p=0.001), sco</w:t>
      </w:r>
      <w:r w:rsidR="00AA458F" w:rsidRPr="006A7336">
        <w:rPr>
          <w:rFonts w:ascii="Segoe UI" w:hAnsi="Segoe UI" w:cs="Segoe UI"/>
          <w:sz w:val="22"/>
          <w:lang w:val="en-US"/>
        </w:rPr>
        <w:t>re on the anxiety scale (r=0.41</w:t>
      </w:r>
      <w:r w:rsidRPr="006A7336">
        <w:rPr>
          <w:rFonts w:ascii="Segoe UI" w:hAnsi="Segoe UI" w:cs="Segoe UI"/>
          <w:sz w:val="22"/>
          <w:lang w:val="en-US"/>
        </w:rPr>
        <w:t xml:space="preserve">, p&lt;0.001), score on the depression scale </w:t>
      </w:r>
      <w:r w:rsidR="00AA458F" w:rsidRPr="006A7336">
        <w:rPr>
          <w:rFonts w:ascii="Segoe UI" w:hAnsi="Segoe UI" w:cs="Segoe UI"/>
          <w:sz w:val="22"/>
          <w:lang w:val="en-US"/>
        </w:rPr>
        <w:t>(r=0.32</w:t>
      </w:r>
      <w:r w:rsidRPr="006A7336">
        <w:rPr>
          <w:rFonts w:ascii="Segoe UI" w:hAnsi="Segoe UI" w:cs="Segoe UI"/>
          <w:sz w:val="22"/>
          <w:lang w:val="en-US"/>
        </w:rPr>
        <w:t xml:space="preserve">, p=0.001), score on the physical limitations scale (r=0.19, p=0.044) and score on the TASQ total scale (r=0.22, p=0.02). </w:t>
      </w:r>
    </w:p>
    <w:p w14:paraId="308CCEEB" w14:textId="77777777" w:rsidR="00AC766C"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The score on the physical components scale correlates significantly and positively with the score on the general frailty scal</w:t>
      </w:r>
      <w:r w:rsidR="00E97036" w:rsidRPr="006A7336">
        <w:rPr>
          <w:rFonts w:ascii="Segoe UI" w:hAnsi="Segoe UI" w:cs="Segoe UI"/>
          <w:sz w:val="22"/>
          <w:lang w:val="en-US"/>
        </w:rPr>
        <w:t>e (r=0.84</w:t>
      </w:r>
      <w:r w:rsidRPr="006A7336">
        <w:rPr>
          <w:rFonts w:ascii="Segoe UI" w:hAnsi="Segoe UI" w:cs="Segoe UI"/>
          <w:sz w:val="22"/>
          <w:lang w:val="en-US"/>
        </w:rPr>
        <w:t>, p&lt;0.001), the score on the psychol</w:t>
      </w:r>
      <w:r w:rsidR="00E97036" w:rsidRPr="006A7336">
        <w:rPr>
          <w:rFonts w:ascii="Segoe UI" w:hAnsi="Segoe UI" w:cs="Segoe UI"/>
          <w:sz w:val="22"/>
          <w:lang w:val="en-US"/>
        </w:rPr>
        <w:t>ogical components scale (r=0.3</w:t>
      </w:r>
      <w:r w:rsidRPr="006A7336">
        <w:rPr>
          <w:rFonts w:ascii="Segoe UI" w:hAnsi="Segoe UI" w:cs="Segoe UI"/>
          <w:sz w:val="22"/>
          <w:lang w:val="en-US"/>
        </w:rPr>
        <w:t>, p=0.001), the sco</w:t>
      </w:r>
      <w:r w:rsidR="00E97036" w:rsidRPr="006A7336">
        <w:rPr>
          <w:rFonts w:ascii="Segoe UI" w:hAnsi="Segoe UI" w:cs="Segoe UI"/>
          <w:sz w:val="22"/>
          <w:lang w:val="en-US"/>
        </w:rPr>
        <w:t>re on the anxiety scale (r=0.26</w:t>
      </w:r>
      <w:r w:rsidRPr="006A7336">
        <w:rPr>
          <w:rFonts w:ascii="Segoe UI" w:hAnsi="Segoe UI" w:cs="Segoe UI"/>
          <w:sz w:val="22"/>
          <w:lang w:val="en-US"/>
        </w:rPr>
        <w:t>, p=0.005), the score o</w:t>
      </w:r>
      <w:r w:rsidR="00E97036" w:rsidRPr="006A7336">
        <w:rPr>
          <w:rFonts w:ascii="Segoe UI" w:hAnsi="Segoe UI" w:cs="Segoe UI"/>
          <w:sz w:val="22"/>
          <w:lang w:val="en-US"/>
        </w:rPr>
        <w:t>n the depression scale (r=0.2</w:t>
      </w:r>
      <w:r w:rsidRPr="006A7336">
        <w:rPr>
          <w:rFonts w:ascii="Segoe UI" w:hAnsi="Segoe UI" w:cs="Segoe UI"/>
          <w:sz w:val="22"/>
          <w:lang w:val="en-US"/>
        </w:rPr>
        <w:t>, p=0.033), somat</w:t>
      </w:r>
      <w:r w:rsidR="00E97036" w:rsidRPr="006A7336">
        <w:rPr>
          <w:rFonts w:ascii="Segoe UI" w:hAnsi="Segoe UI" w:cs="Segoe UI"/>
          <w:sz w:val="22"/>
          <w:lang w:val="en-US"/>
        </w:rPr>
        <w:t>ic symptoms scale score (r=0.19</w:t>
      </w:r>
      <w:r w:rsidRPr="006A7336">
        <w:rPr>
          <w:rFonts w:ascii="Segoe UI" w:hAnsi="Segoe UI" w:cs="Segoe UI"/>
          <w:sz w:val="22"/>
          <w:lang w:val="en-US"/>
        </w:rPr>
        <w:t>, p=0.042), physical li</w:t>
      </w:r>
      <w:r w:rsidR="00E97036" w:rsidRPr="006A7336">
        <w:rPr>
          <w:rFonts w:ascii="Segoe UI" w:hAnsi="Segoe UI" w:cs="Segoe UI"/>
          <w:sz w:val="22"/>
          <w:lang w:val="en-US"/>
        </w:rPr>
        <w:t>mitations scale score (r=0.2</w:t>
      </w:r>
      <w:r w:rsidRPr="006A7336">
        <w:rPr>
          <w:rFonts w:ascii="Segoe UI" w:hAnsi="Segoe UI" w:cs="Segoe UI"/>
          <w:sz w:val="22"/>
          <w:lang w:val="en-US"/>
        </w:rPr>
        <w:t xml:space="preserve">, p=0.038), social </w:t>
      </w:r>
      <w:r w:rsidR="00E97036" w:rsidRPr="006A7336">
        <w:rPr>
          <w:rFonts w:ascii="Segoe UI" w:hAnsi="Segoe UI" w:cs="Segoe UI"/>
          <w:sz w:val="22"/>
          <w:lang w:val="en-US"/>
        </w:rPr>
        <w:t>limitations scale score (r=0.19</w:t>
      </w:r>
      <w:r w:rsidRPr="006A7336">
        <w:rPr>
          <w:rFonts w:ascii="Segoe UI" w:hAnsi="Segoe UI" w:cs="Segoe UI"/>
          <w:sz w:val="22"/>
          <w:lang w:val="en-US"/>
        </w:rPr>
        <w:t>, p=0.047) and TAS</w:t>
      </w:r>
      <w:r w:rsidR="00E97036" w:rsidRPr="006A7336">
        <w:rPr>
          <w:rFonts w:ascii="Segoe UI" w:hAnsi="Segoe UI" w:cs="Segoe UI"/>
          <w:sz w:val="22"/>
          <w:lang w:val="en-US"/>
        </w:rPr>
        <w:t>Q composite scale score (r=0.21</w:t>
      </w:r>
      <w:r w:rsidRPr="006A7336">
        <w:rPr>
          <w:rFonts w:ascii="Segoe UI" w:hAnsi="Segoe UI" w:cs="Segoe UI"/>
          <w:sz w:val="22"/>
          <w:lang w:val="en-US"/>
        </w:rPr>
        <w:t>, p=0.027).</w:t>
      </w:r>
    </w:p>
    <w:p w14:paraId="24EAD83A" w14:textId="77777777" w:rsidR="00AC766C"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The score on the psychological components scale correlates significantly and positively with the score on the gen</w:t>
      </w:r>
      <w:r w:rsidR="00595D20" w:rsidRPr="006A7336">
        <w:rPr>
          <w:rFonts w:ascii="Segoe UI" w:hAnsi="Segoe UI" w:cs="Segoe UI"/>
          <w:sz w:val="22"/>
          <w:lang w:val="en-US"/>
        </w:rPr>
        <w:t>eral frailty scale (r=0.66</w:t>
      </w:r>
      <w:r w:rsidRPr="006A7336">
        <w:rPr>
          <w:rFonts w:ascii="Segoe UI" w:hAnsi="Segoe UI" w:cs="Segoe UI"/>
          <w:sz w:val="22"/>
          <w:lang w:val="en-US"/>
        </w:rPr>
        <w:t xml:space="preserve">, p&lt;0.001), the score on the </w:t>
      </w:r>
      <w:r w:rsidRPr="006A7336">
        <w:rPr>
          <w:rFonts w:ascii="Segoe UI" w:hAnsi="Segoe UI" w:cs="Segoe UI"/>
          <w:sz w:val="22"/>
          <w:lang w:val="en-US"/>
        </w:rPr>
        <w:lastRenderedPageBreak/>
        <w:t>ph</w:t>
      </w:r>
      <w:r w:rsidR="00595D20" w:rsidRPr="006A7336">
        <w:rPr>
          <w:rFonts w:ascii="Segoe UI" w:hAnsi="Segoe UI" w:cs="Segoe UI"/>
          <w:sz w:val="22"/>
          <w:lang w:val="en-US"/>
        </w:rPr>
        <w:t>ysical components scale (r=0.3</w:t>
      </w:r>
      <w:r w:rsidRPr="006A7336">
        <w:rPr>
          <w:rFonts w:ascii="Segoe UI" w:hAnsi="Segoe UI" w:cs="Segoe UI"/>
          <w:sz w:val="22"/>
          <w:lang w:val="en-US"/>
        </w:rPr>
        <w:t>, p=0.001), the sco</w:t>
      </w:r>
      <w:r w:rsidR="00595D20" w:rsidRPr="006A7336">
        <w:rPr>
          <w:rFonts w:ascii="Segoe UI" w:hAnsi="Segoe UI" w:cs="Segoe UI"/>
          <w:sz w:val="22"/>
          <w:lang w:val="en-US"/>
        </w:rPr>
        <w:t>re on the anxiety scale (r=0.45</w:t>
      </w:r>
      <w:r w:rsidRPr="006A7336">
        <w:rPr>
          <w:rFonts w:ascii="Segoe UI" w:hAnsi="Segoe UI" w:cs="Segoe UI"/>
          <w:sz w:val="22"/>
          <w:lang w:val="en-US"/>
        </w:rPr>
        <w:t>, p&lt;0.001), the score on the depression scale (r=0.45, p&lt;0.001) and the score on th</w:t>
      </w:r>
      <w:r w:rsidR="00595D20" w:rsidRPr="006A7336">
        <w:rPr>
          <w:rFonts w:ascii="Segoe UI" w:hAnsi="Segoe UI" w:cs="Segoe UI"/>
          <w:sz w:val="22"/>
          <w:lang w:val="en-US"/>
        </w:rPr>
        <w:t>e emotional affect scale (r=0.25</w:t>
      </w:r>
      <w:r w:rsidRPr="006A7336">
        <w:rPr>
          <w:rFonts w:ascii="Segoe UI" w:hAnsi="Segoe UI" w:cs="Segoe UI"/>
          <w:sz w:val="22"/>
          <w:lang w:val="en-US"/>
        </w:rPr>
        <w:t>, p=0.008).</w:t>
      </w:r>
    </w:p>
    <w:p w14:paraId="6075EE27" w14:textId="77777777" w:rsidR="00AC766C"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The score on the social components scale correlates significantly and positively with the score on th</w:t>
      </w:r>
      <w:r w:rsidR="008A4345" w:rsidRPr="006A7336">
        <w:rPr>
          <w:rFonts w:ascii="Segoe UI" w:hAnsi="Segoe UI" w:cs="Segoe UI"/>
          <w:sz w:val="22"/>
          <w:lang w:val="en-US"/>
        </w:rPr>
        <w:t>e general frailty scale (r=0.32</w:t>
      </w:r>
      <w:r w:rsidRPr="006A7336">
        <w:rPr>
          <w:rFonts w:ascii="Segoe UI" w:hAnsi="Segoe UI" w:cs="Segoe UI"/>
          <w:sz w:val="22"/>
          <w:lang w:val="en-US"/>
        </w:rPr>
        <w:t>, p=0.001). The score on the social components scale correlates significantly and negatively with the score on the perceived support from s</w:t>
      </w:r>
      <w:r w:rsidR="008A4345" w:rsidRPr="006A7336">
        <w:rPr>
          <w:rFonts w:ascii="Segoe UI" w:hAnsi="Segoe UI" w:cs="Segoe UI"/>
          <w:sz w:val="22"/>
          <w:lang w:val="en-US"/>
        </w:rPr>
        <w:t>ignificant other scale (r=-0.2</w:t>
      </w:r>
      <w:r w:rsidRPr="006A7336">
        <w:rPr>
          <w:rFonts w:ascii="Segoe UI" w:hAnsi="Segoe UI" w:cs="Segoe UI"/>
          <w:sz w:val="22"/>
          <w:lang w:val="en-US"/>
        </w:rPr>
        <w:t>, p=0.031) and the score on the perceived sup</w:t>
      </w:r>
      <w:r w:rsidR="008A4345" w:rsidRPr="006A7336">
        <w:rPr>
          <w:rFonts w:ascii="Segoe UI" w:hAnsi="Segoe UI" w:cs="Segoe UI"/>
          <w:sz w:val="22"/>
          <w:lang w:val="en-US"/>
        </w:rPr>
        <w:t>port from family scale (r=-0.19</w:t>
      </w:r>
      <w:r w:rsidRPr="006A7336">
        <w:rPr>
          <w:rFonts w:ascii="Segoe UI" w:hAnsi="Segoe UI" w:cs="Segoe UI"/>
          <w:sz w:val="22"/>
          <w:lang w:val="en-US"/>
        </w:rPr>
        <w:t>, p=0.042).</w:t>
      </w:r>
    </w:p>
    <w:p w14:paraId="273E3A24" w14:textId="6AFD180B" w:rsidR="00AC766C"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In addition, statistically significant correlations were observed between the MSP</w:t>
      </w:r>
      <w:r w:rsidR="00BA63C1" w:rsidRPr="006A7336">
        <w:rPr>
          <w:rFonts w:ascii="Segoe UI" w:hAnsi="Segoe UI" w:cs="Segoe UI"/>
          <w:sz w:val="22"/>
          <w:lang w:val="en-US"/>
        </w:rPr>
        <w:t>S</w:t>
      </w:r>
      <w:r w:rsidRPr="006A7336">
        <w:rPr>
          <w:rFonts w:ascii="Segoe UI" w:hAnsi="Segoe UI" w:cs="Segoe UI"/>
          <w:sz w:val="22"/>
          <w:lang w:val="en-US"/>
        </w:rPr>
        <w:t>S, HADSM, MLHF</w:t>
      </w:r>
      <w:r w:rsidR="00BD11FD">
        <w:rPr>
          <w:rFonts w:ascii="Segoe UI" w:hAnsi="Segoe UI" w:cs="Segoe UI"/>
          <w:sz w:val="22"/>
          <w:lang w:val="en-US"/>
        </w:rPr>
        <w:t>, and TASQ scales (Figure 1; Supplementary Table</w:t>
      </w:r>
      <w:r w:rsidRPr="006A7336">
        <w:rPr>
          <w:rFonts w:ascii="Segoe UI" w:hAnsi="Segoe UI" w:cs="Segoe UI"/>
          <w:sz w:val="22"/>
          <w:lang w:val="en-US"/>
        </w:rPr>
        <w:t xml:space="preserve"> </w:t>
      </w:r>
      <w:r w:rsidR="00AD0C8A" w:rsidRPr="006A7336">
        <w:rPr>
          <w:rFonts w:ascii="Segoe UI" w:hAnsi="Segoe UI" w:cs="Segoe UI"/>
          <w:sz w:val="22"/>
          <w:lang w:val="en-US"/>
        </w:rPr>
        <w:t>S2</w:t>
      </w:r>
      <w:r w:rsidRPr="006A7336">
        <w:rPr>
          <w:rFonts w:ascii="Segoe UI" w:hAnsi="Segoe UI" w:cs="Segoe UI"/>
          <w:sz w:val="22"/>
          <w:lang w:val="en-US"/>
        </w:rPr>
        <w:t xml:space="preserve">). </w:t>
      </w:r>
    </w:p>
    <w:p w14:paraId="1949471B" w14:textId="77777777" w:rsidR="002E67FD" w:rsidRPr="006A7336" w:rsidRDefault="00DD6B8B" w:rsidP="00BA1DF3">
      <w:pPr>
        <w:spacing w:line="360" w:lineRule="auto"/>
        <w:ind w:firstLine="708"/>
        <w:rPr>
          <w:rFonts w:ascii="Segoe UI" w:hAnsi="Segoe UI" w:cs="Segoe UI"/>
          <w:sz w:val="22"/>
          <w:lang w:val="en-US"/>
        </w:rPr>
      </w:pPr>
      <w:r>
        <w:rPr>
          <w:rFonts w:ascii="Segoe UI" w:hAnsi="Segoe UI" w:cs="Segoe UI"/>
          <w:noProof/>
          <w:sz w:val="22"/>
          <w:lang w:eastAsia="pl-PL"/>
        </w:rPr>
        <w:pict w14:anchorId="7D7CE0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358pt;height:358pt;visibility:visible">
            <v:imagedata r:id="rId8" o:title=""/>
          </v:shape>
        </w:pict>
      </w:r>
    </w:p>
    <w:p w14:paraId="2B3989FC" w14:textId="77777777" w:rsidR="00AC766C" w:rsidRPr="006A7336" w:rsidRDefault="00AC766C" w:rsidP="00BA1DF3">
      <w:pPr>
        <w:spacing w:line="360" w:lineRule="auto"/>
        <w:rPr>
          <w:rFonts w:ascii="Segoe UI" w:hAnsi="Segoe UI" w:cs="Segoe UI"/>
          <w:sz w:val="22"/>
          <w:lang w:val="en-US"/>
        </w:rPr>
      </w:pPr>
      <w:r w:rsidRPr="006A7336">
        <w:rPr>
          <w:rFonts w:ascii="Segoe UI" w:hAnsi="Segoe UI" w:cs="Segoe UI"/>
          <w:sz w:val="22"/>
          <w:lang w:val="en-US"/>
        </w:rPr>
        <w:t xml:space="preserve">Fig 1. Heat map </w:t>
      </w:r>
    </w:p>
    <w:p w14:paraId="596F64B5" w14:textId="77777777" w:rsidR="00AC766C" w:rsidRPr="006A7336" w:rsidRDefault="00AC766C" w:rsidP="00BA1DF3">
      <w:pPr>
        <w:spacing w:line="360" w:lineRule="auto"/>
        <w:rPr>
          <w:rFonts w:ascii="Segoe UI" w:hAnsi="Segoe UI" w:cs="Segoe UI"/>
          <w:sz w:val="22"/>
          <w:lang w:val="en-US"/>
        </w:rPr>
      </w:pPr>
      <w:r w:rsidRPr="006A7336">
        <w:rPr>
          <w:rFonts w:ascii="Segoe UI" w:hAnsi="Segoe UI" w:cs="Segoe UI"/>
          <w:sz w:val="22"/>
          <w:lang w:val="en-US"/>
        </w:rPr>
        <w:tab/>
        <w:t xml:space="preserve">In the correlation analysis between </w:t>
      </w:r>
      <w:proofErr w:type="spellStart"/>
      <w:r w:rsidRPr="006A7336">
        <w:rPr>
          <w:rFonts w:ascii="Segoe UI" w:hAnsi="Segoe UI" w:cs="Segoe UI"/>
          <w:sz w:val="22"/>
          <w:lang w:val="en-US"/>
        </w:rPr>
        <w:t>socioclinical</w:t>
      </w:r>
      <w:proofErr w:type="spellEnd"/>
      <w:r w:rsidRPr="006A7336">
        <w:rPr>
          <w:rFonts w:ascii="Segoe UI" w:hAnsi="Segoe UI" w:cs="Segoe UI"/>
          <w:sz w:val="22"/>
          <w:lang w:val="en-US"/>
        </w:rPr>
        <w:t xml:space="preserve"> factors and level of frailty, the score on the TFI social components scale was significantly higher among the divorced and </w:t>
      </w:r>
      <w:r w:rsidRPr="006A7336">
        <w:rPr>
          <w:rFonts w:ascii="Segoe UI" w:hAnsi="Segoe UI" w:cs="Segoe UI"/>
          <w:sz w:val="22"/>
          <w:lang w:val="en-US"/>
        </w:rPr>
        <w:lastRenderedPageBreak/>
        <w:t>widowed than among those in a relationship (</w:t>
      </w:r>
      <w:r w:rsidR="002F70A3" w:rsidRPr="006A7336">
        <w:rPr>
          <w:rFonts w:ascii="Segoe UI" w:hAnsi="Segoe UI" w:cs="Segoe UI"/>
          <w:sz w:val="22"/>
          <w:lang w:val="en-US"/>
        </w:rPr>
        <w:t>1.43 ± 0.91 vs. 1.00 ± 0.67; p = 0.022) (Supplementary T</w:t>
      </w:r>
      <w:r w:rsidRPr="006A7336">
        <w:rPr>
          <w:rFonts w:ascii="Segoe UI" w:hAnsi="Segoe UI" w:cs="Segoe UI"/>
          <w:sz w:val="22"/>
          <w:lang w:val="en-US"/>
        </w:rPr>
        <w:t xml:space="preserve">able </w:t>
      </w:r>
      <w:r w:rsidR="002F70A3" w:rsidRPr="006A7336">
        <w:rPr>
          <w:rFonts w:ascii="Segoe UI" w:hAnsi="Segoe UI" w:cs="Segoe UI"/>
          <w:sz w:val="22"/>
          <w:lang w:val="en-US"/>
        </w:rPr>
        <w:t>S3</w:t>
      </w:r>
      <w:r w:rsidRPr="006A7336">
        <w:rPr>
          <w:rFonts w:ascii="Segoe UI" w:hAnsi="Segoe UI" w:cs="Segoe UI"/>
          <w:sz w:val="22"/>
          <w:lang w:val="en-US"/>
        </w:rPr>
        <w:t xml:space="preserve">). </w:t>
      </w:r>
    </w:p>
    <w:p w14:paraId="21775DA1" w14:textId="77777777" w:rsidR="002F70A3"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The score on the physical components scale was significantly higher among those with secondary education than among those with primary or no education </w:t>
      </w:r>
      <w:r w:rsidR="002F70A3" w:rsidRPr="006A7336">
        <w:rPr>
          <w:rFonts w:ascii="Segoe UI" w:hAnsi="Segoe UI" w:cs="Segoe UI"/>
          <w:sz w:val="22"/>
          <w:lang w:val="en-US"/>
        </w:rPr>
        <w:t>and among those with NYHA class III or IV (4.48 ± 1.87) and among those with NYHA class II (3.75 ± 1.89) than among those with NYHA class I (2.00 ± 2.45; p = 0.01).</w:t>
      </w:r>
    </w:p>
    <w:p w14:paraId="7B4FB636" w14:textId="77777777" w:rsidR="003F4CA5"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The score on the psychological components scale was significantly higher in the group of patients previously </w:t>
      </w:r>
      <w:proofErr w:type="spellStart"/>
      <w:r w:rsidRPr="006A7336">
        <w:rPr>
          <w:rFonts w:ascii="Segoe UI" w:hAnsi="Segoe UI" w:cs="Segoe UI"/>
          <w:sz w:val="22"/>
          <w:lang w:val="en-US"/>
        </w:rPr>
        <w:t>hospitalised</w:t>
      </w:r>
      <w:proofErr w:type="spellEnd"/>
      <w:r w:rsidRPr="006A7336">
        <w:rPr>
          <w:rFonts w:ascii="Segoe UI" w:hAnsi="Segoe UI" w:cs="Segoe UI"/>
          <w:sz w:val="22"/>
          <w:lang w:val="en-US"/>
        </w:rPr>
        <w:t xml:space="preserve"> for HF exacerbation than in the group of non-</w:t>
      </w:r>
      <w:proofErr w:type="spellStart"/>
      <w:r w:rsidRPr="006A7336">
        <w:rPr>
          <w:rFonts w:ascii="Segoe UI" w:hAnsi="Segoe UI" w:cs="Segoe UI"/>
          <w:sz w:val="22"/>
          <w:lang w:val="en-US"/>
        </w:rPr>
        <w:t>hospitalised</w:t>
      </w:r>
      <w:proofErr w:type="spellEnd"/>
      <w:r w:rsidRPr="006A7336">
        <w:rPr>
          <w:rFonts w:ascii="Segoe UI" w:hAnsi="Segoe UI" w:cs="Segoe UI"/>
          <w:sz w:val="22"/>
          <w:lang w:val="en-US"/>
        </w:rPr>
        <w:t xml:space="preserve"> patients</w:t>
      </w:r>
      <w:r w:rsidR="002F70A3" w:rsidRPr="006A7336">
        <w:rPr>
          <w:rFonts w:ascii="Segoe UI" w:hAnsi="Segoe UI" w:cs="Segoe UI"/>
          <w:sz w:val="22"/>
          <w:lang w:val="en-US"/>
        </w:rPr>
        <w:t xml:space="preserve"> (2.60 ± 1.07 vs. 1.88 ± 1.10; p = 0.05)</w:t>
      </w:r>
      <w:r w:rsidRPr="006A7336">
        <w:rPr>
          <w:rFonts w:ascii="Segoe UI" w:hAnsi="Segoe UI" w:cs="Segoe UI"/>
          <w:sz w:val="22"/>
          <w:lang w:val="en-US"/>
        </w:rPr>
        <w:t xml:space="preserve">. </w:t>
      </w:r>
    </w:p>
    <w:p w14:paraId="3C0E35D2" w14:textId="77777777" w:rsidR="00AC766C" w:rsidRPr="006A7336" w:rsidRDefault="00AC766C" w:rsidP="00BA1DF3">
      <w:pPr>
        <w:pStyle w:val="Centered"/>
        <w:spacing w:line="360" w:lineRule="auto"/>
        <w:ind w:firstLine="432"/>
        <w:jc w:val="both"/>
        <w:rPr>
          <w:rFonts w:ascii="Segoe UI" w:hAnsi="Segoe UI" w:cs="Segoe UI"/>
          <w:sz w:val="22"/>
          <w:lang w:val="en-US"/>
        </w:rPr>
      </w:pPr>
      <w:r w:rsidRPr="006A7336">
        <w:rPr>
          <w:rFonts w:ascii="Segoe UI" w:hAnsi="Segoe UI" w:cs="Segoe UI"/>
          <w:sz w:val="22"/>
          <w:lang w:val="en-US"/>
        </w:rPr>
        <w:t xml:space="preserve">The </w:t>
      </w:r>
      <w:proofErr w:type="spellStart"/>
      <w:r w:rsidRPr="006A7336">
        <w:rPr>
          <w:rFonts w:ascii="Segoe UI" w:hAnsi="Segoe UI" w:cs="Segoe UI"/>
          <w:sz w:val="22"/>
          <w:lang w:val="en-US"/>
        </w:rPr>
        <w:t>EuroSCORE</w:t>
      </w:r>
      <w:proofErr w:type="spellEnd"/>
      <w:r w:rsidRPr="006A7336">
        <w:rPr>
          <w:rFonts w:ascii="Segoe UI" w:hAnsi="Segoe UI" w:cs="Segoe UI"/>
          <w:sz w:val="22"/>
          <w:lang w:val="en-US"/>
        </w:rPr>
        <w:t xml:space="preserve"> II score correlates significantly (p=0.05) and positively (r=0.262) with the score on the physical components scale, meaning that the higher the </w:t>
      </w:r>
      <w:proofErr w:type="spellStart"/>
      <w:r w:rsidRPr="006A7336">
        <w:rPr>
          <w:rFonts w:ascii="Segoe UI" w:hAnsi="Segoe UI" w:cs="Segoe UI"/>
          <w:sz w:val="22"/>
          <w:lang w:val="en-US"/>
        </w:rPr>
        <w:t>EuroSCORE</w:t>
      </w:r>
      <w:proofErr w:type="spellEnd"/>
      <w:r w:rsidRPr="006A7336">
        <w:rPr>
          <w:rFonts w:ascii="Segoe UI" w:hAnsi="Segoe UI" w:cs="Segoe UI"/>
          <w:sz w:val="22"/>
          <w:lang w:val="en-US"/>
        </w:rPr>
        <w:t xml:space="preserve"> score, the higher the scores on the physical components scale. BMI correlates significantly (p=0.05) and positively (r=0.183) with the overall TFI score, meaning that the higher the BMI, the higher the overall frailty syndrome score.</w:t>
      </w:r>
    </w:p>
    <w:p w14:paraId="08338B0A" w14:textId="77777777" w:rsidR="00AC766C" w:rsidRPr="006A7336" w:rsidRDefault="00AC766C" w:rsidP="00BA1DF3">
      <w:pPr>
        <w:pStyle w:val="Centered"/>
        <w:spacing w:line="360" w:lineRule="auto"/>
        <w:rPr>
          <w:rFonts w:ascii="Segoe UI" w:hAnsi="Segoe UI" w:cs="Segoe UI"/>
          <w:sz w:val="22"/>
          <w:lang w:val="en-US"/>
        </w:rPr>
      </w:pPr>
    </w:p>
    <w:p w14:paraId="3C69B8A1" w14:textId="77777777" w:rsidR="00AC766C" w:rsidRPr="006A7336" w:rsidRDefault="00AC766C" w:rsidP="00BA1DF3">
      <w:pPr>
        <w:pStyle w:val="Nagwek1"/>
        <w:numPr>
          <w:ilvl w:val="0"/>
          <w:numId w:val="0"/>
        </w:numPr>
        <w:spacing w:line="360" w:lineRule="auto"/>
        <w:ind w:left="432" w:hanging="432"/>
        <w:rPr>
          <w:rFonts w:ascii="Segoe UI" w:hAnsi="Segoe UI" w:cs="Segoe UI"/>
          <w:i/>
          <w:iCs/>
          <w:sz w:val="22"/>
          <w:lang w:val="en-US"/>
        </w:rPr>
      </w:pPr>
      <w:r w:rsidRPr="006A7336">
        <w:rPr>
          <w:rFonts w:ascii="Segoe UI" w:hAnsi="Segoe UI" w:cs="Segoe UI"/>
          <w:i/>
          <w:iCs/>
          <w:sz w:val="22"/>
          <w:lang w:val="en-US"/>
        </w:rPr>
        <w:t xml:space="preserve">Predictors of frailty syndrome (TFI) </w:t>
      </w:r>
    </w:p>
    <w:p w14:paraId="3EDCC298" w14:textId="77777777" w:rsidR="00AC766C" w:rsidRPr="006A7336" w:rsidRDefault="00AC766C" w:rsidP="00BA1DF3">
      <w:pPr>
        <w:pStyle w:val="Centered"/>
        <w:spacing w:line="360" w:lineRule="auto"/>
        <w:rPr>
          <w:rFonts w:ascii="Segoe UI" w:hAnsi="Segoe UI" w:cs="Segoe UI"/>
          <w:sz w:val="22"/>
          <w:lang w:val="en-US"/>
        </w:rPr>
      </w:pPr>
    </w:p>
    <w:p w14:paraId="36220D59" w14:textId="77777777" w:rsidR="00AC766C" w:rsidRPr="006A7336" w:rsidRDefault="00AC766C" w:rsidP="00BA1DF3">
      <w:pPr>
        <w:pStyle w:val="Centered"/>
        <w:spacing w:line="360" w:lineRule="auto"/>
        <w:ind w:firstLine="432"/>
        <w:jc w:val="both"/>
        <w:rPr>
          <w:rFonts w:ascii="Segoe UI" w:hAnsi="Segoe UI" w:cs="Segoe UI"/>
          <w:sz w:val="22"/>
          <w:lang w:val="en-US"/>
        </w:rPr>
      </w:pPr>
      <w:r w:rsidRPr="006A7336">
        <w:rPr>
          <w:rFonts w:ascii="Segoe UI" w:hAnsi="Segoe UI" w:cs="Segoe UI"/>
          <w:sz w:val="22"/>
          <w:lang w:val="en-US"/>
        </w:rPr>
        <w:t xml:space="preserve">Logistic regression was used to model the relationship between the explanatory variables (predictors) and the dependent variable (Frail), the results of which are shown in Table </w:t>
      </w:r>
      <w:r w:rsidR="00A96F13" w:rsidRPr="006A7336">
        <w:rPr>
          <w:rFonts w:ascii="Segoe UI" w:hAnsi="Segoe UI" w:cs="Segoe UI"/>
          <w:sz w:val="22"/>
          <w:lang w:val="en-US"/>
        </w:rPr>
        <w:t>3</w:t>
      </w:r>
      <w:r w:rsidRPr="006A7336">
        <w:rPr>
          <w:rFonts w:ascii="Segoe UI" w:hAnsi="Segoe UI" w:cs="Segoe UI"/>
          <w:sz w:val="22"/>
          <w:lang w:val="en-US"/>
        </w:rPr>
        <w:t>. Two models were constructed: one without interactions between the predictors and one with interactions. In the model without interactions, the probability of frailty is higher with an unhealthy lifestyle and increases with increasing NYHA Class and TASQ Emotional impact. The HADSM anxiety score was found to be non-significant (p &gt; 0.05) in the multivariate analysis and was excluded from the model.</w:t>
      </w:r>
    </w:p>
    <w:p w14:paraId="5366D7C9" w14:textId="77777777" w:rsidR="00685372" w:rsidRPr="006A7336" w:rsidRDefault="00AC766C" w:rsidP="00BA1DF3">
      <w:pPr>
        <w:pStyle w:val="Centered"/>
        <w:spacing w:line="360" w:lineRule="auto"/>
        <w:jc w:val="left"/>
        <w:rPr>
          <w:rFonts w:ascii="Segoe UI" w:hAnsi="Segoe UI" w:cs="Segoe UI"/>
          <w:sz w:val="22"/>
          <w:lang w:val="en-US"/>
        </w:rPr>
      </w:pPr>
      <w:r w:rsidRPr="006A7336">
        <w:rPr>
          <w:rFonts w:ascii="Segoe UI" w:hAnsi="Segoe UI" w:cs="Segoe UI"/>
          <w:sz w:val="22"/>
          <w:lang w:val="en-US"/>
        </w:rPr>
        <w:t>Table.</w:t>
      </w:r>
      <w:r w:rsidR="00A96F13" w:rsidRPr="006A7336">
        <w:rPr>
          <w:rFonts w:ascii="Segoe UI" w:hAnsi="Segoe UI" w:cs="Segoe UI"/>
          <w:sz w:val="22"/>
          <w:lang w:val="en-US"/>
        </w:rPr>
        <w:t xml:space="preserve"> 3</w:t>
      </w:r>
      <w:r w:rsidRPr="006A7336">
        <w:rPr>
          <w:rFonts w:ascii="Segoe UI" w:hAnsi="Segoe UI" w:cs="Segoe UI"/>
          <w:sz w:val="22"/>
          <w:lang w:val="en-US"/>
        </w:rPr>
        <w:t>. Results of univariate and multivariate logistic regression analysis</w:t>
      </w:r>
    </w:p>
    <w:tbl>
      <w:tblPr>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085"/>
        <w:gridCol w:w="1985"/>
        <w:gridCol w:w="992"/>
        <w:gridCol w:w="2018"/>
        <w:gridCol w:w="992"/>
      </w:tblGrid>
      <w:tr w:rsidR="00956960" w:rsidRPr="006A7336" w14:paraId="78E63202" w14:textId="77777777">
        <w:tc>
          <w:tcPr>
            <w:tcW w:w="3085" w:type="dxa"/>
            <w:vMerge w:val="restart"/>
            <w:shd w:val="clear" w:color="auto" w:fill="D1D1D1"/>
            <w:vAlign w:val="center"/>
          </w:tcPr>
          <w:p w14:paraId="2B712CA9" w14:textId="77777777" w:rsidR="003F4CA5" w:rsidRPr="006A7336" w:rsidRDefault="003F4CA5" w:rsidP="00A96F13">
            <w:pPr>
              <w:jc w:val="center"/>
              <w:rPr>
                <w:rFonts w:ascii="Segoe UI" w:hAnsi="Segoe UI" w:cs="Segoe UI"/>
                <w:sz w:val="22"/>
              </w:rPr>
            </w:pPr>
            <w:proofErr w:type="spellStart"/>
            <w:r w:rsidRPr="006A7336">
              <w:rPr>
                <w:rFonts w:ascii="Segoe UI" w:hAnsi="Segoe UI" w:cs="Segoe UI"/>
                <w:sz w:val="22"/>
              </w:rPr>
              <w:t>Predictors</w:t>
            </w:r>
            <w:proofErr w:type="spellEnd"/>
            <w:r w:rsidRPr="006A7336">
              <w:rPr>
                <w:rFonts w:ascii="Segoe UI" w:hAnsi="Segoe UI" w:cs="Segoe UI"/>
                <w:sz w:val="22"/>
              </w:rPr>
              <w:t xml:space="preserve"> of </w:t>
            </w:r>
            <w:proofErr w:type="spellStart"/>
            <w:r w:rsidRPr="006A7336">
              <w:rPr>
                <w:rFonts w:ascii="Segoe UI" w:hAnsi="Segoe UI" w:cs="Segoe UI"/>
                <w:sz w:val="22"/>
              </w:rPr>
              <w:t>frailty</w:t>
            </w:r>
            <w:proofErr w:type="spellEnd"/>
            <w:r w:rsidRPr="006A7336">
              <w:rPr>
                <w:rFonts w:ascii="Segoe UI" w:hAnsi="Segoe UI" w:cs="Segoe UI"/>
                <w:sz w:val="22"/>
              </w:rPr>
              <w:t xml:space="preserve"> </w:t>
            </w:r>
            <w:proofErr w:type="spellStart"/>
            <w:r w:rsidRPr="006A7336">
              <w:rPr>
                <w:rFonts w:ascii="Segoe UI" w:hAnsi="Segoe UI" w:cs="Segoe UI"/>
                <w:sz w:val="22"/>
              </w:rPr>
              <w:t>syndrome</w:t>
            </w:r>
            <w:proofErr w:type="spellEnd"/>
          </w:p>
        </w:tc>
        <w:tc>
          <w:tcPr>
            <w:tcW w:w="2977" w:type="dxa"/>
            <w:gridSpan w:val="2"/>
            <w:shd w:val="clear" w:color="auto" w:fill="D1D1D1"/>
            <w:vAlign w:val="center"/>
          </w:tcPr>
          <w:p w14:paraId="2FCB25CA" w14:textId="77777777" w:rsidR="003F4CA5" w:rsidRPr="006A7336" w:rsidRDefault="003F4CA5" w:rsidP="00A96F13">
            <w:pPr>
              <w:jc w:val="center"/>
              <w:rPr>
                <w:rFonts w:ascii="Segoe UI" w:hAnsi="Segoe UI" w:cs="Segoe UI"/>
                <w:sz w:val="22"/>
              </w:rPr>
            </w:pPr>
            <w:proofErr w:type="spellStart"/>
            <w:r w:rsidRPr="006A7336">
              <w:rPr>
                <w:rFonts w:ascii="Segoe UI" w:hAnsi="Segoe UI" w:cs="Segoe UI"/>
                <w:sz w:val="22"/>
              </w:rPr>
              <w:t>Univariate</w:t>
            </w:r>
            <w:proofErr w:type="spellEnd"/>
            <w:r w:rsidRPr="006A7336">
              <w:rPr>
                <w:rFonts w:ascii="Segoe UI" w:hAnsi="Segoe UI" w:cs="Segoe UI"/>
                <w:sz w:val="22"/>
              </w:rPr>
              <w:t xml:space="preserve"> </w:t>
            </w:r>
            <w:proofErr w:type="spellStart"/>
            <w:r w:rsidRPr="006A7336">
              <w:rPr>
                <w:rFonts w:ascii="Segoe UI" w:hAnsi="Segoe UI" w:cs="Segoe UI"/>
                <w:sz w:val="22"/>
              </w:rPr>
              <w:t>analysis</w:t>
            </w:r>
            <w:proofErr w:type="spellEnd"/>
          </w:p>
        </w:tc>
        <w:tc>
          <w:tcPr>
            <w:tcW w:w="3010" w:type="dxa"/>
            <w:gridSpan w:val="2"/>
            <w:shd w:val="clear" w:color="auto" w:fill="D1D1D1"/>
            <w:vAlign w:val="center"/>
          </w:tcPr>
          <w:p w14:paraId="1F757A6C" w14:textId="77777777" w:rsidR="003F4CA5" w:rsidRPr="006A7336" w:rsidRDefault="003F4CA5" w:rsidP="00A96F13">
            <w:pPr>
              <w:jc w:val="center"/>
              <w:rPr>
                <w:rFonts w:ascii="Segoe UI" w:hAnsi="Segoe UI" w:cs="Segoe UI"/>
                <w:sz w:val="22"/>
              </w:rPr>
            </w:pPr>
            <w:proofErr w:type="spellStart"/>
            <w:r w:rsidRPr="006A7336">
              <w:rPr>
                <w:rFonts w:ascii="Segoe UI" w:hAnsi="Segoe UI" w:cs="Segoe UI"/>
                <w:sz w:val="22"/>
              </w:rPr>
              <w:t>Multivariate</w:t>
            </w:r>
            <w:proofErr w:type="spellEnd"/>
            <w:r w:rsidRPr="006A7336">
              <w:rPr>
                <w:rFonts w:ascii="Segoe UI" w:hAnsi="Segoe UI" w:cs="Segoe UI"/>
                <w:sz w:val="22"/>
              </w:rPr>
              <w:t xml:space="preserve"> </w:t>
            </w:r>
            <w:proofErr w:type="spellStart"/>
            <w:r w:rsidRPr="006A7336">
              <w:rPr>
                <w:rFonts w:ascii="Segoe UI" w:hAnsi="Segoe UI" w:cs="Segoe UI"/>
                <w:sz w:val="22"/>
              </w:rPr>
              <w:t>analysis</w:t>
            </w:r>
            <w:proofErr w:type="spellEnd"/>
          </w:p>
        </w:tc>
      </w:tr>
      <w:tr w:rsidR="00956960" w:rsidRPr="006A7336" w14:paraId="2E06B733" w14:textId="77777777">
        <w:tc>
          <w:tcPr>
            <w:tcW w:w="3085" w:type="dxa"/>
            <w:vMerge/>
            <w:shd w:val="clear" w:color="auto" w:fill="D1D1D1"/>
            <w:vAlign w:val="center"/>
          </w:tcPr>
          <w:p w14:paraId="32198072" w14:textId="77777777" w:rsidR="003F4CA5" w:rsidRPr="006A7336" w:rsidRDefault="003F4CA5" w:rsidP="00A96F13">
            <w:pPr>
              <w:jc w:val="center"/>
              <w:rPr>
                <w:rFonts w:ascii="Segoe UI" w:hAnsi="Segoe UI" w:cs="Segoe UI"/>
                <w:sz w:val="22"/>
              </w:rPr>
            </w:pPr>
          </w:p>
        </w:tc>
        <w:tc>
          <w:tcPr>
            <w:tcW w:w="1985" w:type="dxa"/>
            <w:shd w:val="clear" w:color="auto" w:fill="D1D1D1"/>
            <w:vAlign w:val="center"/>
          </w:tcPr>
          <w:p w14:paraId="176169DC" w14:textId="77777777" w:rsidR="003F4CA5" w:rsidRPr="006A7336" w:rsidRDefault="003F4CA5" w:rsidP="00A96F13">
            <w:pPr>
              <w:jc w:val="center"/>
              <w:rPr>
                <w:rFonts w:ascii="Segoe UI" w:hAnsi="Segoe UI" w:cs="Segoe UI"/>
                <w:sz w:val="22"/>
              </w:rPr>
            </w:pPr>
            <w:r w:rsidRPr="006A7336">
              <w:rPr>
                <w:rFonts w:ascii="Segoe UI" w:hAnsi="Segoe UI" w:cs="Segoe UI"/>
                <w:sz w:val="22"/>
              </w:rPr>
              <w:t>OR</w:t>
            </w:r>
          </w:p>
        </w:tc>
        <w:tc>
          <w:tcPr>
            <w:tcW w:w="992" w:type="dxa"/>
            <w:shd w:val="clear" w:color="auto" w:fill="D1D1D1"/>
            <w:vAlign w:val="center"/>
          </w:tcPr>
          <w:p w14:paraId="0F26EB9A" w14:textId="77777777" w:rsidR="003F4CA5" w:rsidRPr="006A7336" w:rsidRDefault="003F4CA5" w:rsidP="00A96F13">
            <w:pPr>
              <w:jc w:val="center"/>
              <w:rPr>
                <w:rFonts w:ascii="Segoe UI" w:hAnsi="Segoe UI" w:cs="Segoe UI"/>
                <w:sz w:val="22"/>
              </w:rPr>
            </w:pPr>
            <w:r w:rsidRPr="006A7336">
              <w:rPr>
                <w:rFonts w:ascii="Segoe UI" w:hAnsi="Segoe UI" w:cs="Segoe UI"/>
                <w:sz w:val="22"/>
              </w:rPr>
              <w:t>p</w:t>
            </w:r>
          </w:p>
        </w:tc>
        <w:tc>
          <w:tcPr>
            <w:tcW w:w="2018" w:type="dxa"/>
            <w:shd w:val="clear" w:color="auto" w:fill="D1D1D1"/>
            <w:vAlign w:val="center"/>
          </w:tcPr>
          <w:p w14:paraId="63291BC8" w14:textId="77777777" w:rsidR="003F4CA5" w:rsidRPr="006A7336" w:rsidRDefault="003F4CA5" w:rsidP="00A96F13">
            <w:pPr>
              <w:jc w:val="center"/>
              <w:rPr>
                <w:rFonts w:ascii="Segoe UI" w:hAnsi="Segoe UI" w:cs="Segoe UI"/>
                <w:sz w:val="22"/>
              </w:rPr>
            </w:pPr>
            <w:r w:rsidRPr="006A7336">
              <w:rPr>
                <w:rFonts w:ascii="Segoe UI" w:hAnsi="Segoe UI" w:cs="Segoe UI"/>
                <w:sz w:val="22"/>
              </w:rPr>
              <w:t>OR</w:t>
            </w:r>
          </w:p>
        </w:tc>
        <w:tc>
          <w:tcPr>
            <w:tcW w:w="992" w:type="dxa"/>
            <w:shd w:val="clear" w:color="auto" w:fill="D1D1D1"/>
            <w:vAlign w:val="center"/>
          </w:tcPr>
          <w:p w14:paraId="3B1BA145" w14:textId="77777777" w:rsidR="003F4CA5" w:rsidRPr="006A7336" w:rsidRDefault="003F4CA5" w:rsidP="00A96F13">
            <w:pPr>
              <w:jc w:val="center"/>
              <w:rPr>
                <w:rFonts w:ascii="Segoe UI" w:hAnsi="Segoe UI" w:cs="Segoe UI"/>
                <w:sz w:val="22"/>
              </w:rPr>
            </w:pPr>
            <w:r w:rsidRPr="006A7336">
              <w:rPr>
                <w:rFonts w:ascii="Segoe UI" w:hAnsi="Segoe UI" w:cs="Segoe UI"/>
                <w:sz w:val="22"/>
              </w:rPr>
              <w:t>p</w:t>
            </w:r>
          </w:p>
        </w:tc>
      </w:tr>
      <w:tr w:rsidR="00956960" w:rsidRPr="006A7336" w14:paraId="6F5B970D" w14:textId="77777777" w:rsidTr="00A96F13">
        <w:tc>
          <w:tcPr>
            <w:tcW w:w="3085" w:type="dxa"/>
            <w:vAlign w:val="center"/>
          </w:tcPr>
          <w:p w14:paraId="52AEDEEA" w14:textId="77777777" w:rsidR="003F4CA5" w:rsidRPr="006A7336" w:rsidRDefault="003F4CA5" w:rsidP="00A96F13">
            <w:pPr>
              <w:rPr>
                <w:rFonts w:ascii="Segoe UI" w:hAnsi="Segoe UI" w:cs="Segoe UI"/>
                <w:sz w:val="22"/>
              </w:rPr>
            </w:pPr>
            <w:bookmarkStart w:id="3" w:name="_Hlk184557380"/>
            <w:proofErr w:type="spellStart"/>
            <w:r w:rsidRPr="006A7336">
              <w:rPr>
                <w:rFonts w:ascii="Segoe UI" w:hAnsi="Segoe UI" w:cs="Segoe UI"/>
                <w:sz w:val="22"/>
              </w:rPr>
              <w:t>Unhealthy</w:t>
            </w:r>
            <w:proofErr w:type="spellEnd"/>
            <w:r w:rsidRPr="006A7336">
              <w:rPr>
                <w:rFonts w:ascii="Segoe UI" w:hAnsi="Segoe UI" w:cs="Segoe UI"/>
                <w:sz w:val="22"/>
              </w:rPr>
              <w:t xml:space="preserve"> </w:t>
            </w:r>
            <w:proofErr w:type="spellStart"/>
            <w:r w:rsidRPr="006A7336">
              <w:rPr>
                <w:rFonts w:ascii="Segoe UI" w:hAnsi="Segoe UI" w:cs="Segoe UI"/>
                <w:sz w:val="22"/>
              </w:rPr>
              <w:t>lifestyle</w:t>
            </w:r>
            <w:bookmarkEnd w:id="3"/>
            <w:proofErr w:type="spellEnd"/>
          </w:p>
        </w:tc>
        <w:tc>
          <w:tcPr>
            <w:tcW w:w="1985" w:type="dxa"/>
            <w:vAlign w:val="center"/>
          </w:tcPr>
          <w:p w14:paraId="19AAAA7A" w14:textId="77777777" w:rsidR="003F4CA5" w:rsidRPr="006A7336" w:rsidRDefault="0035529E" w:rsidP="00A96F13">
            <w:pPr>
              <w:rPr>
                <w:rFonts w:ascii="Segoe UI" w:hAnsi="Segoe UI" w:cs="Segoe UI"/>
                <w:b/>
                <w:bCs/>
                <w:sz w:val="22"/>
              </w:rPr>
            </w:pPr>
            <w:r w:rsidRPr="006A7336">
              <w:rPr>
                <w:rFonts w:ascii="Segoe UI" w:hAnsi="Segoe UI" w:cs="Segoe UI"/>
                <w:b/>
                <w:bCs/>
                <w:sz w:val="22"/>
              </w:rPr>
              <w:t>4.76 (1.7</w:t>
            </w:r>
            <w:r w:rsidR="003F4CA5" w:rsidRPr="006A7336">
              <w:rPr>
                <w:rFonts w:ascii="Segoe UI" w:hAnsi="Segoe UI" w:cs="Segoe UI"/>
                <w:b/>
                <w:bCs/>
                <w:sz w:val="22"/>
              </w:rPr>
              <w:t>-13.3)</w:t>
            </w:r>
          </w:p>
        </w:tc>
        <w:tc>
          <w:tcPr>
            <w:tcW w:w="992" w:type="dxa"/>
            <w:vAlign w:val="center"/>
          </w:tcPr>
          <w:p w14:paraId="435ABA46" w14:textId="77777777" w:rsidR="003F4CA5" w:rsidRPr="006A7336" w:rsidRDefault="003F4CA5" w:rsidP="00A96F13">
            <w:pPr>
              <w:rPr>
                <w:rFonts w:ascii="Segoe UI" w:hAnsi="Segoe UI" w:cs="Segoe UI"/>
                <w:b/>
                <w:bCs/>
                <w:sz w:val="22"/>
              </w:rPr>
            </w:pPr>
            <w:r w:rsidRPr="006A7336">
              <w:rPr>
                <w:rFonts w:ascii="Segoe UI" w:hAnsi="Segoe UI" w:cs="Segoe UI"/>
                <w:b/>
                <w:bCs/>
                <w:sz w:val="22"/>
              </w:rPr>
              <w:t>0.003</w:t>
            </w:r>
          </w:p>
        </w:tc>
        <w:tc>
          <w:tcPr>
            <w:tcW w:w="2018" w:type="dxa"/>
            <w:vAlign w:val="center"/>
          </w:tcPr>
          <w:p w14:paraId="0AA8F2DD" w14:textId="77777777" w:rsidR="003F4CA5" w:rsidRPr="006A7336" w:rsidRDefault="003F4CA5" w:rsidP="00A96F13">
            <w:pPr>
              <w:rPr>
                <w:rFonts w:ascii="Segoe UI" w:hAnsi="Segoe UI" w:cs="Segoe UI"/>
                <w:b/>
                <w:bCs/>
                <w:sz w:val="22"/>
              </w:rPr>
            </w:pPr>
            <w:r w:rsidRPr="006A7336">
              <w:rPr>
                <w:rFonts w:ascii="Segoe UI" w:hAnsi="Segoe UI" w:cs="Segoe UI"/>
                <w:b/>
                <w:bCs/>
                <w:sz w:val="22"/>
              </w:rPr>
              <w:t>3.90 (1.25-12.2)</w:t>
            </w:r>
          </w:p>
        </w:tc>
        <w:tc>
          <w:tcPr>
            <w:tcW w:w="992" w:type="dxa"/>
            <w:vAlign w:val="center"/>
          </w:tcPr>
          <w:p w14:paraId="0E79BD30" w14:textId="77777777" w:rsidR="003F4CA5" w:rsidRPr="006A7336" w:rsidRDefault="003F4CA5" w:rsidP="00A96F13">
            <w:pPr>
              <w:rPr>
                <w:rFonts w:ascii="Segoe UI" w:hAnsi="Segoe UI" w:cs="Segoe UI"/>
                <w:b/>
                <w:bCs/>
                <w:sz w:val="22"/>
              </w:rPr>
            </w:pPr>
            <w:r w:rsidRPr="006A7336">
              <w:rPr>
                <w:rFonts w:ascii="Segoe UI" w:hAnsi="Segoe UI" w:cs="Segoe UI"/>
                <w:b/>
                <w:bCs/>
                <w:sz w:val="22"/>
              </w:rPr>
              <w:t>0.020</w:t>
            </w:r>
          </w:p>
        </w:tc>
      </w:tr>
      <w:tr w:rsidR="00956960" w:rsidRPr="006A7336" w14:paraId="498796F1" w14:textId="77777777" w:rsidTr="00A96F13">
        <w:tc>
          <w:tcPr>
            <w:tcW w:w="3085" w:type="dxa"/>
            <w:vAlign w:val="center"/>
          </w:tcPr>
          <w:p w14:paraId="27BECBE7" w14:textId="77777777" w:rsidR="003F4CA5" w:rsidRPr="006A7336" w:rsidRDefault="003F4CA5" w:rsidP="00A96F13">
            <w:pPr>
              <w:rPr>
                <w:rFonts w:ascii="Segoe UI" w:hAnsi="Segoe UI" w:cs="Segoe UI"/>
                <w:sz w:val="22"/>
              </w:rPr>
            </w:pPr>
            <w:proofErr w:type="spellStart"/>
            <w:r w:rsidRPr="006A7336">
              <w:rPr>
                <w:rFonts w:ascii="Segoe UI" w:hAnsi="Segoe UI" w:cs="Segoe UI"/>
                <w:sz w:val="22"/>
              </w:rPr>
              <w:t>Serious</w:t>
            </w:r>
            <w:proofErr w:type="spellEnd"/>
            <w:r w:rsidRPr="006A7336">
              <w:rPr>
                <w:rFonts w:ascii="Segoe UI" w:hAnsi="Segoe UI" w:cs="Segoe UI"/>
                <w:sz w:val="22"/>
              </w:rPr>
              <w:t xml:space="preserve"> </w:t>
            </w:r>
            <w:proofErr w:type="spellStart"/>
            <w:r w:rsidRPr="006A7336">
              <w:rPr>
                <w:rFonts w:ascii="Segoe UI" w:hAnsi="Segoe UI" w:cs="Segoe UI"/>
                <w:sz w:val="22"/>
              </w:rPr>
              <w:t>illness</w:t>
            </w:r>
            <w:proofErr w:type="spellEnd"/>
            <w:r w:rsidRPr="006A7336">
              <w:rPr>
                <w:rFonts w:ascii="Segoe UI" w:hAnsi="Segoe UI" w:cs="Segoe UI"/>
                <w:sz w:val="22"/>
              </w:rPr>
              <w:t xml:space="preserve"> in </w:t>
            </w:r>
            <w:proofErr w:type="spellStart"/>
            <w:r w:rsidRPr="006A7336">
              <w:rPr>
                <w:rFonts w:ascii="Segoe UI" w:hAnsi="Segoe UI" w:cs="Segoe UI"/>
                <w:sz w:val="22"/>
              </w:rPr>
              <w:t>yourself</w:t>
            </w:r>
            <w:proofErr w:type="spellEnd"/>
          </w:p>
        </w:tc>
        <w:tc>
          <w:tcPr>
            <w:tcW w:w="1985" w:type="dxa"/>
            <w:vAlign w:val="center"/>
          </w:tcPr>
          <w:p w14:paraId="5DA13243" w14:textId="77777777" w:rsidR="003F4CA5" w:rsidRPr="006A7336" w:rsidRDefault="0035529E" w:rsidP="00A96F13">
            <w:pPr>
              <w:rPr>
                <w:rFonts w:ascii="Segoe UI" w:hAnsi="Segoe UI" w:cs="Segoe UI"/>
                <w:b/>
                <w:bCs/>
                <w:sz w:val="22"/>
              </w:rPr>
            </w:pPr>
            <w:r w:rsidRPr="006A7336">
              <w:rPr>
                <w:rFonts w:ascii="Segoe UI" w:hAnsi="Segoe UI" w:cs="Segoe UI"/>
                <w:b/>
                <w:bCs/>
                <w:sz w:val="22"/>
              </w:rPr>
              <w:t>3.31 (1.2-9.1</w:t>
            </w:r>
            <w:r w:rsidR="003F4CA5" w:rsidRPr="006A7336">
              <w:rPr>
                <w:rFonts w:ascii="Segoe UI" w:hAnsi="Segoe UI" w:cs="Segoe UI"/>
                <w:b/>
                <w:bCs/>
                <w:sz w:val="22"/>
              </w:rPr>
              <w:t>)</w:t>
            </w:r>
          </w:p>
        </w:tc>
        <w:tc>
          <w:tcPr>
            <w:tcW w:w="992" w:type="dxa"/>
            <w:vAlign w:val="center"/>
          </w:tcPr>
          <w:p w14:paraId="0C1209E9" w14:textId="77777777" w:rsidR="003F4CA5" w:rsidRPr="006A7336" w:rsidRDefault="003F4CA5" w:rsidP="00A96F13">
            <w:pPr>
              <w:rPr>
                <w:rFonts w:ascii="Segoe UI" w:hAnsi="Segoe UI" w:cs="Segoe UI"/>
                <w:b/>
                <w:bCs/>
                <w:sz w:val="22"/>
              </w:rPr>
            </w:pPr>
            <w:r w:rsidRPr="006A7336">
              <w:rPr>
                <w:rFonts w:ascii="Segoe UI" w:hAnsi="Segoe UI" w:cs="Segoe UI"/>
                <w:b/>
                <w:bCs/>
                <w:sz w:val="22"/>
              </w:rPr>
              <w:t>0.020</w:t>
            </w:r>
          </w:p>
        </w:tc>
        <w:tc>
          <w:tcPr>
            <w:tcW w:w="2018" w:type="dxa"/>
            <w:vAlign w:val="center"/>
          </w:tcPr>
          <w:p w14:paraId="2B12F3C2" w14:textId="77777777" w:rsidR="003F4CA5" w:rsidRPr="006A7336" w:rsidRDefault="003F4CA5" w:rsidP="00A96F13">
            <w:pPr>
              <w:rPr>
                <w:rFonts w:ascii="Segoe UI" w:hAnsi="Segoe UI" w:cs="Segoe UI"/>
                <w:sz w:val="22"/>
              </w:rPr>
            </w:pPr>
            <w:r w:rsidRPr="006A7336">
              <w:rPr>
                <w:rFonts w:ascii="Segoe UI" w:hAnsi="Segoe UI" w:cs="Segoe UI"/>
                <w:sz w:val="22"/>
              </w:rPr>
              <w:t>3.58 (0.87-14.7)</w:t>
            </w:r>
          </w:p>
        </w:tc>
        <w:tc>
          <w:tcPr>
            <w:tcW w:w="992" w:type="dxa"/>
            <w:vAlign w:val="center"/>
          </w:tcPr>
          <w:p w14:paraId="111E113A" w14:textId="77777777" w:rsidR="003F4CA5" w:rsidRPr="006A7336" w:rsidRDefault="003F4CA5" w:rsidP="00A96F13">
            <w:pPr>
              <w:rPr>
                <w:rFonts w:ascii="Segoe UI" w:hAnsi="Segoe UI" w:cs="Segoe UI"/>
                <w:sz w:val="22"/>
              </w:rPr>
            </w:pPr>
            <w:r w:rsidRPr="006A7336">
              <w:rPr>
                <w:rFonts w:ascii="Segoe UI" w:hAnsi="Segoe UI" w:cs="Segoe UI"/>
                <w:sz w:val="22"/>
              </w:rPr>
              <w:t>0.076</w:t>
            </w:r>
          </w:p>
        </w:tc>
      </w:tr>
      <w:tr w:rsidR="00956960" w:rsidRPr="006A7336" w14:paraId="3D76C422" w14:textId="77777777" w:rsidTr="00A96F13">
        <w:tc>
          <w:tcPr>
            <w:tcW w:w="3085" w:type="dxa"/>
            <w:vAlign w:val="center"/>
          </w:tcPr>
          <w:p w14:paraId="71B67038" w14:textId="77777777" w:rsidR="003F4CA5" w:rsidRPr="006A7336" w:rsidRDefault="003F4CA5" w:rsidP="00A96F13">
            <w:pPr>
              <w:rPr>
                <w:rFonts w:ascii="Segoe UI" w:hAnsi="Segoe UI" w:cs="Segoe UI"/>
                <w:sz w:val="22"/>
              </w:rPr>
            </w:pPr>
            <w:r w:rsidRPr="006A7336">
              <w:rPr>
                <w:rFonts w:ascii="Segoe UI" w:hAnsi="Segoe UI" w:cs="Segoe UI"/>
                <w:sz w:val="22"/>
              </w:rPr>
              <w:lastRenderedPageBreak/>
              <w:t xml:space="preserve">Age </w:t>
            </w:r>
            <w:r w:rsidRPr="006A7336">
              <w:rPr>
                <w:rFonts w:ascii="Segoe UI" w:hAnsi="Segoe UI" w:cs="Segoe UI"/>
                <w:sz w:val="22"/>
              </w:rPr>
              <w:sym w:font="Symbol" w:char="F0B3"/>
            </w:r>
            <w:r w:rsidRPr="006A7336">
              <w:rPr>
                <w:rFonts w:ascii="Segoe UI" w:hAnsi="Segoe UI" w:cs="Segoe UI"/>
                <w:sz w:val="22"/>
              </w:rPr>
              <w:t xml:space="preserve">70 </w:t>
            </w:r>
            <w:proofErr w:type="spellStart"/>
            <w:r w:rsidRPr="006A7336">
              <w:rPr>
                <w:rFonts w:ascii="Segoe UI" w:hAnsi="Segoe UI" w:cs="Segoe UI"/>
                <w:sz w:val="22"/>
              </w:rPr>
              <w:t>years</w:t>
            </w:r>
            <w:proofErr w:type="spellEnd"/>
          </w:p>
        </w:tc>
        <w:tc>
          <w:tcPr>
            <w:tcW w:w="1985" w:type="dxa"/>
            <w:vAlign w:val="center"/>
          </w:tcPr>
          <w:p w14:paraId="7EFBF7EC" w14:textId="77777777" w:rsidR="003F4CA5" w:rsidRPr="006A7336" w:rsidRDefault="003F4CA5" w:rsidP="00A96F13">
            <w:pPr>
              <w:rPr>
                <w:rFonts w:ascii="Segoe UI" w:hAnsi="Segoe UI" w:cs="Segoe UI"/>
                <w:sz w:val="22"/>
              </w:rPr>
            </w:pPr>
            <w:r w:rsidRPr="006A7336">
              <w:rPr>
                <w:rFonts w:ascii="Segoe UI" w:hAnsi="Segoe UI" w:cs="Segoe UI"/>
                <w:sz w:val="22"/>
              </w:rPr>
              <w:t>3.62 (0.90-14.5)</w:t>
            </w:r>
          </w:p>
        </w:tc>
        <w:tc>
          <w:tcPr>
            <w:tcW w:w="992" w:type="dxa"/>
            <w:vAlign w:val="center"/>
          </w:tcPr>
          <w:p w14:paraId="23630203" w14:textId="77777777" w:rsidR="003F4CA5" w:rsidRPr="006A7336" w:rsidRDefault="003F4CA5" w:rsidP="00A96F13">
            <w:pPr>
              <w:rPr>
                <w:rFonts w:ascii="Segoe UI" w:hAnsi="Segoe UI" w:cs="Segoe UI"/>
                <w:sz w:val="22"/>
              </w:rPr>
            </w:pPr>
            <w:r w:rsidRPr="006A7336">
              <w:rPr>
                <w:rFonts w:ascii="Segoe UI" w:hAnsi="Segoe UI" w:cs="Segoe UI"/>
                <w:sz w:val="22"/>
              </w:rPr>
              <w:t>0.069</w:t>
            </w:r>
          </w:p>
        </w:tc>
        <w:tc>
          <w:tcPr>
            <w:tcW w:w="2018" w:type="dxa"/>
            <w:vAlign w:val="center"/>
          </w:tcPr>
          <w:p w14:paraId="2850E882" w14:textId="77777777" w:rsidR="003F4CA5" w:rsidRPr="006A7336" w:rsidRDefault="003F4CA5" w:rsidP="00A96F13">
            <w:pPr>
              <w:rPr>
                <w:rFonts w:ascii="Segoe UI" w:hAnsi="Segoe UI" w:cs="Segoe UI"/>
                <w:sz w:val="22"/>
              </w:rPr>
            </w:pPr>
            <w:r w:rsidRPr="006A7336">
              <w:rPr>
                <w:rFonts w:ascii="Segoe UI" w:hAnsi="Segoe UI" w:cs="Segoe UI"/>
                <w:sz w:val="22"/>
              </w:rPr>
              <w:t>3.58 (0.87-14.7)</w:t>
            </w:r>
          </w:p>
        </w:tc>
        <w:tc>
          <w:tcPr>
            <w:tcW w:w="992" w:type="dxa"/>
            <w:vAlign w:val="center"/>
          </w:tcPr>
          <w:p w14:paraId="42F49EA4" w14:textId="77777777" w:rsidR="003F4CA5" w:rsidRPr="006A7336" w:rsidRDefault="003F4CA5" w:rsidP="00A96F13">
            <w:pPr>
              <w:rPr>
                <w:rFonts w:ascii="Segoe UI" w:hAnsi="Segoe UI" w:cs="Segoe UI"/>
                <w:sz w:val="22"/>
              </w:rPr>
            </w:pPr>
            <w:r w:rsidRPr="006A7336">
              <w:rPr>
                <w:rFonts w:ascii="Segoe UI" w:hAnsi="Segoe UI" w:cs="Segoe UI"/>
                <w:sz w:val="22"/>
              </w:rPr>
              <w:t>0.076</w:t>
            </w:r>
          </w:p>
        </w:tc>
      </w:tr>
      <w:tr w:rsidR="00956960" w:rsidRPr="006A7336" w14:paraId="3E42952F" w14:textId="77777777" w:rsidTr="00A96F13">
        <w:tc>
          <w:tcPr>
            <w:tcW w:w="3085" w:type="dxa"/>
            <w:vAlign w:val="center"/>
          </w:tcPr>
          <w:p w14:paraId="104F1BEE" w14:textId="77777777" w:rsidR="003F4CA5" w:rsidRPr="006A7336" w:rsidRDefault="003F4CA5" w:rsidP="00A96F13">
            <w:pPr>
              <w:rPr>
                <w:rFonts w:ascii="Segoe UI" w:hAnsi="Segoe UI" w:cs="Segoe UI"/>
                <w:sz w:val="22"/>
              </w:rPr>
            </w:pPr>
            <w:r w:rsidRPr="006A7336">
              <w:rPr>
                <w:rFonts w:ascii="Segoe UI" w:hAnsi="Segoe UI" w:cs="Segoe UI"/>
                <w:sz w:val="22"/>
              </w:rPr>
              <w:t xml:space="preserve">BMI </w:t>
            </w:r>
            <w:r w:rsidRPr="006A7336">
              <w:rPr>
                <w:rFonts w:ascii="Segoe UI" w:hAnsi="Segoe UI" w:cs="Segoe UI"/>
                <w:sz w:val="22"/>
              </w:rPr>
              <w:sym w:font="Symbol" w:char="F0B3"/>
            </w:r>
            <w:r w:rsidRPr="006A7336">
              <w:rPr>
                <w:rFonts w:ascii="Segoe UI" w:hAnsi="Segoe UI" w:cs="Segoe UI"/>
                <w:sz w:val="22"/>
              </w:rPr>
              <w:t>29.8 kg/m</w:t>
            </w:r>
            <w:r w:rsidRPr="006A7336">
              <w:rPr>
                <w:rFonts w:ascii="Segoe UI" w:hAnsi="Segoe UI" w:cs="Segoe UI"/>
                <w:sz w:val="22"/>
                <w:vertAlign w:val="superscript"/>
              </w:rPr>
              <w:t>2</w:t>
            </w:r>
          </w:p>
        </w:tc>
        <w:tc>
          <w:tcPr>
            <w:tcW w:w="1985" w:type="dxa"/>
            <w:vAlign w:val="center"/>
          </w:tcPr>
          <w:p w14:paraId="45EF2931" w14:textId="77777777" w:rsidR="003F4CA5" w:rsidRPr="006A7336" w:rsidRDefault="003F4CA5" w:rsidP="00A96F13">
            <w:pPr>
              <w:rPr>
                <w:rFonts w:ascii="Segoe UI" w:hAnsi="Segoe UI" w:cs="Segoe UI"/>
                <w:sz w:val="22"/>
              </w:rPr>
            </w:pPr>
            <w:r w:rsidRPr="006A7336">
              <w:rPr>
                <w:rFonts w:ascii="Segoe UI" w:hAnsi="Segoe UI" w:cs="Segoe UI"/>
                <w:sz w:val="22"/>
              </w:rPr>
              <w:t>2.53 (0.77-8.27)</w:t>
            </w:r>
          </w:p>
        </w:tc>
        <w:tc>
          <w:tcPr>
            <w:tcW w:w="992" w:type="dxa"/>
            <w:vAlign w:val="center"/>
          </w:tcPr>
          <w:p w14:paraId="030C0B54" w14:textId="77777777" w:rsidR="003F4CA5" w:rsidRPr="006A7336" w:rsidRDefault="003F4CA5" w:rsidP="00A96F13">
            <w:pPr>
              <w:rPr>
                <w:rFonts w:ascii="Segoe UI" w:hAnsi="Segoe UI" w:cs="Segoe UI"/>
                <w:sz w:val="22"/>
              </w:rPr>
            </w:pPr>
            <w:r w:rsidRPr="006A7336">
              <w:rPr>
                <w:rFonts w:ascii="Segoe UI" w:hAnsi="Segoe UI" w:cs="Segoe UI"/>
                <w:sz w:val="22"/>
              </w:rPr>
              <w:t>0.124</w:t>
            </w:r>
          </w:p>
        </w:tc>
        <w:tc>
          <w:tcPr>
            <w:tcW w:w="2018" w:type="dxa"/>
            <w:vAlign w:val="center"/>
          </w:tcPr>
          <w:p w14:paraId="001B56C8" w14:textId="77777777" w:rsidR="003F4CA5" w:rsidRPr="006A7336" w:rsidRDefault="003F4CA5" w:rsidP="00A96F13">
            <w:pPr>
              <w:rPr>
                <w:rFonts w:ascii="Segoe UI" w:hAnsi="Segoe UI" w:cs="Segoe UI"/>
                <w:sz w:val="22"/>
              </w:rPr>
            </w:pPr>
            <w:r w:rsidRPr="006A7336">
              <w:rPr>
                <w:rFonts w:ascii="Segoe UI" w:hAnsi="Segoe UI" w:cs="Segoe UI"/>
                <w:sz w:val="22"/>
              </w:rPr>
              <w:t>2.50 (0.75-8.32)</w:t>
            </w:r>
          </w:p>
        </w:tc>
        <w:tc>
          <w:tcPr>
            <w:tcW w:w="992" w:type="dxa"/>
            <w:vAlign w:val="center"/>
          </w:tcPr>
          <w:p w14:paraId="33DCF227" w14:textId="77777777" w:rsidR="003F4CA5" w:rsidRPr="006A7336" w:rsidRDefault="003F4CA5" w:rsidP="00A96F13">
            <w:pPr>
              <w:rPr>
                <w:rFonts w:ascii="Segoe UI" w:hAnsi="Segoe UI" w:cs="Segoe UI"/>
                <w:sz w:val="22"/>
              </w:rPr>
            </w:pPr>
            <w:r w:rsidRPr="006A7336">
              <w:rPr>
                <w:rFonts w:ascii="Segoe UI" w:hAnsi="Segoe UI" w:cs="Segoe UI"/>
                <w:sz w:val="22"/>
              </w:rPr>
              <w:t>0.133</w:t>
            </w:r>
          </w:p>
        </w:tc>
      </w:tr>
      <w:tr w:rsidR="00956960" w:rsidRPr="006A7336" w14:paraId="188B0F98" w14:textId="77777777" w:rsidTr="00A96F13">
        <w:tc>
          <w:tcPr>
            <w:tcW w:w="3085" w:type="dxa"/>
            <w:vAlign w:val="center"/>
          </w:tcPr>
          <w:p w14:paraId="1B61FF8C" w14:textId="77777777" w:rsidR="003F4CA5" w:rsidRPr="006A7336" w:rsidRDefault="003F4CA5" w:rsidP="00A96F13">
            <w:pPr>
              <w:jc w:val="left"/>
              <w:rPr>
                <w:rFonts w:ascii="Segoe UI" w:hAnsi="Segoe UI" w:cs="Segoe UI"/>
                <w:sz w:val="22"/>
              </w:rPr>
            </w:pPr>
            <w:proofErr w:type="spellStart"/>
            <w:r w:rsidRPr="006A7336">
              <w:rPr>
                <w:rFonts w:ascii="Segoe UI" w:hAnsi="Segoe UI" w:cs="Segoe UI"/>
                <w:sz w:val="22"/>
              </w:rPr>
              <w:t>EuroSCORE</w:t>
            </w:r>
            <w:proofErr w:type="spellEnd"/>
            <w:r w:rsidRPr="006A7336">
              <w:rPr>
                <w:rFonts w:ascii="Segoe UI" w:hAnsi="Segoe UI" w:cs="Segoe UI"/>
                <w:sz w:val="22"/>
              </w:rPr>
              <w:t xml:space="preserve"> II (</w:t>
            </w:r>
            <w:proofErr w:type="spellStart"/>
            <w:r w:rsidRPr="006A7336">
              <w:rPr>
                <w:rFonts w:ascii="Segoe UI" w:hAnsi="Segoe UI" w:cs="Segoe UI"/>
                <w:sz w:val="22"/>
              </w:rPr>
              <w:t>score</w:t>
            </w:r>
            <w:proofErr w:type="spellEnd"/>
            <w:r w:rsidRPr="006A7336">
              <w:rPr>
                <w:rFonts w:ascii="Segoe UI" w:hAnsi="Segoe UI" w:cs="Segoe UI"/>
                <w:sz w:val="22"/>
              </w:rPr>
              <w:t>)</w:t>
            </w:r>
          </w:p>
        </w:tc>
        <w:tc>
          <w:tcPr>
            <w:tcW w:w="1985" w:type="dxa"/>
            <w:vAlign w:val="center"/>
          </w:tcPr>
          <w:p w14:paraId="19955EAD" w14:textId="77777777" w:rsidR="003F4CA5" w:rsidRPr="006A7336" w:rsidRDefault="003F4CA5" w:rsidP="00A96F13">
            <w:pPr>
              <w:rPr>
                <w:rFonts w:ascii="Segoe UI" w:hAnsi="Segoe UI" w:cs="Segoe UI"/>
                <w:sz w:val="22"/>
              </w:rPr>
            </w:pPr>
            <w:r w:rsidRPr="006A7336">
              <w:rPr>
                <w:rFonts w:ascii="Segoe UI" w:hAnsi="Segoe UI" w:cs="Segoe UI"/>
                <w:sz w:val="22"/>
              </w:rPr>
              <w:t>1.14 (0.91-1.42)</w:t>
            </w:r>
          </w:p>
        </w:tc>
        <w:tc>
          <w:tcPr>
            <w:tcW w:w="992" w:type="dxa"/>
            <w:vAlign w:val="center"/>
          </w:tcPr>
          <w:p w14:paraId="125DCAE6" w14:textId="77777777" w:rsidR="003F4CA5" w:rsidRPr="006A7336" w:rsidRDefault="003F4CA5" w:rsidP="00A96F13">
            <w:pPr>
              <w:rPr>
                <w:rFonts w:ascii="Segoe UI" w:hAnsi="Segoe UI" w:cs="Segoe UI"/>
                <w:sz w:val="22"/>
              </w:rPr>
            </w:pPr>
            <w:r w:rsidRPr="006A7336">
              <w:rPr>
                <w:rFonts w:ascii="Segoe UI" w:hAnsi="Segoe UI" w:cs="Segoe UI"/>
                <w:sz w:val="22"/>
              </w:rPr>
              <w:t>0.247</w:t>
            </w:r>
          </w:p>
        </w:tc>
        <w:tc>
          <w:tcPr>
            <w:tcW w:w="2018" w:type="dxa"/>
            <w:vAlign w:val="center"/>
          </w:tcPr>
          <w:p w14:paraId="333D87F0" w14:textId="77777777" w:rsidR="003F4CA5" w:rsidRPr="006A7336" w:rsidRDefault="003F4CA5" w:rsidP="00A96F13">
            <w:pPr>
              <w:rPr>
                <w:rFonts w:ascii="Segoe UI" w:hAnsi="Segoe UI" w:cs="Segoe UI"/>
                <w:sz w:val="22"/>
              </w:rPr>
            </w:pPr>
            <w:r w:rsidRPr="006A7336">
              <w:rPr>
                <w:rFonts w:ascii="Segoe UI" w:hAnsi="Segoe UI" w:cs="Segoe UI"/>
                <w:sz w:val="22"/>
              </w:rPr>
              <w:t>1.14 (0.92-1.42)</w:t>
            </w:r>
          </w:p>
        </w:tc>
        <w:tc>
          <w:tcPr>
            <w:tcW w:w="992" w:type="dxa"/>
            <w:vAlign w:val="center"/>
          </w:tcPr>
          <w:p w14:paraId="5A94C65F" w14:textId="77777777" w:rsidR="003F4CA5" w:rsidRPr="006A7336" w:rsidRDefault="003F4CA5" w:rsidP="00A96F13">
            <w:pPr>
              <w:rPr>
                <w:rFonts w:ascii="Segoe UI" w:hAnsi="Segoe UI" w:cs="Segoe UI"/>
                <w:sz w:val="22"/>
              </w:rPr>
            </w:pPr>
            <w:r w:rsidRPr="006A7336">
              <w:rPr>
                <w:rFonts w:ascii="Segoe UI" w:hAnsi="Segoe UI" w:cs="Segoe UI"/>
                <w:sz w:val="22"/>
              </w:rPr>
              <w:t>0.244</w:t>
            </w:r>
          </w:p>
        </w:tc>
      </w:tr>
      <w:tr w:rsidR="00956960" w:rsidRPr="006A7336" w14:paraId="1DDA2C35" w14:textId="77777777" w:rsidTr="00A96F13">
        <w:tc>
          <w:tcPr>
            <w:tcW w:w="3085" w:type="dxa"/>
            <w:vAlign w:val="center"/>
          </w:tcPr>
          <w:p w14:paraId="29E1EEF8" w14:textId="77777777" w:rsidR="003F4CA5" w:rsidRPr="006A7336" w:rsidRDefault="003F4CA5" w:rsidP="00A96F13">
            <w:pPr>
              <w:jc w:val="left"/>
              <w:rPr>
                <w:rFonts w:ascii="Segoe UI" w:hAnsi="Segoe UI" w:cs="Segoe UI"/>
                <w:sz w:val="22"/>
              </w:rPr>
            </w:pPr>
            <w:r w:rsidRPr="006A7336">
              <w:rPr>
                <w:rFonts w:ascii="Segoe UI" w:hAnsi="Segoe UI" w:cs="Segoe UI"/>
                <w:sz w:val="22"/>
              </w:rPr>
              <w:t>NYHA Class</w:t>
            </w:r>
          </w:p>
        </w:tc>
        <w:tc>
          <w:tcPr>
            <w:tcW w:w="1985" w:type="dxa"/>
            <w:vAlign w:val="center"/>
          </w:tcPr>
          <w:p w14:paraId="5B997523" w14:textId="77777777" w:rsidR="003F4CA5" w:rsidRPr="006A7336" w:rsidRDefault="003F4CA5" w:rsidP="00A96F13">
            <w:pPr>
              <w:rPr>
                <w:rFonts w:ascii="Segoe UI" w:hAnsi="Segoe UI" w:cs="Segoe UI"/>
                <w:b/>
                <w:bCs/>
                <w:sz w:val="22"/>
              </w:rPr>
            </w:pPr>
            <w:r w:rsidRPr="006A7336">
              <w:rPr>
                <w:rFonts w:ascii="Segoe UI" w:hAnsi="Segoe UI" w:cs="Segoe UI"/>
                <w:b/>
                <w:bCs/>
                <w:sz w:val="22"/>
              </w:rPr>
              <w:t>2.74 (1.16-6.44)</w:t>
            </w:r>
          </w:p>
        </w:tc>
        <w:tc>
          <w:tcPr>
            <w:tcW w:w="992" w:type="dxa"/>
            <w:vAlign w:val="center"/>
          </w:tcPr>
          <w:p w14:paraId="292F9FC6" w14:textId="77777777" w:rsidR="003F4CA5" w:rsidRPr="006A7336" w:rsidRDefault="003F4CA5" w:rsidP="00A96F13">
            <w:pPr>
              <w:rPr>
                <w:rFonts w:ascii="Segoe UI" w:hAnsi="Segoe UI" w:cs="Segoe UI"/>
                <w:b/>
                <w:bCs/>
                <w:sz w:val="22"/>
              </w:rPr>
            </w:pPr>
            <w:r w:rsidRPr="006A7336">
              <w:rPr>
                <w:rFonts w:ascii="Segoe UI" w:hAnsi="Segoe UI" w:cs="Segoe UI"/>
                <w:b/>
                <w:bCs/>
                <w:sz w:val="22"/>
              </w:rPr>
              <w:t>0.021</w:t>
            </w:r>
          </w:p>
        </w:tc>
        <w:tc>
          <w:tcPr>
            <w:tcW w:w="2018" w:type="dxa"/>
            <w:vAlign w:val="center"/>
          </w:tcPr>
          <w:p w14:paraId="23114387" w14:textId="77777777" w:rsidR="003F4CA5" w:rsidRPr="006A7336" w:rsidRDefault="003F4CA5" w:rsidP="00A96F13">
            <w:pPr>
              <w:rPr>
                <w:rFonts w:ascii="Segoe UI" w:hAnsi="Segoe UI" w:cs="Segoe UI"/>
                <w:b/>
                <w:bCs/>
                <w:sz w:val="22"/>
              </w:rPr>
            </w:pPr>
            <w:r w:rsidRPr="006A7336">
              <w:rPr>
                <w:rFonts w:ascii="Segoe UI" w:hAnsi="Segoe UI" w:cs="Segoe UI"/>
                <w:b/>
                <w:bCs/>
                <w:sz w:val="22"/>
              </w:rPr>
              <w:t>3.21 (1.22-8.44)</w:t>
            </w:r>
          </w:p>
        </w:tc>
        <w:tc>
          <w:tcPr>
            <w:tcW w:w="992" w:type="dxa"/>
            <w:vAlign w:val="center"/>
          </w:tcPr>
          <w:p w14:paraId="6858484A" w14:textId="77777777" w:rsidR="003F4CA5" w:rsidRPr="006A7336" w:rsidRDefault="003F4CA5" w:rsidP="00A96F13">
            <w:pPr>
              <w:rPr>
                <w:rFonts w:ascii="Segoe UI" w:hAnsi="Segoe UI" w:cs="Segoe UI"/>
                <w:b/>
                <w:bCs/>
                <w:sz w:val="22"/>
              </w:rPr>
            </w:pPr>
            <w:r w:rsidRPr="006A7336">
              <w:rPr>
                <w:rFonts w:ascii="Segoe UI" w:hAnsi="Segoe UI" w:cs="Segoe UI"/>
                <w:b/>
                <w:bCs/>
                <w:sz w:val="22"/>
              </w:rPr>
              <w:t>0.019</w:t>
            </w:r>
          </w:p>
        </w:tc>
      </w:tr>
      <w:tr w:rsidR="00956960" w:rsidRPr="006A7336" w14:paraId="0F65EA79" w14:textId="77777777" w:rsidTr="00A96F13">
        <w:tc>
          <w:tcPr>
            <w:tcW w:w="3085" w:type="dxa"/>
            <w:vAlign w:val="center"/>
          </w:tcPr>
          <w:p w14:paraId="55DEA141" w14:textId="77777777" w:rsidR="003F4CA5" w:rsidRPr="006A7336" w:rsidRDefault="003F4CA5" w:rsidP="00A96F13">
            <w:pPr>
              <w:jc w:val="left"/>
              <w:rPr>
                <w:rFonts w:ascii="Segoe UI" w:hAnsi="Segoe UI" w:cs="Segoe UI"/>
                <w:sz w:val="22"/>
              </w:rPr>
            </w:pPr>
            <w:r w:rsidRPr="006A7336">
              <w:rPr>
                <w:rFonts w:ascii="Segoe UI" w:hAnsi="Segoe UI" w:cs="Segoe UI"/>
                <w:sz w:val="22"/>
              </w:rPr>
              <w:t>TASQ (</w:t>
            </w:r>
            <w:proofErr w:type="spellStart"/>
            <w:r w:rsidRPr="006A7336">
              <w:rPr>
                <w:rFonts w:ascii="Segoe UI" w:hAnsi="Segoe UI" w:cs="Segoe UI"/>
                <w:sz w:val="22"/>
              </w:rPr>
              <w:t>score</w:t>
            </w:r>
            <w:proofErr w:type="spellEnd"/>
            <w:r w:rsidRPr="006A7336">
              <w:rPr>
                <w:rFonts w:ascii="Segoe UI" w:hAnsi="Segoe UI" w:cs="Segoe UI"/>
                <w:sz w:val="22"/>
              </w:rPr>
              <w:t>)</w:t>
            </w:r>
          </w:p>
        </w:tc>
        <w:tc>
          <w:tcPr>
            <w:tcW w:w="1985" w:type="dxa"/>
            <w:vAlign w:val="center"/>
          </w:tcPr>
          <w:p w14:paraId="58DD16B3" w14:textId="77777777" w:rsidR="003F4CA5" w:rsidRPr="006A7336" w:rsidRDefault="003F4CA5" w:rsidP="00A96F13">
            <w:pPr>
              <w:rPr>
                <w:rFonts w:ascii="Segoe UI" w:hAnsi="Segoe UI" w:cs="Segoe UI"/>
                <w:sz w:val="22"/>
              </w:rPr>
            </w:pPr>
            <w:r w:rsidRPr="006A7336">
              <w:rPr>
                <w:rFonts w:ascii="Segoe UI" w:hAnsi="Segoe UI" w:cs="Segoe UI"/>
                <w:sz w:val="22"/>
              </w:rPr>
              <w:t>1.02 (1.00-1.05)</w:t>
            </w:r>
          </w:p>
        </w:tc>
        <w:tc>
          <w:tcPr>
            <w:tcW w:w="992" w:type="dxa"/>
            <w:vAlign w:val="center"/>
          </w:tcPr>
          <w:p w14:paraId="34BCB3EF" w14:textId="77777777" w:rsidR="003F4CA5" w:rsidRPr="006A7336" w:rsidRDefault="003F4CA5" w:rsidP="00A96F13">
            <w:pPr>
              <w:rPr>
                <w:rFonts w:ascii="Segoe UI" w:hAnsi="Segoe UI" w:cs="Segoe UI"/>
                <w:sz w:val="22"/>
              </w:rPr>
            </w:pPr>
            <w:r w:rsidRPr="006A7336">
              <w:rPr>
                <w:rFonts w:ascii="Segoe UI" w:hAnsi="Segoe UI" w:cs="Segoe UI"/>
                <w:sz w:val="22"/>
              </w:rPr>
              <w:t>0.076</w:t>
            </w:r>
          </w:p>
        </w:tc>
        <w:tc>
          <w:tcPr>
            <w:tcW w:w="2018" w:type="dxa"/>
            <w:vAlign w:val="center"/>
          </w:tcPr>
          <w:p w14:paraId="464FA8AC" w14:textId="77777777" w:rsidR="003F4CA5" w:rsidRPr="006A7336" w:rsidRDefault="003F4CA5" w:rsidP="00A96F13">
            <w:pPr>
              <w:rPr>
                <w:rFonts w:ascii="Segoe UI" w:hAnsi="Segoe UI" w:cs="Segoe UI"/>
                <w:sz w:val="22"/>
              </w:rPr>
            </w:pPr>
            <w:r w:rsidRPr="006A7336">
              <w:rPr>
                <w:rFonts w:ascii="Segoe UI" w:hAnsi="Segoe UI" w:cs="Segoe UI"/>
                <w:sz w:val="22"/>
              </w:rPr>
              <w:t>1.02 (0.99-1.04)</w:t>
            </w:r>
          </w:p>
        </w:tc>
        <w:tc>
          <w:tcPr>
            <w:tcW w:w="992" w:type="dxa"/>
            <w:vAlign w:val="center"/>
          </w:tcPr>
          <w:p w14:paraId="7906A7F2" w14:textId="77777777" w:rsidR="003F4CA5" w:rsidRPr="006A7336" w:rsidRDefault="003F4CA5" w:rsidP="00A96F13">
            <w:pPr>
              <w:rPr>
                <w:rFonts w:ascii="Segoe UI" w:hAnsi="Segoe UI" w:cs="Segoe UI"/>
                <w:sz w:val="22"/>
              </w:rPr>
            </w:pPr>
            <w:r w:rsidRPr="006A7336">
              <w:rPr>
                <w:rFonts w:ascii="Segoe UI" w:hAnsi="Segoe UI" w:cs="Segoe UI"/>
                <w:sz w:val="22"/>
              </w:rPr>
              <w:t>0.073</w:t>
            </w:r>
          </w:p>
        </w:tc>
      </w:tr>
      <w:tr w:rsidR="00956960" w:rsidRPr="006A7336" w14:paraId="094BE566" w14:textId="77777777" w:rsidTr="00A96F13">
        <w:tc>
          <w:tcPr>
            <w:tcW w:w="3085" w:type="dxa"/>
            <w:vAlign w:val="center"/>
          </w:tcPr>
          <w:p w14:paraId="53E0EBAA" w14:textId="77777777" w:rsidR="003F4CA5" w:rsidRPr="006A7336" w:rsidRDefault="003F4CA5" w:rsidP="00A96F13">
            <w:pPr>
              <w:jc w:val="left"/>
              <w:rPr>
                <w:rFonts w:ascii="Segoe UI" w:hAnsi="Segoe UI" w:cs="Segoe UI"/>
                <w:sz w:val="22"/>
              </w:rPr>
            </w:pPr>
            <w:r w:rsidRPr="006A7336">
              <w:rPr>
                <w:rFonts w:ascii="Segoe UI" w:hAnsi="Segoe UI" w:cs="Segoe UI"/>
                <w:sz w:val="22"/>
              </w:rPr>
              <w:t xml:space="preserve">TASQ </w:t>
            </w:r>
            <w:proofErr w:type="spellStart"/>
            <w:r w:rsidRPr="006A7336">
              <w:rPr>
                <w:rFonts w:ascii="Segoe UI" w:hAnsi="Segoe UI" w:cs="Segoe UI"/>
                <w:sz w:val="22"/>
              </w:rPr>
              <w:t>Emotional</w:t>
            </w:r>
            <w:proofErr w:type="spellEnd"/>
            <w:r w:rsidRPr="006A7336">
              <w:rPr>
                <w:rFonts w:ascii="Segoe UI" w:hAnsi="Segoe UI" w:cs="Segoe UI"/>
                <w:sz w:val="22"/>
              </w:rPr>
              <w:t xml:space="preserve"> </w:t>
            </w:r>
            <w:proofErr w:type="spellStart"/>
            <w:r w:rsidRPr="006A7336">
              <w:rPr>
                <w:rFonts w:ascii="Segoe UI" w:hAnsi="Segoe UI" w:cs="Segoe UI"/>
                <w:sz w:val="22"/>
              </w:rPr>
              <w:t>impact</w:t>
            </w:r>
            <w:proofErr w:type="spellEnd"/>
          </w:p>
        </w:tc>
        <w:tc>
          <w:tcPr>
            <w:tcW w:w="1985" w:type="dxa"/>
            <w:vAlign w:val="center"/>
          </w:tcPr>
          <w:p w14:paraId="76BDAC13" w14:textId="77777777" w:rsidR="003F4CA5" w:rsidRPr="006A7336" w:rsidRDefault="003F4CA5" w:rsidP="00A96F13">
            <w:pPr>
              <w:rPr>
                <w:rFonts w:ascii="Segoe UI" w:hAnsi="Segoe UI" w:cs="Segoe UI"/>
                <w:b/>
                <w:bCs/>
                <w:sz w:val="22"/>
              </w:rPr>
            </w:pPr>
            <w:r w:rsidRPr="006A7336">
              <w:rPr>
                <w:rFonts w:ascii="Segoe UI" w:hAnsi="Segoe UI" w:cs="Segoe UI"/>
                <w:b/>
                <w:bCs/>
                <w:sz w:val="22"/>
              </w:rPr>
              <w:t>1.45 (1.09-1.95)</w:t>
            </w:r>
          </w:p>
        </w:tc>
        <w:tc>
          <w:tcPr>
            <w:tcW w:w="992" w:type="dxa"/>
            <w:vAlign w:val="center"/>
          </w:tcPr>
          <w:p w14:paraId="657F5481" w14:textId="77777777" w:rsidR="003F4CA5" w:rsidRPr="006A7336" w:rsidRDefault="003F4CA5" w:rsidP="00A96F13">
            <w:pPr>
              <w:rPr>
                <w:rFonts w:ascii="Segoe UI" w:hAnsi="Segoe UI" w:cs="Segoe UI"/>
                <w:b/>
                <w:bCs/>
                <w:sz w:val="22"/>
              </w:rPr>
            </w:pPr>
            <w:r w:rsidRPr="006A7336">
              <w:rPr>
                <w:rFonts w:ascii="Segoe UI" w:hAnsi="Segoe UI" w:cs="Segoe UI"/>
                <w:b/>
                <w:bCs/>
                <w:sz w:val="22"/>
              </w:rPr>
              <w:t>0.012</w:t>
            </w:r>
          </w:p>
        </w:tc>
        <w:tc>
          <w:tcPr>
            <w:tcW w:w="2018" w:type="dxa"/>
            <w:vAlign w:val="center"/>
          </w:tcPr>
          <w:p w14:paraId="60D9BF97" w14:textId="77777777" w:rsidR="003F4CA5" w:rsidRPr="006A7336" w:rsidRDefault="003F4CA5" w:rsidP="00A96F13">
            <w:pPr>
              <w:rPr>
                <w:rFonts w:ascii="Segoe UI" w:hAnsi="Segoe UI" w:cs="Segoe UI"/>
                <w:b/>
                <w:bCs/>
                <w:sz w:val="22"/>
              </w:rPr>
            </w:pPr>
            <w:r w:rsidRPr="006A7336">
              <w:rPr>
                <w:rFonts w:ascii="Segoe UI" w:hAnsi="Segoe UI" w:cs="Segoe UI"/>
                <w:b/>
                <w:bCs/>
                <w:sz w:val="22"/>
              </w:rPr>
              <w:t>1.40 (1.00-1.97)</w:t>
            </w:r>
          </w:p>
        </w:tc>
        <w:tc>
          <w:tcPr>
            <w:tcW w:w="992" w:type="dxa"/>
            <w:vAlign w:val="center"/>
          </w:tcPr>
          <w:p w14:paraId="1C97DED2" w14:textId="77777777" w:rsidR="003F4CA5" w:rsidRPr="006A7336" w:rsidRDefault="003F4CA5" w:rsidP="00A96F13">
            <w:pPr>
              <w:rPr>
                <w:rFonts w:ascii="Segoe UI" w:hAnsi="Segoe UI" w:cs="Segoe UI"/>
                <w:b/>
                <w:bCs/>
                <w:sz w:val="22"/>
              </w:rPr>
            </w:pPr>
            <w:r w:rsidRPr="006A7336">
              <w:rPr>
                <w:rFonts w:ascii="Segoe UI" w:hAnsi="Segoe UI" w:cs="Segoe UI"/>
                <w:b/>
                <w:bCs/>
                <w:sz w:val="22"/>
              </w:rPr>
              <w:t>0.049</w:t>
            </w:r>
          </w:p>
        </w:tc>
      </w:tr>
      <w:tr w:rsidR="00956960" w:rsidRPr="006A7336" w14:paraId="50BA6CDA" w14:textId="77777777" w:rsidTr="00A96F13">
        <w:tc>
          <w:tcPr>
            <w:tcW w:w="3085" w:type="dxa"/>
            <w:vAlign w:val="center"/>
          </w:tcPr>
          <w:p w14:paraId="3FAC3BFE" w14:textId="77777777" w:rsidR="003F4CA5" w:rsidRPr="006A7336" w:rsidRDefault="003F4CA5" w:rsidP="00A96F13">
            <w:pPr>
              <w:jc w:val="left"/>
              <w:rPr>
                <w:rFonts w:ascii="Segoe UI" w:hAnsi="Segoe UI" w:cs="Segoe UI"/>
                <w:sz w:val="22"/>
              </w:rPr>
            </w:pPr>
            <w:r w:rsidRPr="006A7336">
              <w:rPr>
                <w:rFonts w:ascii="Segoe UI" w:hAnsi="Segoe UI" w:cs="Segoe UI"/>
                <w:sz w:val="22"/>
              </w:rPr>
              <w:t xml:space="preserve">TASQ </w:t>
            </w:r>
            <w:proofErr w:type="spellStart"/>
            <w:r w:rsidRPr="006A7336">
              <w:rPr>
                <w:rFonts w:ascii="Segoe UI" w:hAnsi="Segoe UI" w:cs="Segoe UI"/>
                <w:sz w:val="22"/>
              </w:rPr>
              <w:t>Social</w:t>
            </w:r>
            <w:proofErr w:type="spellEnd"/>
            <w:r w:rsidRPr="006A7336">
              <w:rPr>
                <w:rFonts w:ascii="Segoe UI" w:hAnsi="Segoe UI" w:cs="Segoe UI"/>
                <w:sz w:val="22"/>
              </w:rPr>
              <w:t xml:space="preserve"> </w:t>
            </w:r>
            <w:proofErr w:type="spellStart"/>
            <w:r w:rsidRPr="006A7336">
              <w:rPr>
                <w:rFonts w:ascii="Segoe UI" w:hAnsi="Segoe UI" w:cs="Segoe UI"/>
                <w:sz w:val="22"/>
              </w:rPr>
              <w:t>limitations</w:t>
            </w:r>
            <w:proofErr w:type="spellEnd"/>
          </w:p>
        </w:tc>
        <w:tc>
          <w:tcPr>
            <w:tcW w:w="1985" w:type="dxa"/>
            <w:vAlign w:val="center"/>
          </w:tcPr>
          <w:p w14:paraId="4D86531E" w14:textId="77777777" w:rsidR="003F4CA5" w:rsidRPr="006A7336" w:rsidRDefault="003F4CA5" w:rsidP="00A96F13">
            <w:pPr>
              <w:rPr>
                <w:rFonts w:ascii="Segoe UI" w:hAnsi="Segoe UI" w:cs="Segoe UI"/>
                <w:sz w:val="22"/>
              </w:rPr>
            </w:pPr>
            <w:r w:rsidRPr="006A7336">
              <w:rPr>
                <w:rFonts w:ascii="Segoe UI" w:hAnsi="Segoe UI" w:cs="Segoe UI"/>
                <w:sz w:val="22"/>
              </w:rPr>
              <w:t>1.13 (0.99-1.29)</w:t>
            </w:r>
          </w:p>
        </w:tc>
        <w:tc>
          <w:tcPr>
            <w:tcW w:w="992" w:type="dxa"/>
            <w:vAlign w:val="center"/>
          </w:tcPr>
          <w:p w14:paraId="352F898E" w14:textId="77777777" w:rsidR="003F4CA5" w:rsidRPr="006A7336" w:rsidRDefault="003F4CA5" w:rsidP="00A96F13">
            <w:pPr>
              <w:rPr>
                <w:rFonts w:ascii="Segoe UI" w:hAnsi="Segoe UI" w:cs="Segoe UI"/>
                <w:sz w:val="22"/>
              </w:rPr>
            </w:pPr>
            <w:r w:rsidRPr="006A7336">
              <w:rPr>
                <w:rFonts w:ascii="Segoe UI" w:hAnsi="Segoe UI" w:cs="Segoe UI"/>
                <w:sz w:val="22"/>
              </w:rPr>
              <w:t>0.064</w:t>
            </w:r>
          </w:p>
        </w:tc>
        <w:tc>
          <w:tcPr>
            <w:tcW w:w="2018" w:type="dxa"/>
            <w:vAlign w:val="center"/>
          </w:tcPr>
          <w:p w14:paraId="7BBCD663" w14:textId="77777777" w:rsidR="003F4CA5" w:rsidRPr="006A7336" w:rsidRDefault="003F4CA5" w:rsidP="00A96F13">
            <w:pPr>
              <w:rPr>
                <w:rFonts w:ascii="Segoe UI" w:hAnsi="Segoe UI" w:cs="Segoe UI"/>
                <w:sz w:val="22"/>
              </w:rPr>
            </w:pPr>
            <w:r w:rsidRPr="006A7336">
              <w:rPr>
                <w:rFonts w:ascii="Segoe UI" w:hAnsi="Segoe UI" w:cs="Segoe UI"/>
                <w:sz w:val="22"/>
              </w:rPr>
              <w:t>1.13 (0.99-1.29)</w:t>
            </w:r>
          </w:p>
        </w:tc>
        <w:tc>
          <w:tcPr>
            <w:tcW w:w="992" w:type="dxa"/>
            <w:vAlign w:val="center"/>
          </w:tcPr>
          <w:p w14:paraId="167990F3" w14:textId="77777777" w:rsidR="003F4CA5" w:rsidRPr="006A7336" w:rsidRDefault="003F4CA5" w:rsidP="00A96F13">
            <w:pPr>
              <w:rPr>
                <w:rFonts w:ascii="Segoe UI" w:hAnsi="Segoe UI" w:cs="Segoe UI"/>
                <w:sz w:val="22"/>
              </w:rPr>
            </w:pPr>
            <w:r w:rsidRPr="006A7336">
              <w:rPr>
                <w:rFonts w:ascii="Segoe UI" w:hAnsi="Segoe UI" w:cs="Segoe UI"/>
                <w:sz w:val="22"/>
              </w:rPr>
              <w:t>0.061</w:t>
            </w:r>
          </w:p>
        </w:tc>
      </w:tr>
      <w:tr w:rsidR="00956960" w:rsidRPr="006A7336" w14:paraId="13808E65" w14:textId="77777777" w:rsidTr="00A96F13">
        <w:tc>
          <w:tcPr>
            <w:tcW w:w="3085" w:type="dxa"/>
            <w:vAlign w:val="center"/>
          </w:tcPr>
          <w:p w14:paraId="1AEED857" w14:textId="77777777" w:rsidR="003F4CA5" w:rsidRPr="006A7336" w:rsidRDefault="003F4CA5" w:rsidP="00A96F13">
            <w:pPr>
              <w:jc w:val="left"/>
              <w:rPr>
                <w:rFonts w:ascii="Segoe UI" w:hAnsi="Segoe UI" w:cs="Segoe UI"/>
                <w:sz w:val="22"/>
              </w:rPr>
            </w:pPr>
            <w:r w:rsidRPr="006A7336">
              <w:rPr>
                <w:rFonts w:ascii="Segoe UI" w:hAnsi="Segoe UI" w:cs="Segoe UI"/>
                <w:sz w:val="22"/>
              </w:rPr>
              <w:t xml:space="preserve">HADS </w:t>
            </w:r>
            <w:proofErr w:type="spellStart"/>
            <w:r w:rsidRPr="006A7336">
              <w:rPr>
                <w:rFonts w:ascii="Segoe UI" w:hAnsi="Segoe UI" w:cs="Segoe UI"/>
                <w:sz w:val="22"/>
              </w:rPr>
              <w:t>Anxiety</w:t>
            </w:r>
            <w:proofErr w:type="spellEnd"/>
            <w:r w:rsidRPr="006A7336">
              <w:rPr>
                <w:rFonts w:ascii="Segoe UI" w:hAnsi="Segoe UI" w:cs="Segoe UI"/>
                <w:sz w:val="22"/>
              </w:rPr>
              <w:t xml:space="preserve"> (</w:t>
            </w:r>
            <w:proofErr w:type="spellStart"/>
            <w:r w:rsidRPr="006A7336">
              <w:rPr>
                <w:rFonts w:ascii="Segoe UI" w:hAnsi="Segoe UI" w:cs="Segoe UI"/>
                <w:sz w:val="22"/>
              </w:rPr>
              <w:t>score</w:t>
            </w:r>
            <w:proofErr w:type="spellEnd"/>
            <w:r w:rsidRPr="006A7336">
              <w:rPr>
                <w:rFonts w:ascii="Segoe UI" w:hAnsi="Segoe UI" w:cs="Segoe UI"/>
                <w:sz w:val="22"/>
              </w:rPr>
              <w:t>)</w:t>
            </w:r>
          </w:p>
        </w:tc>
        <w:tc>
          <w:tcPr>
            <w:tcW w:w="1985" w:type="dxa"/>
            <w:vAlign w:val="center"/>
          </w:tcPr>
          <w:p w14:paraId="57EE3FB8" w14:textId="77777777" w:rsidR="003F4CA5" w:rsidRPr="006A7336" w:rsidRDefault="003F4CA5" w:rsidP="00A96F13">
            <w:pPr>
              <w:rPr>
                <w:rFonts w:ascii="Segoe UI" w:hAnsi="Segoe UI" w:cs="Segoe UI"/>
                <w:sz w:val="22"/>
              </w:rPr>
            </w:pPr>
            <w:r w:rsidRPr="006A7336">
              <w:rPr>
                <w:rFonts w:ascii="Segoe UI" w:hAnsi="Segoe UI" w:cs="Segoe UI"/>
                <w:b/>
                <w:bCs/>
                <w:sz w:val="22"/>
              </w:rPr>
              <w:t>1.15 (1.01-1.31)</w:t>
            </w:r>
          </w:p>
        </w:tc>
        <w:tc>
          <w:tcPr>
            <w:tcW w:w="992" w:type="dxa"/>
            <w:vAlign w:val="center"/>
          </w:tcPr>
          <w:p w14:paraId="6A0F65EF" w14:textId="77777777" w:rsidR="003F4CA5" w:rsidRPr="006A7336" w:rsidRDefault="003F4CA5" w:rsidP="00A96F13">
            <w:pPr>
              <w:rPr>
                <w:rFonts w:ascii="Segoe UI" w:hAnsi="Segoe UI" w:cs="Segoe UI"/>
                <w:sz w:val="22"/>
              </w:rPr>
            </w:pPr>
            <w:r w:rsidRPr="006A7336">
              <w:rPr>
                <w:rFonts w:ascii="Segoe UI" w:hAnsi="Segoe UI" w:cs="Segoe UI"/>
                <w:b/>
                <w:bCs/>
                <w:sz w:val="22"/>
              </w:rPr>
              <w:t>0.029</w:t>
            </w:r>
          </w:p>
        </w:tc>
        <w:tc>
          <w:tcPr>
            <w:tcW w:w="2018" w:type="dxa"/>
            <w:vAlign w:val="center"/>
          </w:tcPr>
          <w:p w14:paraId="6BC677D5" w14:textId="77777777" w:rsidR="003F4CA5" w:rsidRPr="006A7336" w:rsidRDefault="003F4CA5" w:rsidP="00A96F13">
            <w:pPr>
              <w:rPr>
                <w:rFonts w:ascii="Segoe UI" w:hAnsi="Segoe UI" w:cs="Segoe UI"/>
                <w:sz w:val="22"/>
              </w:rPr>
            </w:pPr>
            <w:r w:rsidRPr="006A7336">
              <w:rPr>
                <w:rFonts w:ascii="Segoe UI" w:hAnsi="Segoe UI" w:cs="Segoe UI"/>
                <w:sz w:val="22"/>
              </w:rPr>
              <w:t>1.13 (0.98-1.31)</w:t>
            </w:r>
          </w:p>
        </w:tc>
        <w:tc>
          <w:tcPr>
            <w:tcW w:w="992" w:type="dxa"/>
            <w:vAlign w:val="center"/>
          </w:tcPr>
          <w:p w14:paraId="37F029CE" w14:textId="77777777" w:rsidR="003F4CA5" w:rsidRPr="006A7336" w:rsidRDefault="003F4CA5" w:rsidP="00A96F13">
            <w:pPr>
              <w:rPr>
                <w:rFonts w:ascii="Segoe UI" w:hAnsi="Segoe UI" w:cs="Segoe UI"/>
                <w:sz w:val="22"/>
              </w:rPr>
            </w:pPr>
            <w:r w:rsidRPr="006A7336">
              <w:rPr>
                <w:rFonts w:ascii="Segoe UI" w:hAnsi="Segoe UI" w:cs="Segoe UI"/>
                <w:sz w:val="22"/>
              </w:rPr>
              <w:t>0.095</w:t>
            </w:r>
          </w:p>
        </w:tc>
      </w:tr>
      <w:tr w:rsidR="00956960" w:rsidRPr="006A7336" w14:paraId="45D6DEA1" w14:textId="77777777" w:rsidTr="00A96F13">
        <w:tc>
          <w:tcPr>
            <w:tcW w:w="3085" w:type="dxa"/>
            <w:vAlign w:val="center"/>
          </w:tcPr>
          <w:p w14:paraId="45E361E7" w14:textId="77777777" w:rsidR="003F4CA5" w:rsidRPr="006A7336" w:rsidRDefault="003F4CA5" w:rsidP="00A96F13">
            <w:pPr>
              <w:jc w:val="left"/>
              <w:rPr>
                <w:rFonts w:ascii="Segoe UI" w:hAnsi="Segoe UI" w:cs="Segoe UI"/>
                <w:sz w:val="22"/>
              </w:rPr>
            </w:pPr>
            <w:r w:rsidRPr="006A7336">
              <w:rPr>
                <w:rFonts w:ascii="Segoe UI" w:hAnsi="Segoe UI" w:cs="Segoe UI"/>
                <w:sz w:val="22"/>
              </w:rPr>
              <w:t xml:space="preserve">HADS </w:t>
            </w:r>
            <w:proofErr w:type="spellStart"/>
            <w:r w:rsidRPr="006A7336">
              <w:rPr>
                <w:rFonts w:ascii="Segoe UI" w:hAnsi="Segoe UI" w:cs="Segoe UI"/>
                <w:sz w:val="22"/>
              </w:rPr>
              <w:t>Depression</w:t>
            </w:r>
            <w:proofErr w:type="spellEnd"/>
            <w:r w:rsidRPr="006A7336">
              <w:rPr>
                <w:rFonts w:ascii="Segoe UI" w:hAnsi="Segoe UI" w:cs="Segoe UI"/>
                <w:sz w:val="22"/>
              </w:rPr>
              <w:t xml:space="preserve"> (</w:t>
            </w:r>
            <w:proofErr w:type="spellStart"/>
            <w:r w:rsidRPr="006A7336">
              <w:rPr>
                <w:rFonts w:ascii="Segoe UI" w:hAnsi="Segoe UI" w:cs="Segoe UI"/>
                <w:sz w:val="22"/>
              </w:rPr>
              <w:t>score</w:t>
            </w:r>
            <w:proofErr w:type="spellEnd"/>
            <w:r w:rsidRPr="006A7336">
              <w:rPr>
                <w:rFonts w:ascii="Segoe UI" w:hAnsi="Segoe UI" w:cs="Segoe UI"/>
                <w:sz w:val="22"/>
              </w:rPr>
              <w:t>)</w:t>
            </w:r>
          </w:p>
        </w:tc>
        <w:tc>
          <w:tcPr>
            <w:tcW w:w="1985" w:type="dxa"/>
            <w:vAlign w:val="center"/>
          </w:tcPr>
          <w:p w14:paraId="3F2FB103" w14:textId="77777777" w:rsidR="003F4CA5" w:rsidRPr="006A7336" w:rsidRDefault="003F4CA5" w:rsidP="00A96F13">
            <w:pPr>
              <w:rPr>
                <w:rFonts w:ascii="Segoe UI" w:hAnsi="Segoe UI" w:cs="Segoe UI"/>
                <w:b/>
                <w:bCs/>
                <w:sz w:val="22"/>
              </w:rPr>
            </w:pPr>
            <w:r w:rsidRPr="006A7336">
              <w:rPr>
                <w:rFonts w:ascii="Segoe UI" w:hAnsi="Segoe UI" w:cs="Segoe UI"/>
                <w:sz w:val="22"/>
              </w:rPr>
              <w:t>1.14 (0.98-1.34)</w:t>
            </w:r>
          </w:p>
        </w:tc>
        <w:tc>
          <w:tcPr>
            <w:tcW w:w="992" w:type="dxa"/>
            <w:vAlign w:val="center"/>
          </w:tcPr>
          <w:p w14:paraId="23A68E9E" w14:textId="77777777" w:rsidR="003F4CA5" w:rsidRPr="006A7336" w:rsidRDefault="003F4CA5" w:rsidP="00A96F13">
            <w:pPr>
              <w:rPr>
                <w:rFonts w:ascii="Segoe UI" w:hAnsi="Segoe UI" w:cs="Segoe UI"/>
                <w:b/>
                <w:bCs/>
                <w:sz w:val="22"/>
              </w:rPr>
            </w:pPr>
            <w:r w:rsidRPr="006A7336">
              <w:rPr>
                <w:rFonts w:ascii="Segoe UI" w:hAnsi="Segoe UI" w:cs="Segoe UI"/>
                <w:sz w:val="22"/>
              </w:rPr>
              <w:t>0.092</w:t>
            </w:r>
          </w:p>
        </w:tc>
        <w:tc>
          <w:tcPr>
            <w:tcW w:w="2018" w:type="dxa"/>
            <w:vAlign w:val="center"/>
          </w:tcPr>
          <w:p w14:paraId="47BA04A9" w14:textId="77777777" w:rsidR="003F4CA5" w:rsidRPr="006A7336" w:rsidRDefault="003F4CA5" w:rsidP="00A96F13">
            <w:pPr>
              <w:rPr>
                <w:rFonts w:ascii="Segoe UI" w:hAnsi="Segoe UI" w:cs="Segoe UI"/>
                <w:sz w:val="22"/>
              </w:rPr>
            </w:pPr>
            <w:r w:rsidRPr="006A7336">
              <w:rPr>
                <w:rFonts w:ascii="Segoe UI" w:hAnsi="Segoe UI" w:cs="Segoe UI"/>
                <w:sz w:val="22"/>
              </w:rPr>
              <w:t>1.14 (0.98-1.33)</w:t>
            </w:r>
          </w:p>
        </w:tc>
        <w:tc>
          <w:tcPr>
            <w:tcW w:w="992" w:type="dxa"/>
            <w:vAlign w:val="center"/>
          </w:tcPr>
          <w:p w14:paraId="4651A940" w14:textId="77777777" w:rsidR="003F4CA5" w:rsidRPr="006A7336" w:rsidRDefault="003F4CA5" w:rsidP="00A96F13">
            <w:pPr>
              <w:rPr>
                <w:rFonts w:ascii="Segoe UI" w:hAnsi="Segoe UI" w:cs="Segoe UI"/>
                <w:sz w:val="22"/>
              </w:rPr>
            </w:pPr>
            <w:r w:rsidRPr="006A7336">
              <w:rPr>
                <w:rFonts w:ascii="Segoe UI" w:hAnsi="Segoe UI" w:cs="Segoe UI"/>
                <w:sz w:val="22"/>
              </w:rPr>
              <w:t>0.090</w:t>
            </w:r>
          </w:p>
        </w:tc>
      </w:tr>
    </w:tbl>
    <w:p w14:paraId="5F27B348" w14:textId="77777777" w:rsidR="000F6692" w:rsidRPr="006A7336" w:rsidRDefault="000F6692" w:rsidP="00BA1DF3">
      <w:pPr>
        <w:pStyle w:val="Podpistabeli"/>
        <w:spacing w:line="360" w:lineRule="auto"/>
        <w:rPr>
          <w:rFonts w:ascii="Segoe UI" w:hAnsi="Segoe UI" w:cs="Segoe UI"/>
          <w:sz w:val="22"/>
          <w:lang w:val="en-US"/>
        </w:rPr>
      </w:pPr>
      <w:r w:rsidRPr="006A7336">
        <w:rPr>
          <w:rFonts w:ascii="Segoe UI" w:hAnsi="Segoe UI" w:cs="Segoe UI"/>
          <w:sz w:val="22"/>
          <w:lang w:val="en-GB"/>
        </w:rPr>
        <w:t>OR – odds ratio; BMI – Body Mass Index; NYHA- New York Heart Association classification; TASQ - The Toronto Aortic Stenosis Quality of Life Questionnaire, HADS - Hospital Anxiety and Depression Scale</w:t>
      </w:r>
    </w:p>
    <w:p w14:paraId="1115C779" w14:textId="77777777" w:rsidR="00ED2005" w:rsidRPr="006A7336" w:rsidRDefault="00ED2005" w:rsidP="00BA1DF3">
      <w:pPr>
        <w:spacing w:line="360" w:lineRule="auto"/>
        <w:ind w:firstLine="426"/>
        <w:rPr>
          <w:rFonts w:ascii="Segoe UI" w:hAnsi="Segoe UI" w:cs="Segoe UI"/>
          <w:sz w:val="22"/>
          <w:lang w:val="en-US"/>
        </w:rPr>
      </w:pPr>
    </w:p>
    <w:p w14:paraId="0B92192B" w14:textId="77777777" w:rsidR="00ED2005" w:rsidRPr="006A7336" w:rsidRDefault="00AC766C" w:rsidP="00BA1DF3">
      <w:pPr>
        <w:spacing w:line="360" w:lineRule="auto"/>
        <w:ind w:firstLine="426"/>
        <w:rPr>
          <w:rFonts w:ascii="Segoe UI" w:hAnsi="Segoe UI" w:cs="Segoe UI"/>
          <w:sz w:val="22"/>
          <w:lang w:val="en-US"/>
        </w:rPr>
      </w:pPr>
      <w:r w:rsidRPr="006A7336">
        <w:rPr>
          <w:rFonts w:ascii="Segoe UI" w:hAnsi="Segoe UI" w:cs="Segoe UI"/>
          <w:sz w:val="22"/>
          <w:lang w:val="en-US"/>
        </w:rPr>
        <w:t xml:space="preserve">The linear relationship between log-odds (logit) and the explanatory variables (predictors of frailty) takes the form: </w:t>
      </w:r>
      <w:r w:rsidR="003F4CA5" w:rsidRPr="006A7336">
        <w:rPr>
          <w:rFonts w:ascii="Segoe UI" w:hAnsi="Segoe UI" w:cs="Segoe UI"/>
          <w:sz w:val="22"/>
          <w:lang w:val="en-US"/>
        </w:rPr>
        <w:t xml:space="preserve"> </w:t>
      </w:r>
      <w:r w:rsidR="00ED2005" w:rsidRPr="006A7336">
        <w:rPr>
          <w:rFonts w:ascii="Segoe UI" w:hAnsi="Segoe UI" w:cs="Segoe UI"/>
          <w:sz w:val="22"/>
          <w:lang w:val="en-US"/>
        </w:rPr>
        <w:t>logit(p) = -3.96 + 1.12 x (NYHA Class) + 0.34 x (TASQ Emotional impact) +1.52 x (Unhealthy lifestyle)</w:t>
      </w:r>
    </w:p>
    <w:p w14:paraId="7EDC408A" w14:textId="77777777" w:rsidR="00AC766C" w:rsidRPr="006A7336" w:rsidRDefault="00AC766C" w:rsidP="00BA1DF3">
      <w:pPr>
        <w:spacing w:line="360" w:lineRule="auto"/>
        <w:ind w:firstLine="426"/>
        <w:rPr>
          <w:rFonts w:ascii="Segoe UI" w:hAnsi="Segoe UI" w:cs="Segoe UI"/>
          <w:sz w:val="22"/>
          <w:szCs w:val="20"/>
          <w:lang w:val="en-US"/>
        </w:rPr>
      </w:pPr>
      <w:r w:rsidRPr="006A7336">
        <w:rPr>
          <w:rFonts w:ascii="Segoe UI" w:hAnsi="Segoe UI" w:cs="Segoe UI"/>
          <w:sz w:val="22"/>
          <w:szCs w:val="20"/>
          <w:lang w:val="en-US"/>
        </w:rPr>
        <w:t>The fit of the model to the actual values was assessed using the Hosmer-</w:t>
      </w:r>
      <w:proofErr w:type="spellStart"/>
      <w:r w:rsidRPr="006A7336">
        <w:rPr>
          <w:rFonts w:ascii="Segoe UI" w:hAnsi="Segoe UI" w:cs="Segoe UI"/>
          <w:sz w:val="22"/>
          <w:szCs w:val="20"/>
          <w:lang w:val="en-US"/>
        </w:rPr>
        <w:t>Lemeshow</w:t>
      </w:r>
      <w:proofErr w:type="spellEnd"/>
      <w:r w:rsidRPr="006A7336">
        <w:rPr>
          <w:rFonts w:ascii="Segoe UI" w:hAnsi="Segoe UI" w:cs="Segoe UI"/>
          <w:sz w:val="22"/>
          <w:szCs w:val="20"/>
          <w:lang w:val="en-US"/>
        </w:rPr>
        <w:t xml:space="preserve"> test. The result of the test (HL = 6.61, p = 0.358) means that the model reflects well the relationships between the explanatory variables and the logit function. </w:t>
      </w:r>
    </w:p>
    <w:p w14:paraId="62A4D7A1" w14:textId="77777777" w:rsidR="00ED2005" w:rsidRPr="006A7336" w:rsidRDefault="00AC766C" w:rsidP="00BA1DF3">
      <w:pPr>
        <w:spacing w:line="360" w:lineRule="auto"/>
        <w:ind w:firstLine="426"/>
        <w:rPr>
          <w:rFonts w:ascii="Segoe UI" w:hAnsi="Segoe UI" w:cs="Segoe UI"/>
          <w:sz w:val="22"/>
          <w:szCs w:val="20"/>
          <w:lang w:val="en-US"/>
        </w:rPr>
      </w:pPr>
      <w:r w:rsidRPr="006A7336">
        <w:rPr>
          <w:rFonts w:ascii="Segoe UI" w:hAnsi="Segoe UI" w:cs="Segoe UI"/>
          <w:sz w:val="22"/>
          <w:szCs w:val="20"/>
          <w:lang w:val="en-US"/>
        </w:rPr>
        <w:t>In the model with interactions, the probability of frailty increases with an unhealthy lifestyle and with an increase in NYHA class and but the interaction of the impact of emotions with social constraints was also found to be significant. The model with interaction took the form:</w:t>
      </w:r>
      <w:r w:rsidR="00ED2005" w:rsidRPr="006A7336">
        <w:rPr>
          <w:rFonts w:ascii="Segoe UI" w:hAnsi="Segoe UI" w:cs="Segoe UI"/>
          <w:sz w:val="22"/>
          <w:szCs w:val="20"/>
          <w:lang w:val="en-US"/>
        </w:rPr>
        <w:t xml:space="preserve"> logit(</w:t>
      </w:r>
      <w:r w:rsidR="00ED2005" w:rsidRPr="006A7336">
        <w:rPr>
          <w:rFonts w:ascii="Segoe UI" w:hAnsi="Segoe UI" w:cs="Segoe UI"/>
          <w:i/>
          <w:iCs/>
          <w:sz w:val="22"/>
          <w:szCs w:val="20"/>
          <w:lang w:val="en-US"/>
        </w:rPr>
        <w:t>p</w:t>
      </w:r>
      <w:r w:rsidR="00ED2005" w:rsidRPr="006A7336">
        <w:rPr>
          <w:rFonts w:ascii="Segoe UI" w:hAnsi="Segoe UI" w:cs="Segoe UI"/>
          <w:sz w:val="22"/>
          <w:szCs w:val="20"/>
          <w:lang w:val="en-US"/>
        </w:rPr>
        <w:t>) = -3.28 + 2.01 x (</w:t>
      </w:r>
      <w:r w:rsidR="00ED2005" w:rsidRPr="006A7336">
        <w:rPr>
          <w:rFonts w:ascii="Segoe UI" w:hAnsi="Segoe UI" w:cs="Segoe UI"/>
          <w:i/>
          <w:iCs/>
          <w:sz w:val="22"/>
          <w:szCs w:val="20"/>
          <w:lang w:val="en-US"/>
        </w:rPr>
        <w:t>Unhealthy lifestyle</w:t>
      </w:r>
      <w:r w:rsidR="00ED2005" w:rsidRPr="006A7336">
        <w:rPr>
          <w:rFonts w:ascii="Segoe UI" w:hAnsi="Segoe UI" w:cs="Segoe UI"/>
          <w:sz w:val="22"/>
          <w:szCs w:val="20"/>
          <w:lang w:val="en-US"/>
        </w:rPr>
        <w:t>) + 1.13 x (</w:t>
      </w:r>
      <w:r w:rsidR="00ED2005" w:rsidRPr="006A7336">
        <w:rPr>
          <w:rFonts w:ascii="Segoe UI" w:hAnsi="Segoe UI" w:cs="Segoe UI"/>
          <w:i/>
          <w:iCs/>
          <w:sz w:val="22"/>
          <w:szCs w:val="20"/>
          <w:lang w:val="en-US"/>
        </w:rPr>
        <w:t>NYHA Class</w:t>
      </w:r>
      <w:r w:rsidR="00ED2005" w:rsidRPr="006A7336">
        <w:rPr>
          <w:rFonts w:ascii="Segoe UI" w:hAnsi="Segoe UI" w:cs="Segoe UI"/>
          <w:sz w:val="22"/>
          <w:szCs w:val="20"/>
          <w:lang w:val="en-US"/>
        </w:rPr>
        <w:t>) + 0.032 x (</w:t>
      </w:r>
      <w:r w:rsidR="00ED2005" w:rsidRPr="006A7336">
        <w:rPr>
          <w:rFonts w:ascii="Segoe UI" w:hAnsi="Segoe UI" w:cs="Segoe UI"/>
          <w:i/>
          <w:iCs/>
          <w:sz w:val="22"/>
          <w:szCs w:val="20"/>
          <w:lang w:val="en-US"/>
        </w:rPr>
        <w:t>TASQ</w:t>
      </w:r>
      <w:r w:rsidR="00ED2005" w:rsidRPr="006A7336">
        <w:rPr>
          <w:rFonts w:ascii="Segoe UI" w:hAnsi="Segoe UI" w:cs="Segoe UI"/>
          <w:sz w:val="22"/>
          <w:szCs w:val="20"/>
          <w:lang w:val="en-US"/>
        </w:rPr>
        <w:t xml:space="preserve"> </w:t>
      </w:r>
      <w:r w:rsidR="00ED2005" w:rsidRPr="006A7336">
        <w:rPr>
          <w:rFonts w:ascii="Segoe UI" w:hAnsi="Segoe UI" w:cs="Segoe UI"/>
          <w:i/>
          <w:iCs/>
          <w:sz w:val="22"/>
          <w:szCs w:val="20"/>
          <w:lang w:val="en-US"/>
        </w:rPr>
        <w:t>Emotional impact</w:t>
      </w:r>
      <w:r w:rsidR="00ED2005" w:rsidRPr="006A7336">
        <w:rPr>
          <w:rFonts w:ascii="Segoe UI" w:hAnsi="Segoe UI" w:cs="Segoe UI"/>
          <w:sz w:val="22"/>
          <w:szCs w:val="20"/>
          <w:lang w:val="en-US"/>
        </w:rPr>
        <w:t xml:space="preserve"> x </w:t>
      </w:r>
      <w:r w:rsidR="00ED2005" w:rsidRPr="006A7336">
        <w:rPr>
          <w:rFonts w:ascii="Segoe UI" w:hAnsi="Segoe UI" w:cs="Segoe UI"/>
          <w:i/>
          <w:iCs/>
          <w:sz w:val="22"/>
          <w:szCs w:val="20"/>
          <w:lang w:val="en-US"/>
        </w:rPr>
        <w:t>TASQ</w:t>
      </w:r>
      <w:r w:rsidR="00ED2005" w:rsidRPr="006A7336">
        <w:rPr>
          <w:rFonts w:ascii="Segoe UI" w:hAnsi="Segoe UI" w:cs="Segoe UI"/>
          <w:sz w:val="22"/>
          <w:szCs w:val="20"/>
          <w:lang w:val="en-US"/>
        </w:rPr>
        <w:t xml:space="preserve"> </w:t>
      </w:r>
      <w:r w:rsidR="00ED2005" w:rsidRPr="006A7336">
        <w:rPr>
          <w:rFonts w:ascii="Segoe UI" w:hAnsi="Segoe UI" w:cs="Segoe UI"/>
          <w:i/>
          <w:iCs/>
          <w:sz w:val="22"/>
          <w:szCs w:val="20"/>
          <w:lang w:val="en-US"/>
        </w:rPr>
        <w:t>Social limitations</w:t>
      </w:r>
      <w:r w:rsidR="00ED2005" w:rsidRPr="006A7336">
        <w:rPr>
          <w:rFonts w:ascii="Segoe UI" w:hAnsi="Segoe UI" w:cs="Segoe UI"/>
          <w:sz w:val="22"/>
          <w:szCs w:val="20"/>
          <w:lang w:val="en-US"/>
        </w:rPr>
        <w:t>)</w:t>
      </w:r>
    </w:p>
    <w:p w14:paraId="68F13219" w14:textId="77777777" w:rsidR="00AC766C" w:rsidRPr="006A7336" w:rsidRDefault="00AC766C" w:rsidP="00BA1DF3">
      <w:pPr>
        <w:spacing w:after="0" w:line="360" w:lineRule="auto"/>
        <w:ind w:firstLine="708"/>
        <w:rPr>
          <w:rFonts w:ascii="Segoe UI" w:hAnsi="Segoe UI" w:cs="Segoe UI"/>
          <w:sz w:val="22"/>
          <w:lang w:val="en-US"/>
        </w:rPr>
      </w:pPr>
      <w:r w:rsidRPr="006A7336">
        <w:rPr>
          <w:rFonts w:ascii="Segoe UI" w:hAnsi="Segoe UI" w:cs="Segoe UI"/>
          <w:sz w:val="22"/>
          <w:lang w:val="en-US"/>
        </w:rPr>
        <w:t xml:space="preserve">The fit of the model containing the interaction was found to be significantly better. The test result (HL = 3.88, p = 0.793) means that the model reflects the relationship between the explanatory variables and the logit function very well. The model with the interaction also has a larger area under the ROC curve (fig. </w:t>
      </w:r>
      <w:r w:rsidR="00ED2005" w:rsidRPr="006A7336">
        <w:rPr>
          <w:rFonts w:ascii="Segoe UI" w:hAnsi="Segoe UI" w:cs="Segoe UI"/>
          <w:sz w:val="22"/>
          <w:lang w:val="en-US"/>
        </w:rPr>
        <w:t>2</w:t>
      </w:r>
      <w:r w:rsidRPr="006A7336">
        <w:rPr>
          <w:rFonts w:ascii="Segoe UI" w:hAnsi="Segoe UI" w:cs="Segoe UI"/>
          <w:sz w:val="22"/>
          <w:lang w:val="en-US"/>
        </w:rPr>
        <w:t xml:space="preserve">). </w:t>
      </w:r>
    </w:p>
    <w:p w14:paraId="081BD788" w14:textId="77777777" w:rsidR="003F4CA5" w:rsidRPr="006A7336" w:rsidRDefault="00AC766C" w:rsidP="00BA1DF3">
      <w:pPr>
        <w:spacing w:after="0" w:line="360" w:lineRule="auto"/>
        <w:ind w:firstLine="708"/>
        <w:rPr>
          <w:rFonts w:ascii="Segoe UI" w:hAnsi="Segoe UI" w:cs="Segoe UI"/>
          <w:noProof/>
          <w:sz w:val="22"/>
          <w:lang w:val="en-US"/>
        </w:rPr>
      </w:pPr>
      <w:r w:rsidRPr="006A7336">
        <w:rPr>
          <w:rFonts w:ascii="Segoe UI" w:hAnsi="Segoe UI" w:cs="Segoe UI"/>
          <w:sz w:val="22"/>
          <w:lang w:val="en-US"/>
        </w:rPr>
        <w:lastRenderedPageBreak/>
        <w:t xml:space="preserve"> </w:t>
      </w:r>
      <w:r w:rsidR="00DD6B8B">
        <w:rPr>
          <w:rFonts w:ascii="Segoe UI" w:hAnsi="Segoe UI" w:cs="Segoe UI"/>
          <w:noProof/>
          <w:sz w:val="22"/>
          <w:lang w:eastAsia="pl-PL"/>
        </w:rPr>
        <w:pict w14:anchorId="3AD04D09">
          <v:shape id="_x0000_i1026" type="#_x0000_t75" alt="Obraz zawierający tekst, linia, diagram, Wykres  Opis wygenerowany automatycznie" style="width:202pt;height:200.65pt;visibility:visible">
            <v:imagedata r:id="rId9" o:title="Obraz zawierający tekst, linia, diagram, Wykres  Opis wygenerowany automatycznie"/>
          </v:shape>
        </w:pict>
      </w:r>
      <w:r w:rsidR="003F4CA5" w:rsidRPr="006A7336">
        <w:rPr>
          <w:rFonts w:ascii="Segoe UI" w:hAnsi="Segoe UI" w:cs="Segoe UI"/>
          <w:noProof/>
          <w:sz w:val="22"/>
          <w:lang w:val="en-US"/>
        </w:rPr>
        <w:t xml:space="preserve">   </w:t>
      </w:r>
      <w:r w:rsidR="00DD6B8B">
        <w:rPr>
          <w:rFonts w:ascii="Segoe UI" w:hAnsi="Segoe UI" w:cs="Segoe UI"/>
          <w:noProof/>
          <w:sz w:val="22"/>
          <w:lang w:eastAsia="pl-PL"/>
        </w:rPr>
        <w:pict w14:anchorId="64282750">
          <v:shape id="_x0000_i1027" type="#_x0000_t75" alt="Obraz zawierający tekst, linia, diagram, Wykres  Opis wygenerowany automatycznie" style="width:198pt;height:198.65pt;visibility:visible">
            <v:imagedata r:id="rId10" o:title="Obraz zawierający tekst, linia, diagram, Wykres  Opis wygenerowany automatycznie"/>
          </v:shape>
        </w:pict>
      </w:r>
    </w:p>
    <w:p w14:paraId="2F2825D8" w14:textId="77777777" w:rsidR="00AC766C" w:rsidRPr="006A7336" w:rsidRDefault="00AC766C" w:rsidP="00BA1DF3">
      <w:pPr>
        <w:spacing w:after="0" w:line="360" w:lineRule="auto"/>
        <w:rPr>
          <w:rFonts w:ascii="Segoe UI" w:hAnsi="Segoe UI" w:cs="Segoe UI"/>
          <w:sz w:val="22"/>
          <w:lang w:val="en-US"/>
        </w:rPr>
      </w:pPr>
      <w:r w:rsidRPr="006A7336">
        <w:rPr>
          <w:rFonts w:ascii="Segoe UI" w:hAnsi="Segoe UI" w:cs="Segoe UI"/>
          <w:sz w:val="22"/>
          <w:lang w:val="en-US"/>
        </w:rPr>
        <w:t xml:space="preserve">Fig. </w:t>
      </w:r>
      <w:r w:rsidR="00ED2005" w:rsidRPr="006A7336">
        <w:rPr>
          <w:rFonts w:ascii="Segoe UI" w:hAnsi="Segoe UI" w:cs="Segoe UI"/>
          <w:sz w:val="22"/>
          <w:lang w:val="en-US"/>
        </w:rPr>
        <w:t>2</w:t>
      </w:r>
      <w:r w:rsidRPr="006A7336">
        <w:rPr>
          <w:rFonts w:ascii="Segoe UI" w:hAnsi="Segoe UI" w:cs="Segoe UI"/>
          <w:sz w:val="22"/>
          <w:lang w:val="en-US"/>
        </w:rPr>
        <w:t>. ROC curves for predicting frailty syndrome based on the logit model without interaction (blue line) and with interaction (red line).</w:t>
      </w:r>
    </w:p>
    <w:p w14:paraId="3240941B" w14:textId="77777777" w:rsidR="00AC766C" w:rsidRPr="006A7336" w:rsidRDefault="00AC766C" w:rsidP="00BA1DF3">
      <w:pPr>
        <w:spacing w:after="0" w:line="360" w:lineRule="auto"/>
        <w:ind w:firstLine="708"/>
        <w:rPr>
          <w:rFonts w:ascii="Segoe UI" w:hAnsi="Segoe UI" w:cs="Segoe UI"/>
          <w:sz w:val="22"/>
          <w:lang w:val="en-US"/>
        </w:rPr>
      </w:pPr>
    </w:p>
    <w:p w14:paraId="727E91F8" w14:textId="77777777" w:rsidR="00AC766C" w:rsidRPr="006A7336" w:rsidRDefault="00AC766C" w:rsidP="00BA1DF3">
      <w:pPr>
        <w:spacing w:after="0" w:line="360" w:lineRule="auto"/>
        <w:ind w:firstLine="708"/>
        <w:rPr>
          <w:rFonts w:ascii="Segoe UI" w:hAnsi="Segoe UI" w:cs="Segoe UI"/>
          <w:sz w:val="22"/>
          <w:lang w:val="en-US"/>
        </w:rPr>
      </w:pPr>
      <w:r w:rsidRPr="006A7336">
        <w:rPr>
          <w:rFonts w:ascii="Segoe UI" w:hAnsi="Segoe UI" w:cs="Segoe UI"/>
          <w:sz w:val="22"/>
          <w:lang w:val="en-US"/>
        </w:rPr>
        <w:t xml:space="preserve">The results of assessing the strength and direction of the relationship between variables in the form of Spearman's rank correlation coefficient are shown in </w:t>
      </w:r>
      <w:r w:rsidR="002F70A3" w:rsidRPr="006A7336">
        <w:rPr>
          <w:rFonts w:ascii="Segoe UI" w:hAnsi="Segoe UI" w:cs="Segoe UI"/>
          <w:sz w:val="22"/>
          <w:lang w:val="en-US"/>
        </w:rPr>
        <w:t>Supplementary Table</w:t>
      </w:r>
      <w:r w:rsidR="00AD0C8A" w:rsidRPr="006A7336">
        <w:rPr>
          <w:rFonts w:ascii="Segoe UI" w:hAnsi="Segoe UI" w:cs="Segoe UI"/>
          <w:sz w:val="22"/>
          <w:lang w:val="en-US"/>
        </w:rPr>
        <w:t xml:space="preserve"> S</w:t>
      </w:r>
      <w:r w:rsidR="002F70A3" w:rsidRPr="006A7336">
        <w:rPr>
          <w:rFonts w:ascii="Segoe UI" w:hAnsi="Segoe UI" w:cs="Segoe UI"/>
          <w:sz w:val="22"/>
          <w:lang w:val="en-US"/>
        </w:rPr>
        <w:t>4</w:t>
      </w:r>
      <w:r w:rsidRPr="006A7336">
        <w:rPr>
          <w:rFonts w:ascii="Segoe UI" w:hAnsi="Segoe UI" w:cs="Segoe UI"/>
          <w:sz w:val="22"/>
          <w:lang w:val="en-US"/>
        </w:rPr>
        <w:t xml:space="preserve">. In the </w:t>
      </w:r>
      <w:proofErr w:type="spellStart"/>
      <w:r w:rsidRPr="006A7336">
        <w:rPr>
          <w:rFonts w:ascii="Segoe UI" w:hAnsi="Segoe UI" w:cs="Segoe UI"/>
          <w:sz w:val="22"/>
          <w:lang w:val="en-US"/>
        </w:rPr>
        <w:t>analysed</w:t>
      </w:r>
      <w:proofErr w:type="spellEnd"/>
      <w:r w:rsidRPr="006A7336">
        <w:rPr>
          <w:rFonts w:ascii="Segoe UI" w:hAnsi="Segoe UI" w:cs="Segoe UI"/>
          <w:sz w:val="22"/>
          <w:lang w:val="en-US"/>
        </w:rPr>
        <w:t xml:space="preserve"> group of patients, the TASQ Total cardiac problems score (rho = 0.226) and its domains Physical limitations (rho = 0.199) and Social limitations (rho = 0.185), as well as HADS Anxiety (rho = 0.415) and HADS Depression (rho = 0.317) were positively correlated with the TFI (score). With the physical domain of the TFI, positive correlations were found with </w:t>
      </w:r>
      <w:proofErr w:type="spellStart"/>
      <w:r w:rsidRPr="006A7336">
        <w:rPr>
          <w:rFonts w:ascii="Segoe UI" w:hAnsi="Segoe UI" w:cs="Segoe UI"/>
          <w:sz w:val="22"/>
          <w:lang w:val="en-US"/>
        </w:rPr>
        <w:t>EuroSCORE</w:t>
      </w:r>
      <w:proofErr w:type="spellEnd"/>
      <w:r w:rsidRPr="006A7336">
        <w:rPr>
          <w:rFonts w:ascii="Segoe UI" w:hAnsi="Segoe UI" w:cs="Segoe UI"/>
          <w:sz w:val="22"/>
          <w:lang w:val="en-US"/>
        </w:rPr>
        <w:t xml:space="preserve"> II (rho = 0.258), TASQ Total (rho = 0.204), TASQ Physical impact (rho = 0.203), TASQ Physical limitations (rho = 0.203), TASQ Social limitations (rho = 0.197) and HADS Anxiety (rho = 0.243) and HADS Depression (rho = 0.216). With the mental domain of the TFI, a positive correlation was found with the TASQ Emotional impact and expectations (rho = 0.247) and HADS Anxiety (rho = 0.508) and HADS Depression (rho = 0.419).</w:t>
      </w:r>
    </w:p>
    <w:p w14:paraId="7CB2BFD7" w14:textId="77777777" w:rsidR="00AC766C" w:rsidRPr="006A7336" w:rsidRDefault="00AC766C" w:rsidP="00BA1DF3">
      <w:pPr>
        <w:spacing w:after="0" w:line="360" w:lineRule="auto"/>
        <w:ind w:firstLine="708"/>
        <w:rPr>
          <w:rFonts w:ascii="Segoe UI" w:hAnsi="Segoe UI" w:cs="Segoe UI"/>
          <w:sz w:val="22"/>
          <w:lang w:val="en-US"/>
        </w:rPr>
      </w:pPr>
    </w:p>
    <w:p w14:paraId="707698E8" w14:textId="77777777" w:rsidR="00DE4FDE" w:rsidRPr="006A7336" w:rsidRDefault="00DE4FDE" w:rsidP="00BA1DF3">
      <w:pPr>
        <w:spacing w:line="360" w:lineRule="auto"/>
        <w:rPr>
          <w:rFonts w:ascii="Segoe UI" w:hAnsi="Segoe UI" w:cs="Segoe UI"/>
          <w:b/>
          <w:sz w:val="22"/>
          <w:lang w:val="en-US"/>
        </w:rPr>
      </w:pPr>
      <w:r w:rsidRPr="006A7336">
        <w:rPr>
          <w:rFonts w:ascii="Segoe UI" w:hAnsi="Segoe UI" w:cs="Segoe UI"/>
          <w:b/>
          <w:sz w:val="22"/>
          <w:lang w:val="en-US"/>
        </w:rPr>
        <w:t>Discussion</w:t>
      </w:r>
    </w:p>
    <w:p w14:paraId="10D4FB96" w14:textId="77777777" w:rsidR="00AC766C"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Our study has provided important information on the frailty syndrome in Polish patients with severe </w:t>
      </w:r>
      <w:r w:rsidR="00FF0727" w:rsidRPr="006A7336">
        <w:rPr>
          <w:rFonts w:ascii="Segoe UI" w:hAnsi="Segoe UI" w:cs="Segoe UI"/>
          <w:sz w:val="22"/>
          <w:lang w:val="en-US"/>
        </w:rPr>
        <w:t>AS</w:t>
      </w:r>
      <w:r w:rsidRPr="006A7336">
        <w:rPr>
          <w:rFonts w:ascii="Segoe UI" w:hAnsi="Segoe UI" w:cs="Segoe UI"/>
          <w:sz w:val="22"/>
          <w:lang w:val="en-US"/>
        </w:rPr>
        <w:t xml:space="preserve"> qualified for TAVI. These findings highlight key sociodemographic and clinical factors influencing the prevalence of frailty and indicate potential areas for pre- and post-operative interventions.</w:t>
      </w:r>
      <w:r w:rsidR="00DD0B94" w:rsidRPr="006A7336">
        <w:rPr>
          <w:rFonts w:ascii="Segoe UI" w:hAnsi="Segoe UI" w:cs="Segoe UI"/>
          <w:sz w:val="22"/>
          <w:lang w:val="en-US"/>
        </w:rPr>
        <w:t xml:space="preserve"> Importantly, the present study was not designed to evaluate prognostic or postprocedural outcomes after TAVI, but rather to characterize </w:t>
      </w:r>
      <w:r w:rsidR="00DD0B94" w:rsidRPr="006A7336">
        <w:rPr>
          <w:rFonts w:ascii="Segoe UI" w:hAnsi="Segoe UI" w:cs="Segoe UI"/>
          <w:sz w:val="22"/>
          <w:lang w:val="en-US"/>
        </w:rPr>
        <w:lastRenderedPageBreak/>
        <w:t>baseline multidimensional frailty and its psychosocial correlates in patients referred for intervention.</w:t>
      </w:r>
    </w:p>
    <w:p w14:paraId="55C47458" w14:textId="097346D4" w:rsidR="000A4595"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According to the results of our study, 82.3% of patients showed symptoms of frailty syndrome. </w:t>
      </w:r>
      <w:r w:rsidR="000A4595" w:rsidRPr="006A7336">
        <w:rPr>
          <w:rFonts w:ascii="Segoe UI" w:hAnsi="Segoe UI" w:cs="Segoe UI"/>
          <w:sz w:val="22"/>
          <w:lang w:val="en-US"/>
        </w:rPr>
        <w:t xml:space="preserve">This result is consistent with reports by other authors, who indicate that frailty is a common problem in the elderly population of patients with severe AS </w:t>
      </w:r>
      <w:r w:rsidR="000A459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{"citationID":"0u4XdWt8","properties":{"formattedCitation":"[4]","plainCitation":"[4]","noteIndex":0},"citationItems":[{"id":2354,"uris":["http://zotero.org/users/local/mYpTJneC/items/S5DKNJWU"],"itemData":{"id":2354,"type":"article-journal","container-title":"European Journal of Preventive Cardiology","DOI":"10.1093/eurjpc/zwad304","ISSN":"2047-4881","journalAbbreviation":"Eur J Prev Cardiol","language":"eng","page":"zwad304","PMID":"37804173","source":"PubMed","title":"Preinterventional frailty assessment in patients scheduled for cardiac surgery or transcatheter aortic valve implantation: a consensus statement of the European Association for Cardio-Thoracic Surgery (EACTS) and the European Association of Preventive Cardiology (EAPC) of the European Society of Cardiology (ESC)","title-short":"Preinterventional frailty assessment in patients scheduled for cardiac surgery or transcatheter aortic valve implantation","author":[{"family":"Niebauer","given":"Josef"},{"family":"Bäck","given":"Caroline"},{"family":"Bischoff-Ferrari","given":"Heike A."},{"family":"Dehbi","given":"Hakim-Moulay"},{"family":"Szekely","given":"Andrea"},{"family":"Völler","given":"Heinz"},{"family":"Sündermann","given":"Simon H."}],"issued":{"date-parts":[["2023",10,7]]}}}],"schema":"https://github.com/citation-style-language/schema/raw/master/csl-citation.json"} </w:instrText>
      </w:r>
      <w:r w:rsidR="000A4595" w:rsidRPr="006A7336">
        <w:rPr>
          <w:rFonts w:ascii="Segoe UI" w:hAnsi="Segoe UI" w:cs="Segoe UI"/>
          <w:sz w:val="22"/>
        </w:rPr>
        <w:fldChar w:fldCharType="separate"/>
      </w:r>
      <w:r w:rsidR="000A4595" w:rsidRPr="006A7336">
        <w:rPr>
          <w:rFonts w:ascii="Segoe UI" w:hAnsi="Segoe UI" w:cs="Segoe UI"/>
          <w:sz w:val="22"/>
          <w:lang w:val="en-US"/>
        </w:rPr>
        <w:t>[4]</w:t>
      </w:r>
      <w:r w:rsidR="000A4595" w:rsidRPr="006A7336">
        <w:rPr>
          <w:rFonts w:ascii="Segoe UI" w:hAnsi="Segoe UI" w:cs="Segoe UI"/>
          <w:sz w:val="22"/>
        </w:rPr>
        <w:fldChar w:fldCharType="end"/>
      </w:r>
      <w:r w:rsidR="000A4595" w:rsidRPr="006A7336">
        <w:rPr>
          <w:rFonts w:ascii="Segoe UI" w:hAnsi="Segoe UI" w:cs="Segoe UI"/>
          <w:sz w:val="22"/>
          <w:lang w:val="en-US"/>
        </w:rPr>
        <w:t xml:space="preserve">. Bertschi et al </w:t>
      </w:r>
      <w:r w:rsidR="000A459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{"citationID":"8yUweZF2","properties":{"formattedCitation":"[22]","plainCitation":"[22]","noteIndex":0},"citationItems":[{"id":2169,"uris":["http://zotero.org/users/local/mYpTJneC/items/HH4VE2HM"],"itemData":{"id":2169,"type":"article-journal","abstract":"BACKGROUND/OBJECTIVES: To assess the course and prediction of basic activities of daily living (ADL) function in patients after transcatheter aortic valve implantation (TAVI).\nDESIGN: This was a prospective cohort study.\nSETTING: The setting was a single academic center in Switzerland.\nPARTICIPANTS: Participants included individuals aged ≥70 years (n = 330) undergoing TAVI.\nMEASUREMENTS: A frailty index (based on geriatric assessment) and cardiac risk scores (EuroSCORE, Society of Thoracic Surgeons [STS] score) were determined in patients before TAVI. Basic ADL function was measured with patient or proxy interviews at baseline and 1-year follow up. We used logistic regression models to investigate the association between baseline factors and functional decline.\nRESULTS: At 1-year follow up, 229 (69.4%) of the 330 patients had stable or improved basic ADL function, 49 (14.8%) experienced a decline in basic ADL function, and 52 (15.8%) died. The frailty index, but not cardiac risk scores, significantly predicted decline in basic ADL function. Among the 34 surviving very frail patients, 12 (35.3%) experienced a functional status decline, and the remaining 22 (64.7%) had stable or improved functional status at 1-year follow up.\nCONCLUSION: This study confirms that a frailty index, and not cardiac risk scores, identifies patients at an increased risk of functional status decline after TAVI. Identifying patients with a high frailty index before TAVI is clinically relevant as these patients might benefit from targeted geriatric management and rehabilitation after TAVI. However, based on current data, it is not justified to use information on frailty status as the criterion for identifying patients in whom TAVI might be futile. Although the probability of poor outcome is high, very frail patients also have a high probability of favorable long-term functional outcome.","container-title":"Journal of the American Geriatrics Society","DOI":"10.1111/jgs.16927","ISSN":"1532-5415","issue":"2","journalAbbreviation":"J Am Geriatr Soc","language":"eng","page":"500-505","PMID":"33156520","PMCID":"PMC7894317","source":"PubMed","title":"Evolution of Basic Activities of Daily Living Function in Older Patients One Year After Transcatheter Aortic Valve Implantation","volume":"69","author":[{"family":"Bertschi","given":"Dominic"},{"family":"Moser","given":"André"},{"family":"Stortecky","given":"Stefan"},{"family":"Zwahlen","given":"Marcel"},{"family":"Windecker","given":"Stephan"},{"family":"Carrel","given":"Thierry"},{"family":"Stuck","given":"Andreas E."},{"family":"Schoenenberger","given":"Andreas W."}],"issued":{"date-parts":[["2021",2]]}}}],"schema":"https://github.com/citation-style-language/schema/raw/master/csl-citation.json"} </w:instrText>
      </w:r>
      <w:r w:rsidR="000A4595" w:rsidRPr="006A7336">
        <w:rPr>
          <w:rFonts w:ascii="Segoe UI" w:hAnsi="Segoe UI" w:cs="Segoe UI"/>
          <w:sz w:val="22"/>
        </w:rPr>
        <w:fldChar w:fldCharType="separate"/>
      </w:r>
      <w:r w:rsidR="00395879" w:rsidRPr="006A7336">
        <w:rPr>
          <w:rFonts w:ascii="Segoe UI" w:hAnsi="Segoe UI" w:cs="Segoe UI"/>
          <w:sz w:val="22"/>
          <w:lang w:val="en-US"/>
        </w:rPr>
        <w:t>[22]</w:t>
      </w:r>
      <w:r w:rsidR="000A4595" w:rsidRPr="006A7336">
        <w:rPr>
          <w:rFonts w:ascii="Segoe UI" w:hAnsi="Segoe UI" w:cs="Segoe UI"/>
          <w:sz w:val="22"/>
        </w:rPr>
        <w:fldChar w:fldCharType="end"/>
      </w:r>
      <w:r w:rsidR="000A4595" w:rsidRPr="006A7336">
        <w:rPr>
          <w:rFonts w:ascii="Segoe UI" w:hAnsi="Segoe UI" w:cs="Segoe UI"/>
          <w:sz w:val="22"/>
          <w:lang w:val="en-US"/>
        </w:rPr>
        <w:t xml:space="preserve"> suggest that assessment of frailty can better predict functional deterioration after TAVI than classical risk scales such as </w:t>
      </w:r>
      <w:proofErr w:type="spellStart"/>
      <w:r w:rsidR="000A4595" w:rsidRPr="006A7336">
        <w:rPr>
          <w:rFonts w:ascii="Segoe UI" w:hAnsi="Segoe UI" w:cs="Segoe UI"/>
          <w:sz w:val="22"/>
          <w:lang w:val="en-US"/>
        </w:rPr>
        <w:t>EuroSCORE</w:t>
      </w:r>
      <w:proofErr w:type="spellEnd"/>
      <w:r w:rsidR="000A4595" w:rsidRPr="006A7336">
        <w:rPr>
          <w:rFonts w:ascii="Segoe UI" w:hAnsi="Segoe UI" w:cs="Segoe UI"/>
          <w:sz w:val="22"/>
          <w:lang w:val="en-US"/>
        </w:rPr>
        <w:t xml:space="preserve"> II or STS. Our data support these observations, showing a significant correlation between frailty score and NYHA class and TASQ quality of life indices. </w:t>
      </w:r>
      <w:r w:rsidR="00DD0B94" w:rsidRPr="006A7336">
        <w:rPr>
          <w:rFonts w:ascii="Segoe UI" w:hAnsi="Segoe UI" w:cs="Segoe UI"/>
          <w:sz w:val="22"/>
          <w:lang w:val="en-US"/>
        </w:rPr>
        <w:t xml:space="preserve">Identifying patients with a high frailty score before TAVI may help support individualized multidimensional assessment and peri-procedural planning </w:t>
      </w:r>
      <w:r w:rsidR="000A459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{"citationID":"0fg4ZR9A","properties":{"formattedCitation":"[4]","plainCitation":"[4]","noteIndex":0},"citationItems":[{"id":2354,"uris":["http://zotero.org/users/local/mYpTJneC/items/S5DKNJWU"],"itemData":{"id":2354,"type":"article-journal","container-title":"European Journal of Preventive Cardiology","DOI":"10.1093/eurjpc/zwad304","ISSN":"2047-4881","journalAbbreviation":"Eur J Prev Cardiol","language":"eng","page":"zwad304","PMID":"37804173","source":"PubMed","title":"Preinterventional frailty assessment in patients scheduled for cardiac surgery or transcatheter aortic valve implantation: a consensus statement of the European Association for Cardio-Thoracic Surgery (EACTS) and the European Association of Preventive Cardiology (EAPC) of the European Society of Cardiology (ESC)","title-short":"Preinterventional frailty assessment in patients scheduled for cardiac surgery or transcatheter aortic valve implantation","author":[{"family":"Niebauer","given":"Josef"},{"family":"Bäck","given":"Caroline"},{"family":"Bischoff-Ferrari","given":"Heike A."},{"family":"Dehbi","given":"Hakim-Moulay"},{"family":"Szekely","given":"Andrea"},{"family":"Völler","given":"Heinz"},{"family":"Sündermann","given":"Simon H."}],"issued":{"date-parts":[["2023",10,7]]}}}],"schema":"https://github.com/citation-style-language/schema/raw/master/csl-citation.json"} </w:instrText>
      </w:r>
      <w:r w:rsidR="000A4595" w:rsidRPr="006A7336">
        <w:rPr>
          <w:rFonts w:ascii="Segoe UI" w:hAnsi="Segoe UI" w:cs="Segoe UI"/>
          <w:sz w:val="22"/>
        </w:rPr>
        <w:fldChar w:fldCharType="separate"/>
      </w:r>
      <w:r w:rsidR="000A4595" w:rsidRPr="006A7336">
        <w:rPr>
          <w:rFonts w:ascii="Segoe UI" w:hAnsi="Segoe UI" w:cs="Segoe UI"/>
          <w:sz w:val="22"/>
          <w:lang w:val="en-US"/>
        </w:rPr>
        <w:t>[4]</w:t>
      </w:r>
      <w:r w:rsidR="000A4595" w:rsidRPr="006A7336">
        <w:rPr>
          <w:rFonts w:ascii="Segoe UI" w:hAnsi="Segoe UI" w:cs="Segoe UI"/>
          <w:sz w:val="22"/>
        </w:rPr>
        <w:fldChar w:fldCharType="end"/>
      </w:r>
      <w:r w:rsidR="000A4595" w:rsidRPr="006A7336">
        <w:rPr>
          <w:rFonts w:ascii="Segoe UI" w:hAnsi="Segoe UI" w:cs="Segoe UI"/>
          <w:sz w:val="22"/>
          <w:lang w:val="en-US"/>
        </w:rPr>
        <w:t xml:space="preserve">.   </w:t>
      </w:r>
    </w:p>
    <w:p w14:paraId="29AE8298" w14:textId="2409FEA3" w:rsidR="00C35468" w:rsidRPr="00C35468" w:rsidRDefault="00C35468" w:rsidP="00C35468">
      <w:pPr>
        <w:spacing w:line="360" w:lineRule="auto"/>
        <w:ind w:firstLine="708"/>
        <w:rPr>
          <w:rFonts w:ascii="Segoe UI" w:hAnsi="Segoe UI" w:cs="Segoe UI"/>
          <w:color w:val="FF0000"/>
          <w:sz w:val="22"/>
          <w:lang w:val="en-US"/>
        </w:rPr>
      </w:pPr>
      <w:proofErr w:type="spellStart"/>
      <w:r w:rsidRPr="00C35468">
        <w:rPr>
          <w:rFonts w:ascii="Segoe UI" w:hAnsi="Segoe UI" w:cs="Segoe UI"/>
          <w:color w:val="FF0000"/>
          <w:sz w:val="22"/>
          <w:lang w:val="en-US"/>
        </w:rPr>
        <w:t>Haemodynamic</w:t>
      </w:r>
      <w:proofErr w:type="spellEnd"/>
      <w:r w:rsidRPr="00C35468">
        <w:rPr>
          <w:rFonts w:ascii="Segoe UI" w:hAnsi="Segoe UI" w:cs="Segoe UI"/>
          <w:color w:val="FF0000"/>
          <w:sz w:val="22"/>
          <w:lang w:val="en-US"/>
        </w:rPr>
        <w:t xml:space="preserve"> phenotypes of severe aortic stenosis have been extensively investigated with respect to clinical characteristics and prognosis following TAVI, particularly in patients with low-flow, low-gradient </w:t>
      </w:r>
      <w:r w:rsidRPr="00C11ED4">
        <w:rPr>
          <w:rFonts w:ascii="Segoe UI" w:hAnsi="Segoe UI" w:cs="Segoe UI"/>
          <w:color w:val="FF0000"/>
          <w:sz w:val="22"/>
          <w:lang w:val="en-US"/>
        </w:rPr>
        <w:t>AS</w:t>
      </w:r>
      <w:r w:rsidR="00C11ED4" w:rsidRPr="00C11ED4">
        <w:rPr>
          <w:rFonts w:ascii="Segoe UI" w:hAnsi="Segoe UI" w:cs="Segoe UI"/>
          <w:color w:val="FF0000"/>
          <w:sz w:val="22"/>
          <w:lang w:val="en-US"/>
        </w:rPr>
        <w:t xml:space="preserve"> </w:t>
      </w:r>
      <w:r w:rsidR="00C11ED4" w:rsidRPr="00C11ED4">
        <w:rPr>
          <w:rFonts w:ascii="Segoe UI" w:hAnsi="Segoe UI" w:cs="Segoe UI"/>
          <w:color w:val="FF0000"/>
          <w:sz w:val="22"/>
          <w:lang w:val="en-US"/>
        </w:rPr>
        <w:fldChar w:fldCharType="begin"/>
      </w:r>
      <w:r w:rsidR="00C11ED4" w:rsidRPr="00C11ED4">
        <w:rPr>
          <w:rFonts w:ascii="Segoe UI" w:hAnsi="Segoe UI" w:cs="Segoe UI"/>
          <w:color w:val="FF0000"/>
          <w:sz w:val="22"/>
          <w:lang w:val="en-US"/>
        </w:rPr>
        <w:instrText xml:space="preserve"> ADDIN ZOTERO_ITEM CSL_CITATION {"citationID":"lxrQZJy3","properties":{"formattedCitation":"[23, 24]","plainCitation":"[23, 24]","noteIndex":0},"citationItems":[{"id":6032,"uris":["http://zotero.org/users/local/mYpTJneC/items/WIG4LIQU"],"itemData":{"id":6032,"type":"article-journal","container-title":"JACC. Cardiovascular interventions","DOI":"10.1016/j.jcin.2019.02.022","ISSN":"1876-7605","issue":"8","journalAbbreviation":"JACC Cardiovasc Interv","language":"eng","page":"764-766","PMID":"31000013","source":"PubMed","title":"Classical and Paradoxical Low-Flow, Low-Gradient Aortic Stenosis: The Evolving Role of TAVR","title-short":"Classical and Paradoxical Low-Flow, Low-Gradient Aortic Stenosis","volume":"12","author":[{"family":"Freitas-Ferraz","given":"Afonso B."},{"family":"Rodés-Cabau","given":"Josep"}],"issued":{"date-parts":[["2019",4,22]]}}},{"id":6030,"uris":["http://zotero.org/users/local/mYpTJneC/items/3A8NE6CB"],"itemData":{"id":6030,"type":"article-journal","abstract":"OBJECTIVES: This study sought to examine whether the prognosis of patients with severe aortic stenosis (AS) having high versus low transvalvular mean pressure gradients (MPGs) is intrinsically different after transcatheter aortic valve replacement (TAVR), even after strict matching of baseline parameters.\nBACKGROUND: Patients with low MPG are characterized by higher cardiovascular risk and more comorbidities than other AS patients are.\nMETHODS: In this retrospective, single-center study involving 2,282 patients, 3 groups were derived according to the following criteria: 1) high-gradient AS (HG-AS) (MPG ≥40 mm Hg); 2) low-flow, low-gradient AS (LFLG-AS) (MPG &lt;40 mm Hg, ejection fraction [EF] ≤40%, stroke volume index ≤35 ml/m2); 3) paradoxical LFLG-AS (pLFLG-AS) (similar to LFLG-AS but with EF ≥50%). Propensity score matching that included EF was used to compare 1-year survival.\nRESULTS: A total of 136 patients with HG-AS or LFLG-AS were identified. Kaplan-Meier survival curves were significantly different (p = 0.039), with death occurring in 11 versus 21 patients (hazard ratio: 2.12; 95% confidence interval: 1.02 to 4.39; p = 0.044), respectively. A total of 226 patients with HG-AS or pLFLG-AS were identified and here the curves were identical (p = 0.468), with death occurring in 18 versus 21 patients (hazard ratio: 1.26; 95% confidence interval: 0.67 to 2.38; p = 0.469).\nCONCLUSIONS: This is the first study comparing survival after TAVR of patients with high versus low MPG in matched study populations. Mortality in patients with LFLG-AS was twice that of HG-AS patients. However, it appears that patients with pLFLG-AS might benefit from TAVR to the same extent as patients with HG-AS. There must be still unmasked factors that influence mortality of patients with LFLG-AS.","container-title":"JACC. Cardiovascular interventions","DOI":"10.1016/j.jcin.2019.01.233","ISSN":"1876-7605","issue":"8","journalAbbreviation":"JACC Cardiovasc Interv","language":"eng","page":"752-763","PMID":"31000012","source":"PubMed","title":"1-Year Survival After TAVR of Patients With Low-Flow, Low-Gradient and High-Gradient Aortic Valve Stenosis in Matched Study Populations","volume":"12","author":[{"family":"Fischer-Rasokat","given":"Ulrich"},{"family":"Renker","given":"Matthias"},{"family":"Liebetrau","given":"Christoph"},{"family":"Linden","given":"Arnaud","non-dropping-particle":"van"},{"family":"Arsalan","given":"Mani"},{"family":"Weferling","given":"Maren"},{"family":"Rolf","given":"Andreas"},{"family":"Doss","given":"Mirko"},{"family":"Möllmann","given":"Helge"},{"family":"Walther","given":"Thomas"},{"family":"Hamm","given":"Christian W."},{"family":"Kim","given":"Won-Keun"}],"issued":{"date-parts":[["2019",4,22]]}}}],"schema":"https://github.com/citation-style-language/schema/raw/master/csl-citation.json"} </w:instrText>
      </w:r>
      <w:r w:rsidR="00C11ED4" w:rsidRPr="00C11ED4">
        <w:rPr>
          <w:rFonts w:ascii="Segoe UI" w:hAnsi="Segoe UI" w:cs="Segoe UI"/>
          <w:color w:val="FF0000"/>
          <w:sz w:val="22"/>
          <w:lang w:val="en-US"/>
        </w:rPr>
        <w:fldChar w:fldCharType="separate"/>
      </w:r>
      <w:r w:rsidR="00C11ED4" w:rsidRPr="00C11ED4">
        <w:rPr>
          <w:rFonts w:ascii="Segoe UI" w:hAnsi="Segoe UI" w:cs="Segoe UI"/>
          <w:color w:val="FF0000"/>
          <w:sz w:val="22"/>
          <w:lang w:val="en-US"/>
        </w:rPr>
        <w:t>[23, 24]</w:t>
      </w:r>
      <w:r w:rsidR="00C11ED4" w:rsidRPr="00C11ED4">
        <w:rPr>
          <w:rFonts w:ascii="Segoe UI" w:hAnsi="Segoe UI" w:cs="Segoe UI"/>
          <w:color w:val="FF0000"/>
          <w:sz w:val="22"/>
          <w:lang w:val="en-US"/>
        </w:rPr>
        <w:fldChar w:fldCharType="end"/>
      </w:r>
      <w:r w:rsidRPr="00C11ED4">
        <w:rPr>
          <w:rFonts w:ascii="Segoe UI" w:hAnsi="Segoe UI" w:cs="Segoe UI"/>
          <w:color w:val="FF0000"/>
          <w:sz w:val="22"/>
          <w:lang w:val="en-US"/>
        </w:rPr>
        <w:t>. However, to our knowledge, evidence regarding potential differences in baseline multidimensional frailty between these phenotypes remains very limited</w:t>
      </w:r>
      <w:r w:rsidR="008B39EC">
        <w:rPr>
          <w:rFonts w:ascii="Segoe UI" w:hAnsi="Segoe UI" w:cs="Segoe UI"/>
          <w:color w:val="FF0000"/>
          <w:sz w:val="22"/>
          <w:lang w:val="en-US"/>
        </w:rPr>
        <w:t xml:space="preserve"> </w:t>
      </w:r>
      <w:r w:rsidR="008B39EC" w:rsidRPr="00C11ED4">
        <w:rPr>
          <w:rFonts w:ascii="Segoe UI" w:hAnsi="Segoe UI" w:cs="Segoe UI"/>
          <w:color w:val="FF0000"/>
          <w:sz w:val="22"/>
          <w:lang w:val="en-US"/>
        </w:rPr>
        <w:fldChar w:fldCharType="begin"/>
      </w:r>
      <w:r w:rsidR="008B39EC" w:rsidRPr="00C11ED4">
        <w:rPr>
          <w:rFonts w:ascii="Segoe UI" w:hAnsi="Segoe UI" w:cs="Segoe UI"/>
          <w:color w:val="FF0000"/>
          <w:sz w:val="22"/>
          <w:lang w:val="en-US"/>
        </w:rPr>
        <w:instrText xml:space="preserve"> ADDIN ZOTERO_ITEM CSL_CITATION {"citationID":"Pj2eXDC1","properties":{"formattedCitation":"[8, 25]","plainCitation":"[8, 25]","noteIndex":0},"citationItems":[{"id":2011,"uris":["http://zotero.org/users/local/mYpTJneC/items/3TA3HVWI"],"itemData":{"id":2011,"type":"article-journal","abstract":"BACKGROUND: Transcatheter aortic valve implantation (TAVI) brings symptom relief and improvement in health-related quality of life (HRQoL) in the majority of patients treated for symptomatic, severe aortic stenosis. However, there is a substantial group of patients that do not benefit from TAVI. The aim of this study is to investigate the impact of frailty on HRQoL 1 year after TAVI.\nMETHODS: The TAVI Care &amp; Cure Program is an ongoing, prospective, observational study including patients referred for TAVI to our institution. A comprehensive geriatric assessment was performed to evaluate existence of frailty using the Erasmus Frailty Score (EFS). HRQoL was assessed using the EQ-5D-5 L at baseline and 1 year after TAVI.\nRESULTS: 239 patients underwent TAVI and completed HRQoL assessment 1 year after TAVI. Seventy (29.3%) patients were classified as frail (EFS ≥ 3). In non-frail patients, the EQ-5D-5 L index did not change (0.71(± 0.22) to 0.68(± 0.33) points, P = 0.22); in frail patients, the EQ-5D-5 L index decreased from 0.55(±0.26) to 0.44 points (±0.33) (P = 0.022). Frailty was an independent predictor of deteriorated HRQoL 1 year after TAVI (OR 2.24, 95% CI 1.07-4.70, P = 0.003). In frail patients, the absence of peripheral artery disease (OR 0.17, 95% 0.05-0.50, P = 0.001) and renal dysfunction (OR 0.13, 95% CI 0.04-0.41, P = &lt;0.001) at baseline was associated with improved HRQoL 1 year after TAVI.\nCONCLUSION: Frailty is associated with deterioration of HRQoL 1 year after TAVI. Notably, HRQoL did improve in frail patients with no peripheral arterial disease or renal impairment at baseline.","container-title":"Age and Ageing","DOI":"10.1093/ageing/afaa071","ISSN":"1468-2834","issue":"6","journalAbbreviation":"Age Ageing","language":"eng","page":"989-994","PMID":"32421189","PMCID":"PMC7583518","source":"PubMed","title":"Impact of frailty on health-related quality of life 1 year after transcatheter aortic valve implantation","volume":"49","author":[{"family":"Goudzwaard","given":"Jeannette A."},{"family":"Ronde-Tillmans","given":"Marjo J. A. G.","non-dropping-particle":"de"},{"family":"Hoorn","given":"Fleurance E. D.","non-dropping-particle":"van"},{"family":"Kwekkeboom","given":"Eline H. C."},{"family":"Lenzen","given":"Mattie J."},{"family":"Wiechen","given":"Maarten P. H.","non-dropping-particle":"van"},{"family":"Ooms","given":"Joris F. W."},{"family":"Nuis","given":"Rutger-Jan"},{"family":"Van Mieghem","given":"Nicolas M."},{"family":"Daemen","given":"Joost"},{"family":"Jaegere","given":"Peter P. T.","non-dropping-particle":"de"},{"family":"Mattace-Raso","given":"Francesco U. S."}],"issued":{"date-parts":[["2020",10,23]]}}},{"id":6025,"uris":["http://zotero.org/users/local/mYpTJneC/items/LQHF5Z4P"],"itemData":{"id":6025,"type":"article-journal","abstract":"OBJECTIVES: This study sought to evaluate the ability of individual markers of frailty to predict outcomes after transcatheter aortic valve replacement (TAVR) and of their discriminatory value in different age groups.\nBACKGROUND: Appropriate patient selection for TAVR remains a dilemma, especially among the most elderly and potentially frail.\nMETHODS: The study evaluated patients ≥65 years of age in the Society of Thoracic Surgeons/American College of Cardiology Transcatheter Valve Therapy registry, linked to Centers for Medicare and Medicaid administrative claims data, receiving elective TAVR from November 2011 to June 2016 (n = 36,242). Indices of frailty included anemia, albumin level, and 5-m walk speed. We performed Cox proportional hazards regression for 30-day and 1-year mortality, adjusting for risk factors known to be predictive of 30-day mortality in the Transcatheter Valve Therapy registry, as well as survival analysis.\nRESULTS: These indices are independently associated with mortality at 30 days and 1 year and provide incremental value in risk stratification for mortality, with low albumin providing the largest value (hazard ratio: 1.52). Those with low albumin and slower walking speed had longer lengths of stay and higher rates of bleeding and readmission (p &lt; 0.001). Those with anemia also had higher rates of bleeding, readmission, and subsequent myocardial infarction (p &lt; 0.001).\nCONCLUSIONS: This represents the largest study to date of the role of frailty indices after TAVR, further facilitating robust modeling and adjusting for a large number of confounders. These simple indices are easily attainable, and clinically relevant markers of frailty that may meaningfully stratify patients at risk for mortality after TAVR.","container-title":"JACC. Cardiovascular interventions","DOI":"10.1016/j.jcin.2019.08.015","ISSN":"1876-7605","issue":"2","journalAbbreviation":"JACC Cardiovasc Interv","language":"eng","page":"219-231","PMID":"31973795","source":"PubMed","title":"The Effect and Relationship of Frailty Indices on Survival After Transcatheter Aortic Valve Replacement","volume":"13","author":[{"family":"Kiani","given":"Soroosh"},{"family":"Stebbins","given":"Amanda"},{"family":"Thourani","given":"Vinod H."},{"family":"Forcillo","given":"Jessica"},{"family":"Vemulapalli","given":"Sreekanth"},{"family":"Kosinski","given":"Andrzej S."},{"family":"Babaliaros","given":"Vasilis"},{"family":"Cohen","given":"David"},{"family":"Kodali","given":"Susheel K."},{"family":"Kirtane","given":"Ajay J."},{"family":"Hermiller","given":"James B."},{"family":"Stewart","given":"James"},{"family":"Lowenstern","given":"Angela"},{"family":"Mack","given":"Michael J."},{"family":"Guyton","given":"Robert A."},{"family":"Devireddy","given":"Chandan"},{"literal":"STS/ACC TVT Registry"}],"issued":{"date-parts":[["2020",1,27]]}}}],"schema":"https://github.com/citation-style-language/schema/raw/master/csl-citation.json"} </w:instrText>
      </w:r>
      <w:r w:rsidR="008B39EC" w:rsidRPr="00C11ED4">
        <w:rPr>
          <w:rFonts w:ascii="Segoe UI" w:hAnsi="Segoe UI" w:cs="Segoe UI"/>
          <w:color w:val="FF0000"/>
          <w:sz w:val="22"/>
          <w:lang w:val="en-US"/>
        </w:rPr>
        <w:fldChar w:fldCharType="separate"/>
      </w:r>
      <w:r w:rsidR="008B39EC" w:rsidRPr="00C11ED4">
        <w:rPr>
          <w:rFonts w:ascii="Segoe UI" w:hAnsi="Segoe UI" w:cs="Segoe UI"/>
          <w:color w:val="FF0000"/>
          <w:sz w:val="22"/>
          <w:lang w:val="en-US"/>
        </w:rPr>
        <w:t>[8, 25]</w:t>
      </w:r>
      <w:r w:rsidR="008B39EC" w:rsidRPr="00C11ED4">
        <w:rPr>
          <w:rFonts w:ascii="Segoe UI" w:hAnsi="Segoe UI" w:cs="Segoe UI"/>
          <w:color w:val="FF0000"/>
          <w:sz w:val="22"/>
          <w:lang w:val="en-US"/>
        </w:rPr>
        <w:fldChar w:fldCharType="end"/>
      </w:r>
      <w:r w:rsidR="008B39EC" w:rsidRPr="00C11ED4">
        <w:rPr>
          <w:rFonts w:ascii="Segoe UI" w:hAnsi="Segoe UI" w:cs="Segoe UI"/>
          <w:color w:val="FF0000"/>
          <w:sz w:val="22"/>
          <w:lang w:val="en-US"/>
        </w:rPr>
        <w:t>.</w:t>
      </w:r>
      <w:r w:rsidRPr="00C11ED4">
        <w:rPr>
          <w:rFonts w:ascii="Segoe UI" w:hAnsi="Segoe UI" w:cs="Segoe UI"/>
          <w:color w:val="FF0000"/>
          <w:sz w:val="22"/>
          <w:lang w:val="en-US"/>
        </w:rPr>
        <w:t xml:space="preserve"> In our exploratory analysis, no significant differences were observed between low-gradient and high-gradient AS with respect to frailty</w:t>
      </w:r>
      <w:r w:rsidR="008B39EC">
        <w:rPr>
          <w:rFonts w:ascii="Segoe UI" w:hAnsi="Segoe UI" w:cs="Segoe UI"/>
          <w:color w:val="FF0000"/>
          <w:sz w:val="22"/>
          <w:lang w:val="en-US"/>
        </w:rPr>
        <w:t>.</w:t>
      </w:r>
      <w:r w:rsidR="00C11ED4">
        <w:rPr>
          <w:rFonts w:ascii="Segoe UI" w:hAnsi="Segoe UI" w:cs="Segoe UI"/>
          <w:color w:val="FF0000"/>
          <w:sz w:val="22"/>
          <w:lang w:val="en-US"/>
        </w:rPr>
        <w:t xml:space="preserve"> </w:t>
      </w:r>
      <w:r w:rsidRPr="00C11ED4">
        <w:rPr>
          <w:rFonts w:ascii="Segoe UI" w:hAnsi="Segoe UI" w:cs="Segoe UI"/>
          <w:color w:val="FF0000"/>
          <w:sz w:val="22"/>
          <w:lang w:val="en-US"/>
        </w:rPr>
        <w:t>However</w:t>
      </w:r>
      <w:r w:rsidRPr="00C35468">
        <w:rPr>
          <w:rFonts w:ascii="Segoe UI" w:hAnsi="Segoe UI" w:cs="Segoe UI"/>
          <w:color w:val="FF0000"/>
          <w:sz w:val="22"/>
          <w:lang w:val="en-US"/>
        </w:rPr>
        <w:t xml:space="preserve">, the relatively small number of patients with low-gradient AS substantially limited the statistical power of this analysis and precludes definitive conclusions. Further prospective studies involving larger and more balanced cohorts are warranted to determine whether </w:t>
      </w:r>
      <w:proofErr w:type="spellStart"/>
      <w:r w:rsidRPr="00C35468">
        <w:rPr>
          <w:rFonts w:ascii="Segoe UI" w:hAnsi="Segoe UI" w:cs="Segoe UI"/>
          <w:color w:val="FF0000"/>
          <w:sz w:val="22"/>
          <w:lang w:val="en-US"/>
        </w:rPr>
        <w:t>haemodynamic</w:t>
      </w:r>
      <w:proofErr w:type="spellEnd"/>
      <w:r w:rsidRPr="00C35468">
        <w:rPr>
          <w:rFonts w:ascii="Segoe UI" w:hAnsi="Segoe UI" w:cs="Segoe UI"/>
          <w:color w:val="FF0000"/>
          <w:sz w:val="22"/>
          <w:lang w:val="en-US"/>
        </w:rPr>
        <w:t xml:space="preserve"> AS phenotype influences baseline frailty or whether </w:t>
      </w:r>
      <w:proofErr w:type="spellStart"/>
      <w:r w:rsidRPr="00C35468">
        <w:rPr>
          <w:rFonts w:ascii="Segoe UI" w:hAnsi="Segoe UI" w:cs="Segoe UI"/>
          <w:color w:val="FF0000"/>
          <w:sz w:val="22"/>
          <w:lang w:val="en-US"/>
        </w:rPr>
        <w:t>haemodynamic</w:t>
      </w:r>
      <w:proofErr w:type="spellEnd"/>
      <w:r w:rsidRPr="00C35468">
        <w:rPr>
          <w:rFonts w:ascii="Segoe UI" w:hAnsi="Segoe UI" w:cs="Segoe UI"/>
          <w:color w:val="FF0000"/>
          <w:sz w:val="22"/>
          <w:lang w:val="en-US"/>
        </w:rPr>
        <w:t xml:space="preserve"> AS phenotype modifies the relationship between baseline frailty and post-procedural outcomes.</w:t>
      </w:r>
    </w:p>
    <w:p w14:paraId="6CB03F6A" w14:textId="1497CFAB" w:rsidR="000A4595" w:rsidRPr="006A7336" w:rsidRDefault="000A4595"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Results suggest that social status and education may influence frailty levels </w:t>
      </w:r>
      <w:r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{"citationID":"IZYmV6m3","properties":{"formattedCitation":"[26]","plainCitation":"[26]","noteIndex":0},"citationItems":[{"id":4637,"uris":["http://zotero.org/users/local/mYpTJneC/items/H7HQCK2B"],"itemData":{"id":4637,"type":"article-journal","abstract":"Purpose\nThe aim of this study was to examine the longitudinal association between educational level and frailty prevalence in older adults and to investigate the role of material, biomedical, behavioral, social, and mental factors in explaining this association.\nMethods\nData over a period of 13 years were used from the Longitudinal Aging Study Amsterdam. The study sample consisted of older adults aged 65 years and above at baseline (n = 1205). Frailty was assessed using Fried's frailty criteria. A relative index of inequality was calculated for the level of education. Longitudinal logistic regression analyses based on multilevel modeling were performed.\nResults\nOlder adults with a low educational level had higher odds of being frail compared with those with a high educational level (relative index of inequality odds ratio, 2.94; 95% confidence interval, 1.84–4.71). These differences persisted during 13 years of follow-up. Adjustment for all explanatory factors reduced the effect of educational level on frailty by 76%. Income, self-efficacy, cognitive impairment, obesity, and number of chronic diseases had the largest individual contribution in reducing the effect. Social factors had no substantial contribution.\nConclusions\nOur findings highlight the need for a multidimensional approach in developing interventions aimed at reducing frailty, especially in lower educated groups.","container-title":"Annals of Epidemiology","DOI":"10.1016/j.annepidem.2014.05.002","ISSN":"1047-2797","issue":"7","journalAbbreviation":"Annals of Epidemiology","page":"538-544.e2","source":"ScienceDirect","title":"Explaining the association between educational level and frailty in older adults: results from a 13-year longitudinal study in the Netherlands","title-short":"Explaining the association between educational level and frailty in older adults","volume":"24","author":[{"family":"Hoogendijk","given":"Emiel O."},{"family":"Hout","given":"Hein P. J.","non-dropping-particle":"van"},{"family":"Heymans","given":"Martijn W."},{"family":"Horst","given":"Henriëtte E.","non-dropping-particle":"van der"},{"family":"Frijters","given":"Dinnus H. M."},{"family":"Broese van Groenou","given":"Marjolein I."},{"family":"Deeg","given":"Dorly J. H."},{"family":"Huisman","given":"Martijn"}],"issued":{"date-parts":[["2014",7,1]]}}}],"schema":"https://github.com/citation-style-language/schema/raw/master/csl-citation.json"} </w:instrText>
      </w:r>
      <w:r w:rsidRPr="006A7336">
        <w:rPr>
          <w:rFonts w:ascii="Segoe UI" w:hAnsi="Segoe UI" w:cs="Segoe UI"/>
          <w:sz w:val="22"/>
        </w:rPr>
        <w:fldChar w:fldCharType="separate"/>
      </w:r>
      <w:r w:rsidR="00C11ED4" w:rsidRPr="00C11ED4">
        <w:rPr>
          <w:rFonts w:ascii="Segoe UI" w:hAnsi="Segoe UI" w:cs="Segoe UI"/>
          <w:sz w:val="22"/>
          <w:lang w:val="en-US"/>
        </w:rPr>
        <w:t>[26]</w:t>
      </w:r>
      <w:r w:rsidRPr="006A7336">
        <w:rPr>
          <w:rFonts w:ascii="Segoe UI" w:hAnsi="Segoe UI" w:cs="Segoe UI"/>
          <w:sz w:val="22"/>
        </w:rPr>
        <w:fldChar w:fldCharType="end"/>
      </w:r>
      <w:r w:rsidRPr="006A7336">
        <w:rPr>
          <w:rFonts w:ascii="Segoe UI" w:hAnsi="Segoe UI" w:cs="Segoe UI"/>
          <w:sz w:val="22"/>
          <w:lang w:val="en-US"/>
        </w:rPr>
        <w:t xml:space="preserve">. Divorced and widowed patients showed higher scores on the social dimension of frailty. Previous research suggests that married people have better cardiac outcomes, which may be due to greater emotional and practical support </w:t>
      </w:r>
      <w:r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{"citationID":"brKPNPm1","properties":{"formattedCitation":"[27]","plainCitation":"[27]","noteIndex":0},"citationItems":[{"id":2478,"uris":["http://zotero.org/users/local/mYpTJneC/items/E9TPYPEF"],"itemData":{"id":2478,"type":"article-journal","abstract":"Studies have shown improved outcomes among married patients who underwent cardiovascular surgery; however, this has not been well studied in transcatheter aortic valve implantation (TAVi). We examined the impact of marital status and patient sex on outcomes after TAVi. Patients who underwent TAVi from January 2015 to June 2018 were reviewed and stratified into 3 groups: single, married, and widowed. The impact of marital status and sex on 30-day outcomes was assessed using a stepwise logistic regression analysis. Cumulative survival was estimated using Kaplan-Meier analysis and adjusted survival with multivariable Cox proportional hazards modeling. A total of 785 patients were included: 149 single, 413 married, and 223 widowed. Widowed patients were older (84 vs 79 years) with higher Society of Thoracic Surgeons risk scores (6.79% vs 5.51%, both p ≤0.001) than married patients. Neither marital status nor sex was associated with 30-day mortality or home discharge. However, 1-year survival revealed a differential survival penalty, with married females (p = 0.041) having lower survival and married males (p = 0.007) having higher survival than their single counterparts. This survival penalty persisted in the adjusted analyses (married females hazard ratio [HR] 2.24, p = 0.009; widowed males HR 2.42, p = 0.057). For patients who were readmitted in the first year, adjusted analysis showed widowed status was associated with higher 30-day readmissions (HR 1.91, p = 0.012) in both sexes. In conclusion, these findings suggest that marital status does not impact both sexes equally after TAVi; identifying at-risk patients and targeted interventions, such as adjusting discharge planning to ensure adequate home social support, may help improve outcomes.","container-title":"The American Journal of Cardiology","DOI":"10.1016/j.amjcard.2022.02.046","ISSN":"1879-1913","journalAbbreviation":"Am J Cardiol","language":"eng","page":"106-111","PMID":"35361479","source":"PubMed","title":"Marital Status and Sex-Based Differences in Outcomes After Transcatheter Aortic Valve Implantation","volume":"173","author":[{"family":"Newell","given":"Paige"},{"family":"Hirji","given":"Sameer"},{"family":"Malarczyk","given":"Alexandra"},{"family":"Yazdchi","given":"Farhang"},{"family":"Percy","given":"Edward"},{"family":"Harloff","given":"Morgan"},{"family":"McGurk","given":"Siobhan"},{"family":"Shah","given":"Pinak"},{"family":"Sabe","given":"Ashraf"},{"family":"Sobieszczyk","given":"Piotr"},{"family":"Kaneko","given":"Tsuyoshi"}],"issued":{"date-parts":[["2022",6,15]]}}}],"schema":"https://github.com/citation-style-language/schema/raw/master/csl-citation.json"} </w:instrText>
      </w:r>
      <w:r w:rsidRPr="006A7336">
        <w:rPr>
          <w:rFonts w:ascii="Segoe UI" w:hAnsi="Segoe UI" w:cs="Segoe UI"/>
          <w:sz w:val="22"/>
        </w:rPr>
        <w:fldChar w:fldCharType="separate"/>
      </w:r>
      <w:r w:rsidR="00C11ED4" w:rsidRPr="00C11ED4">
        <w:rPr>
          <w:rFonts w:ascii="Segoe UI" w:hAnsi="Segoe UI" w:cs="Segoe UI"/>
          <w:sz w:val="22"/>
          <w:lang w:val="en-US"/>
        </w:rPr>
        <w:t>[27]</w:t>
      </w:r>
      <w:r w:rsidRPr="006A7336">
        <w:rPr>
          <w:rFonts w:ascii="Segoe UI" w:hAnsi="Segoe UI" w:cs="Segoe UI"/>
          <w:sz w:val="22"/>
        </w:rPr>
        <w:fldChar w:fldCharType="end"/>
      </w:r>
      <w:r w:rsidRPr="006A7336">
        <w:rPr>
          <w:rFonts w:ascii="Segoe UI" w:hAnsi="Segoe UI" w:cs="Segoe UI"/>
          <w:sz w:val="22"/>
          <w:lang w:val="en-US"/>
        </w:rPr>
        <w:t>. Patients with higher education often have stronger social capital</w:t>
      </w:r>
      <w:r w:rsidR="00BA1DF3" w:rsidRPr="006A7336">
        <w:rPr>
          <w:rFonts w:ascii="Segoe UI" w:hAnsi="Segoe UI" w:cs="Segoe UI"/>
          <w:sz w:val="22"/>
          <w:lang w:val="en-US"/>
        </w:rPr>
        <w:t xml:space="preserve"> - </w:t>
      </w:r>
      <w:r w:rsidRPr="006A7336">
        <w:rPr>
          <w:rFonts w:ascii="Segoe UI" w:hAnsi="Segoe UI" w:cs="Segoe UI"/>
          <w:sz w:val="22"/>
          <w:lang w:val="en-US"/>
        </w:rPr>
        <w:t>including broader support networks and better ability to navigate the healthcare system</w:t>
      </w:r>
      <w:r w:rsidR="00BA1DF3" w:rsidRPr="006A7336">
        <w:rPr>
          <w:rFonts w:ascii="Segoe UI" w:hAnsi="Segoe UI" w:cs="Segoe UI"/>
          <w:sz w:val="22"/>
          <w:lang w:val="en-US"/>
        </w:rPr>
        <w:t xml:space="preserve"> - </w:t>
      </w:r>
      <w:r w:rsidRPr="006A7336">
        <w:rPr>
          <w:rFonts w:ascii="Segoe UI" w:hAnsi="Segoe UI" w:cs="Segoe UI"/>
          <w:sz w:val="22"/>
          <w:lang w:val="en-US"/>
        </w:rPr>
        <w:t xml:space="preserve">which may indirectly mitigate physical frailty by reducing stress, facilitating earlier intervention, and promoting healthier ageing </w:t>
      </w:r>
      <w:r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{"citationID":"ag06HLjx","properties":{"formattedCitation":"[28]","plainCitation":"[28]","noteIndex":0},"citationItems":[{"id":5473,"uris":["http://zotero.org/users/local/mYpTJneC/items/W3B8LFK4"],"itemData":{"id":5473,"type":"article-journal","abstract":"BACKGROUND: Physical frailty is a common characteristic of older people with the ageing process and has been viewed as a major public health issue. The longitudinal association between different social engagement and physical frailty among older people has not been explored adequately in China. Marital status forms a critical context for the link between social engagement and frailty among older people, which might constitute a moderating process. The purpose of the present study is to investigate the longitudinal association between social engagement and the changes in physical frailty among Chinese older adults, and to examine whether the association between social engagement and frailty differs by marital status.\nMETHODS: The data use in this study were from the data from the China Health and Retirement Longitudinal Study aged 60+ years from 2011 to 2015. A total of 6575 respondents who participated in at least one follow-up wave were included in the analysis. The relationship between social engagement and changes in frailty over time, and the moderating role of marital status were estimated using individual fixed-effects models. Sensitive analyses were conducted to test the robustness of the results.\nRESULTS: After adjusting the confounders, participants who interact with friends (Coef: -1.309, P &lt; 0.001), engaging in hobby groups (Coef: -1.189, P &lt; 0.001), engaging in sports groups (Coef: -0.945, P = 0.001), and volunteering (Coef: -1.957, P = 0.001) with a frequency of almost daily had a significantly lower frailty risk than participants who never engaging in those activities. The association between frequent engaging in hobby groups and physical frailty was strongest for unmarried than married older adults (Coef: -1.325, P = 0.031).\nCONCLUSIONS: Frequent social engagement might help to decrease the risk of frailty in the Chinese older population. This finding has important implications for public health policy and encourages the incorporation of a broad range of social engagement into the daily lives of older individuals. Specially, encouraging unmarried older adults to engage in intellectual activities, such as playing chess or Mahjong with others, may be an effective way to reduce physical frailty.","container-title":"BMC geriatrics","DOI":"10.1186/s12877-021-02194-x","ISSN":"1471-2318","issue":"1","journalAbbreviation":"BMC Geriatr","language":"eng","page":"248","PMID":"33858354","PMCID":"PMC8047563","source":"PubMed","title":"Social engagement and physical frailty in later life: does marital status matter?","title-short":"Social engagement and physical frailty in later life","volume":"21","author":[{"family":"Wang","given":"Yi"},{"family":"Chen","given":"Zhuo"},{"family":"Zhou","given":"Chengchao"}],"issued":{"date-parts":[["2021",4,15]]}}}],"schema":"https://github.com/citation-style-language/schema/raw/master/csl-citation.json"} </w:instrText>
      </w:r>
      <w:r w:rsidRPr="006A7336">
        <w:rPr>
          <w:rFonts w:ascii="Segoe UI" w:hAnsi="Segoe UI" w:cs="Segoe UI"/>
          <w:sz w:val="22"/>
          <w:lang w:val="en-US"/>
        </w:rPr>
        <w:fldChar w:fldCharType="separate"/>
      </w:r>
      <w:r w:rsidR="00C11ED4" w:rsidRPr="00C11ED4">
        <w:rPr>
          <w:rFonts w:ascii="Segoe UI" w:hAnsi="Segoe UI" w:cs="Segoe UI"/>
          <w:sz w:val="22"/>
          <w:lang w:val="en-US"/>
        </w:rPr>
        <w:t>[28]</w:t>
      </w:r>
      <w:r w:rsidRPr="006A7336">
        <w:rPr>
          <w:rFonts w:ascii="Segoe UI" w:hAnsi="Segoe UI" w:cs="Segoe UI"/>
          <w:sz w:val="22"/>
          <w:lang w:val="en-US"/>
        </w:rPr>
        <w:fldChar w:fldCharType="end"/>
      </w:r>
      <w:r w:rsidRPr="006A7336">
        <w:rPr>
          <w:rFonts w:ascii="Segoe UI" w:hAnsi="Segoe UI" w:cs="Segoe UI"/>
          <w:sz w:val="22"/>
          <w:lang w:val="en-US"/>
        </w:rPr>
        <w:t>.</w:t>
      </w:r>
    </w:p>
    <w:p w14:paraId="407DB17B" w14:textId="110B452E" w:rsidR="000A4595" w:rsidRPr="006A7336" w:rsidRDefault="000A4595"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The notably higher prevalence of frailty observed in our cohort compared with many previous TAVI studies warrants careful interpretation. In our study, we observed a high </w:t>
      </w:r>
      <w:r w:rsidRPr="006A7336">
        <w:rPr>
          <w:rFonts w:ascii="Segoe UI" w:hAnsi="Segoe UI" w:cs="Segoe UI"/>
          <w:sz w:val="22"/>
          <w:lang w:val="en-US"/>
        </w:rPr>
        <w:lastRenderedPageBreak/>
        <w:t xml:space="preserve">percentage of patients with weakness, which may be related to the clinical characteristics of the study population. It should be </w:t>
      </w:r>
      <w:proofErr w:type="spellStart"/>
      <w:r w:rsidRPr="006A7336">
        <w:rPr>
          <w:rFonts w:ascii="Segoe UI" w:hAnsi="Segoe UI" w:cs="Segoe UI"/>
          <w:sz w:val="22"/>
          <w:lang w:val="en-US"/>
        </w:rPr>
        <w:t>emphasised</w:t>
      </w:r>
      <w:proofErr w:type="spellEnd"/>
      <w:r w:rsidRPr="006A7336">
        <w:rPr>
          <w:rFonts w:ascii="Segoe UI" w:hAnsi="Segoe UI" w:cs="Segoe UI"/>
          <w:sz w:val="22"/>
          <w:lang w:val="en-US"/>
        </w:rPr>
        <w:t xml:space="preserve"> that in Poland, during the study period, reimbursement requirements allowed patients with severe clinical profiles who were disqualified for surgical aortic valve replacement (SAVR) to qualify for TAVI (AVR). As a result of these restrictive eligibility criteria, patients awaiting TAVI constituted a group at high surgical risk, with multimorbidity, moderate to advanced heart failure (NYHA class III–IV), sarcopenia, and high risk or confirmed frailty syndrome. A similar patient profile was reported in other Polish studies, in which the mean </w:t>
      </w:r>
      <w:proofErr w:type="spellStart"/>
      <w:r w:rsidRPr="006A7336">
        <w:rPr>
          <w:rFonts w:ascii="Segoe UI" w:hAnsi="Segoe UI" w:cs="Segoe UI"/>
          <w:sz w:val="22"/>
          <w:lang w:val="en-US"/>
        </w:rPr>
        <w:t>EuroSCORE</w:t>
      </w:r>
      <w:proofErr w:type="spellEnd"/>
      <w:r w:rsidRPr="006A7336">
        <w:rPr>
          <w:rFonts w:ascii="Segoe UI" w:hAnsi="Segoe UI" w:cs="Segoe UI"/>
          <w:sz w:val="22"/>
          <w:lang w:val="en-US"/>
        </w:rPr>
        <w:t xml:space="preserve"> was 19, 79% of patients suffered from heart failure (NYHA class III–IV)</w:t>
      </w:r>
      <w:r w:rsidR="007D03CC" w:rsidRPr="006A7336">
        <w:rPr>
          <w:rFonts w:ascii="Segoe UI" w:hAnsi="Segoe UI" w:cs="Segoe UI"/>
          <w:sz w:val="22"/>
          <w:lang w:val="en-US"/>
        </w:rPr>
        <w:t xml:space="preserve"> </w:t>
      </w:r>
      <w:r w:rsidRPr="006A7336">
        <w:rPr>
          <w:rFonts w:ascii="Segoe UI" w:hAnsi="Segoe UI" w:cs="Segoe UI"/>
          <w:sz w:val="22"/>
          <w:lang w:val="en-US"/>
        </w:rPr>
        <w:fldChar w:fldCharType="begin"/>
      </w:r>
      <w:r w:rsidRPr="006A7336">
        <w:rPr>
          <w:rFonts w:ascii="Segoe UI" w:hAnsi="Segoe UI" w:cs="Segoe UI"/>
          <w:sz w:val="22"/>
          <w:lang w:val="en-US"/>
        </w:rPr>
        <w:instrText xml:space="preserve"> ADDIN ZOTERO_TEMP </w:instrText>
      </w:r>
      <w:r w:rsidRPr="006A7336">
        <w:rPr>
          <w:rFonts w:ascii="Segoe UI" w:hAnsi="Segoe UI" w:cs="Segoe UI"/>
          <w:sz w:val="22"/>
          <w:lang w:val="en-US"/>
        </w:rPr>
        <w:fldChar w:fldCharType="separate"/>
      </w:r>
      <w:r w:rsidRPr="006A7336">
        <w:rPr>
          <w:rFonts w:ascii="Segoe UI" w:hAnsi="Segoe UI" w:cs="Segoe UI"/>
          <w:sz w:val="22"/>
          <w:lang w:val="en-US"/>
        </w:rPr>
        <w:fldChar w:fldCharType="end"/>
      </w:r>
      <w:r w:rsidRPr="006A7336">
        <w:rPr>
          <w:rFonts w:ascii="Segoe UI" w:hAnsi="Segoe UI" w:cs="Segoe UI"/>
          <w:sz w:val="22"/>
          <w:lang w:val="en-US"/>
        </w:rPr>
        <w:t xml:space="preserve">, and frailty syndrome </w:t>
      </w:r>
      <w:r w:rsidR="00BA1DF3" w:rsidRPr="006A7336">
        <w:rPr>
          <w:rFonts w:ascii="Segoe UI" w:hAnsi="Segoe UI" w:cs="Segoe UI"/>
          <w:sz w:val="22"/>
          <w:lang w:val="en-US"/>
        </w:rPr>
        <w:t xml:space="preserve">- </w:t>
      </w:r>
      <w:r w:rsidRPr="006A7336">
        <w:rPr>
          <w:rFonts w:ascii="Segoe UI" w:hAnsi="Segoe UI" w:cs="Segoe UI"/>
          <w:sz w:val="22"/>
          <w:lang w:val="en-US"/>
        </w:rPr>
        <w:t xml:space="preserve">assessed using the Tilburg Frailty Indicator (TFI) with a score of ≥5 points </w:t>
      </w:r>
      <w:r w:rsidR="00BA1DF3" w:rsidRPr="006A7336">
        <w:rPr>
          <w:rFonts w:ascii="Segoe UI" w:hAnsi="Segoe UI" w:cs="Segoe UI"/>
          <w:sz w:val="22"/>
          <w:lang w:val="en-US"/>
        </w:rPr>
        <w:t>-</w:t>
      </w:r>
      <w:r w:rsidRPr="006A7336">
        <w:rPr>
          <w:rFonts w:ascii="Segoe UI" w:hAnsi="Segoe UI" w:cs="Segoe UI"/>
          <w:sz w:val="22"/>
          <w:lang w:val="en-US"/>
        </w:rPr>
        <w:t xml:space="preserve"> was observed in 94.6% of patients </w:t>
      </w:r>
      <w:r w:rsidR="007D03CC"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{"citationID":"dJu9ELJx","properties":{"formattedCitation":"[29]","plainCitation":"[29]","noteIndex":0},"citationItems":[{"id":5496,"uris":["http://zotero.org/users/local/mYpTJneC/items/6LW7NVAK"],"itemData":{"id":5496,"type":"article-journal","abstract":"OBJECTIVE: To analyse the impact of postprocedural mitral regurgitation (MR), in an interaction with aortic regurgitation (AR), on mortality following transcatheter aortic valve implantation (TAVI).\nMETHODS: To assess the interaction between MR and AR, we compared the survival rate of patients (i) without both significant MR and AR versus (ii) those with either significant MR or significant AR versus (iii) with significant MR and AR, all postprocedure. 381 participants of the Polish Transcatheter Aortic Valve Implantation Registry (166 males (43.6%) and 215 females (56.4%), age 78.8±7.4 years) were analysed. Follow-up was 94.1±96.5 days.\nRESULTS: In-hospital and midterm mortality were 6.6% and 10.2%, respectively. Significant MR and AR were present in 16% and 8.1% patients, including 3.1% patients with both significant MR and AR. Patients with significant versus insignificant AR differed with respect to mortality (log rank p=0.009). This difference was not apparent in a subgroup of patients without significant MR (log rank p=0.80). In a subgroup of patients without significant AR, there were no significant differences in mortality between individuals with versus without significant MR (log rank p=0.44). Significant MR and AR had a significant impact on mortality only when associated with each other (log rank p&lt;0.0001). At multivariate Cox regression modelling concomitant significant MR and AR were independently associated with mortality (OR 3.2, 95% CI 1.54 to 5.71, p=0.002).\nCONCLUSIONS: Significant MR or AR postprocedure, when isolated, had no impact on survival. Combined MR and AR had a significant impact on a patient's prognosis.","container-title":"Heart","DOI":"10.1136/heartjnl-2015-308842","ISSN":"1468-201X","issue":"9","journalAbbreviation":"Heart","language":"eng","note":"publisher-place: British Cardiac Society","page":"701-706","PMID":"26908096","PMCID":"PMC4862065","source":"PubMed","title":"Mitral and aortic regurgitation following transcatheter aortic valve replacement","volume":"102","author":[{"family":"Szymański","given":"Piotr"},{"family":"Hryniewiecki","given":"Tomasz"},{"family":"Dąbrowski","given":"Maciej"},{"family":"Sorysz","given":"Danuta"},{"family":"Kochman","given":"Janusz"},{"family":"Jastrzębski","given":"Jan"},{"family":"Kukulski","given":"Tomasz"},{"family":"Zembala","given":"Marian"}],"issued":{"date-parts":[["2016",5]]}}}],"schema":"https://github.com/citation-style-language/schema/raw/master/csl-citation.json"} </w:instrText>
      </w:r>
      <w:r w:rsidR="007D03CC" w:rsidRPr="006A7336">
        <w:rPr>
          <w:rFonts w:ascii="Segoe UI" w:hAnsi="Segoe UI" w:cs="Segoe UI"/>
          <w:sz w:val="22"/>
          <w:lang w:val="en-US"/>
        </w:rPr>
        <w:fldChar w:fldCharType="separate"/>
      </w:r>
      <w:r w:rsidR="00C11ED4" w:rsidRPr="00C11ED4">
        <w:rPr>
          <w:rFonts w:ascii="Segoe UI" w:hAnsi="Segoe UI" w:cs="Segoe UI"/>
          <w:sz w:val="22"/>
          <w:lang w:val="en-US"/>
        </w:rPr>
        <w:t>[29]</w:t>
      </w:r>
      <w:r w:rsidR="007D03CC" w:rsidRPr="006A7336">
        <w:rPr>
          <w:rFonts w:ascii="Segoe UI" w:hAnsi="Segoe UI" w:cs="Segoe UI"/>
          <w:sz w:val="22"/>
          <w:lang w:val="en-US"/>
        </w:rPr>
        <w:fldChar w:fldCharType="end"/>
      </w:r>
      <w:r w:rsidRPr="006A7336">
        <w:rPr>
          <w:rFonts w:ascii="Segoe UI" w:hAnsi="Segoe UI" w:cs="Segoe UI"/>
          <w:sz w:val="22"/>
          <w:lang w:val="en-US"/>
        </w:rPr>
        <w:t>. The definition of frailty used reflects a multidimensional concept and depends on the measurement method used</w:t>
      </w:r>
      <w:r w:rsidR="007D03CC" w:rsidRPr="006A7336">
        <w:rPr>
          <w:rFonts w:ascii="Segoe UI" w:hAnsi="Segoe UI" w:cs="Segoe UI"/>
          <w:sz w:val="22"/>
          <w:lang w:val="en-US"/>
        </w:rPr>
        <w:t xml:space="preserve"> </w:t>
      </w:r>
      <w:r w:rsidR="007D03CC"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{"citationID":"0eWplZx7","properties":{"formattedCitation":"[30]","plainCitation":"[30]","noteIndex":0},"citationItems":[{"id":5499,"uris":["http://zotero.org/users/local/mYpTJneC/items/BZUTQPIX"],"itemData":{"id":5499,"type":"article-journal","abstract":"The world's population is ageing, and most older adults experience a later life burdened with disease and disability. Frailty is a multidimensional and dynamic condition characterized by declines in reserve and function across multiple physiological systems, such that the ability to cope with every day or acute stressors becomes compromised. It is projected to become one of the most serious public health challenges economically developed societies will face in the coming century. This review provides a comprehensive overview of frailty, exploring its pathophysiology, theoretical and operational definition(s), impact, prevalence, management, and prevention, within the context of its emergence as a major public health challenge, in an increasingly economically developed and ageing world. Further, this review discusses the major limitations, deficiencies, and knowledge gaps presently within the field, and future research directions pertinent to the advancement of frailty research and the promotion of healthy longevity among the increasing global population of older adults.","container-title":"Gerontology","DOI":"10.1159/000528561","ISSN":"1423-0003","issue":"8","journalAbbreviation":"Gerontology","language":"eng","page":"927-945","PMID":"36476630","PMCID":"PMC10568610","source":"PubMed","title":"Frailty: Pathophysiology, Theoretical and Operational Definition(s), Impact, Prevalence, Management and Prevention, in an Increasingly Economically Developed and Ageing World","title-short":"Frailty","volume":"69","author":[{"family":"Doody","given":"Paul"},{"family":"Lord","given":"Janet M."},{"family":"Greig","given":"Carolyn A."},{"family":"Whittaker","given":"Anna C."}],"issued":{"date-parts":[["2023"]]}}}],"schema":"https://github.com/citation-style-language/schema/raw/master/csl-citation.json"} </w:instrText>
      </w:r>
      <w:r w:rsidR="007D03CC" w:rsidRPr="006A7336">
        <w:rPr>
          <w:rFonts w:ascii="Segoe UI" w:hAnsi="Segoe UI" w:cs="Segoe UI"/>
          <w:sz w:val="22"/>
          <w:lang w:val="en-US"/>
        </w:rPr>
        <w:fldChar w:fldCharType="separate"/>
      </w:r>
      <w:r w:rsidR="00C11ED4" w:rsidRPr="00C11ED4">
        <w:rPr>
          <w:rFonts w:ascii="Segoe UI" w:hAnsi="Segoe UI" w:cs="Segoe UI"/>
          <w:sz w:val="22"/>
          <w:lang w:val="en-US"/>
        </w:rPr>
        <w:t>[30]</w:t>
      </w:r>
      <w:r w:rsidR="007D03CC" w:rsidRPr="006A7336">
        <w:rPr>
          <w:rFonts w:ascii="Segoe UI" w:hAnsi="Segoe UI" w:cs="Segoe UI"/>
          <w:sz w:val="22"/>
          <w:lang w:val="en-US"/>
        </w:rPr>
        <w:fldChar w:fldCharType="end"/>
      </w:r>
      <w:r w:rsidRPr="006A7336">
        <w:rPr>
          <w:rFonts w:ascii="Segoe UI" w:hAnsi="Segoe UI" w:cs="Segoe UI"/>
          <w:sz w:val="22"/>
          <w:lang w:val="en-US"/>
        </w:rPr>
        <w:t xml:space="preserve">. In this study, frailty was identified based on the Tilburg Frailty Indicator (TFI) score. The TFI is based on the concept of frailty as a dynamic state </w:t>
      </w:r>
      <w:proofErr w:type="spellStart"/>
      <w:r w:rsidRPr="006A7336">
        <w:rPr>
          <w:rFonts w:ascii="Segoe UI" w:hAnsi="Segoe UI" w:cs="Segoe UI"/>
          <w:sz w:val="22"/>
          <w:lang w:val="en-US"/>
        </w:rPr>
        <w:t>characterised</w:t>
      </w:r>
      <w:proofErr w:type="spellEnd"/>
      <w:r w:rsidRPr="006A7336">
        <w:rPr>
          <w:rFonts w:ascii="Segoe UI" w:hAnsi="Segoe UI" w:cs="Segoe UI"/>
          <w:sz w:val="22"/>
          <w:lang w:val="en-US"/>
        </w:rPr>
        <w:t xml:space="preserve"> by a loss of reserves in the physical, mental and social spheres.</w:t>
      </w:r>
    </w:p>
    <w:p w14:paraId="310E8BC8" w14:textId="0040E3FC" w:rsidR="003712AC"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Also, higher education was associated with lower levels of physical frailty, which may reflect better access to health information and healthier lifestyles.</w:t>
      </w:r>
      <w:r w:rsidR="003712AC" w:rsidRPr="006A7336">
        <w:rPr>
          <w:rFonts w:ascii="Segoe UI" w:hAnsi="Segoe UI" w:cs="Segoe UI"/>
          <w:sz w:val="22"/>
          <w:lang w:val="en-US"/>
        </w:rPr>
        <w:t xml:space="preserve"> This can be explained by several plausible mechanisms. Higher levels of education are consistently associated with better health literacy, which facilitates understanding of disease processes, adherence to treatment recommendations, and effective self-management of chronic diseases. These factors contribute to maintaining physical fitness and reducing the risk of frailty in older age </w:t>
      </w:r>
      <w:r w:rsidR="003712AC"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{"citationID":"5QmNcec1","properties":{"formattedCitation":"[26, 31, 32]","plainCitation":"[26, 31, 32]","noteIndex":0},"citationItems":[{"id":4637,"uris":["http://zotero.org/users/local/mYpTJneC/items/H7HQCK2B"],"itemData":{"id":4637,"type":"article-journal","abstract":"Purpose\nThe aim of this study was to examine the longitudinal association between educational level and frailty prevalence in older adults and to investigate the role of material, biomedical, behavioral, social, and mental factors in explaining this association.\nMethods\nData over a period of 13 years were used from the Longitudinal Aging Study Amsterdam. The study sample consisted of older adults aged 65 years and above at baseline (n = 1205). Frailty was assessed using Fried's frailty criteria. A relative index of inequality was calculated for the level of education. Longitudinal logistic regression analyses based on multilevel modeling were performed.\nResults\nOlder adults with a low educational level had higher odds of being frail compared with those with a high educational level (relative index of inequality odds ratio, 2.94; 95% confidence interval, 1.84–4.71). These differences persisted during 13 years of follow-up. Adjustment for all explanatory factors reduced the effect of educational level on frailty by 76%. Income, self-efficacy, cognitive impairment, obesity, and number of chronic diseases had the largest individual contribution in reducing the effect. Social factors had no substantial contribution.\nConclusions\nOur findings highlight the need for a multidimensional approach in developing interventions aimed at reducing frailty, especially in lower educated groups.","container-title":"Annals of Epidemiology","DOI":"10.1016/j.annepidem.2014.05.002","ISSN":"1047-2797","issue":"7","journalAbbreviation":"Annals of Epidemiology","page":"538-544.e2","source":"ScienceDirect","title":"Explaining the association between educational level and frailty in older adults: results from a 13-year longitudinal study in the Netherlands","title-short":"Explaining the association between educational level and frailty in older adults","volume":"24","author":[{"family":"Hoogendijk","given":"Emiel O."},{"family":"Hout","given":"Hein P. J.","non-dropping-particle":"van"},{"family":"Heymans","given":"Martijn W."},{"family":"Horst","given":"Henriëtte E.","non-dropping-particle":"van der"},{"family":"Frijters","given":"Dinnus H. M."},{"family":"Broese van Groenou","given":"Marjolein I."},{"family":"Deeg","given":"Dorly J. H."},{"family":"Huisman","given":"Martijn"}],"issued":{"date-parts":[["2014",7,1]]}}},{"id":5454,"uris":["http://zotero.org/users/local/mYpTJneC/items/I3CUNA47"],"itemData":{"id":5454,"type":"article-journal","abstract":"INTRODUCTION: Japan has the fastest ageing population worldwide, with a high prevalence of frailty. This study aimed to investigate the impact of communicative and critical health literacy (CCHL) on the progression of frailty in older adults participating in community-based programs over 1 year, and whether instrumental activities of daily living (IADL) mediate this relationship.\nMETHODS: This retrospective cohort study used data from the Matsumoto City Frailty Prevention Project, involving 373 older adults aged 65 years and over. Health literacy was measured using the CCHL scale, and IADL was assessed using the Tokyo Metropolitan Institute of Gerontology Index of Competence (TMIG-IC), which includes five items of IADLs. Frailty was classified using the Japanese version of the Cardiovascular Health Study (J-CHS) criteria. Mediation analysis was used to evaluate the role of IADL in the relationship between health literacy and frailty.\nRESULTS: Participants with higher CCHL had significantly better IADL scores (coefficient = 0.127, P = 0.043) and were less likely to progress to frailty (odds ratio: 0.546, P = 0.009). Mediation analysis revealed that IADL accounted for approximately 10.7% of the total effect of health literacy on frailty progression (P = 0.030).\nCONCLUSION: Higher CCHL reduces the risk of frailty progression, with IADL playing a mediating role. Interventions targeting both health literacy and IADL may effectively prevent frailty in older adults.","container-title":"Psychogeriatrics: The Official Journal of the Japanese Psychogeriatric Society","DOI":"10.1111/psyg.70010","ISSN":"1479-8301","issue":"2","journalAbbreviation":"Psychogeriatrics","language":"eng","page":"e70010","PMID":"39929519","PMCID":"PMC11810535","source":"PubMed","title":"Health literacy and frailty: the mediating role of instrumental activities of daily living","title-short":"Health literacy and frailty","volume":"25","author":[{"family":"Nakamura","given":"Keisuke"},{"family":"Sasaki","given":"Tomohiro"},{"family":"Yokokawa","given":"Yoshiharu"},{"family":"Yokouchi","given":"Shinobu"}],"issued":{"date-parts":[["2025",3]]}}},{"id":5456,"uris":["http://zotero.org/users/local/mYpTJneC/items/FHUNYUSK"],"itemData":{"id":5456,"type":"article-journal","abstract":"BACKGROUND: Older adults with heart failure often exhibit poor self-care maintenance. Frailty could exacerbate self-care, leading to deteriorating health. Social support and depression may play a role in self-care maintenance in older adults with heart failure combined with frailty. Confirming this potential mechanistic relationship could provide valuable reference for nurses to formulate and improve the targeted intervention strategies and health education programs for older adults with heart failure.\nOBJECTIVES: This study analyzed the relationship between frailty and self-care maintenance in older adults with heart failure and determined the sequential mediation effect of social support and depression. Its goal was to provide valuable theoretical insights for formulating targeted clinical nursing interventions for older adults with heart failure.\nMETHODS: A cross-sectional study was conducted from July 2023 to February 2024, during which older adults with heart failure were recruited using a convenience sampling method from the cardiovascular department of a tertiary Class A hospital in Qingdao, China. A total of 241 completed the Tilburg Frailty Indicator, the Self-Care of Heart Failure Index, the Social Support Rating Scale, and the Patient Health Questionnaire-9. t -Tests and one-way analysis of variance were used to examine differences in self-care maintenance among participants with distinct characteristics; correlation analysis was used to identify variable relationships within the study. The mediation model was tested using the SPSS PROCESS macro and the bootstrap method.\nRESULTS: Frailty was negatively correlated with self-care maintenance, and both social support and depression were significantly related to frailty and self-care maintenance. Social support and depression not only independently mediated the relationship between frailty and self-care maintenance but also exhibited a significant sequential mediation effect.\nDISCUSSION: The frailty of older adults with heart failure and its correlation with self-care maintenance is a complex and multidimensional phenomenon. Frailty not only directly influenced self-care maintenance in participants but also indirectly affected it through the mediating factors of social support and depression. Future research should emphasize innovative, targeted interventions to enhance social support quality and accessibility and alleviate depression, ultimately boosting patients' self-care capabilities and elevating their quality of life.","container-title":"Nursing Research","DOI":"10.1097/NNR.0000000000000795","ISSN":"1538-9847","issue":"2","journalAbbreviation":"Nurs Res","language":"eng","page":"115-122","PMID":"39616428","source":"PubMed","title":"Frailty and Self-Care Maintenance Mediated by Social Support and Depression in Older Adults With Heart Failure","volume":"74","author":[{"family":"Bu","given":"Na"},{"family":"Leng","given":"Min"},{"family":"Cao","given":"Guorong"},{"family":"Dou","given":"Chao"},{"family":"Hou","given":"Rongchun"},{"family":"Lu","given":"Xiaohong"},{"family":"Xu","given":"Hong"}],"issued":{"date-parts":[["2025",4,1]]}}}],"schema":"https://github.com/citation-style-language/schema/raw/master/csl-citation.json"} </w:instrText>
      </w:r>
      <w:r w:rsidR="003712AC" w:rsidRPr="006A7336">
        <w:rPr>
          <w:rFonts w:ascii="Segoe UI" w:hAnsi="Segoe UI" w:cs="Segoe UI"/>
          <w:sz w:val="22"/>
          <w:lang w:val="en-US"/>
        </w:rPr>
        <w:fldChar w:fldCharType="separate"/>
      </w:r>
      <w:r w:rsidR="00C11ED4" w:rsidRPr="00C11ED4">
        <w:rPr>
          <w:rFonts w:ascii="Segoe UI" w:hAnsi="Segoe UI" w:cs="Segoe UI"/>
          <w:sz w:val="22"/>
          <w:lang w:val="en-US"/>
        </w:rPr>
        <w:t>[26, 31, 32]</w:t>
      </w:r>
      <w:r w:rsidR="003712AC" w:rsidRPr="006A7336">
        <w:rPr>
          <w:rFonts w:ascii="Segoe UI" w:hAnsi="Segoe UI" w:cs="Segoe UI"/>
          <w:sz w:val="22"/>
          <w:lang w:val="en-US"/>
        </w:rPr>
        <w:fldChar w:fldCharType="end"/>
      </w:r>
      <w:r w:rsidR="00E275AD" w:rsidRPr="006A7336">
        <w:rPr>
          <w:rFonts w:ascii="Segoe UI" w:hAnsi="Segoe UI" w:cs="Segoe UI"/>
          <w:sz w:val="22"/>
          <w:lang w:val="en-US"/>
        </w:rPr>
        <w:t>.</w:t>
      </w:r>
      <w:r w:rsidR="003712AC" w:rsidRPr="006A7336">
        <w:rPr>
          <w:rFonts w:ascii="Segoe UI" w:hAnsi="Segoe UI" w:cs="Segoe UI"/>
          <w:sz w:val="22"/>
          <w:lang w:val="en-US"/>
        </w:rPr>
        <w:t xml:space="preserve"> People with higher education are more likely to engage in regular physical activity, follow healthier eating habits, and are less likely to smoke and be obese </w:t>
      </w:r>
      <w:r w:rsidR="00BA1DF3" w:rsidRPr="006A7336">
        <w:rPr>
          <w:rFonts w:ascii="Segoe UI" w:hAnsi="Segoe UI" w:cs="Segoe UI"/>
          <w:sz w:val="22"/>
          <w:lang w:val="en-US"/>
        </w:rPr>
        <w:t>-</w:t>
      </w:r>
      <w:r w:rsidR="003712AC" w:rsidRPr="006A7336">
        <w:rPr>
          <w:rFonts w:ascii="Segoe UI" w:hAnsi="Segoe UI" w:cs="Segoe UI"/>
          <w:sz w:val="22"/>
          <w:lang w:val="en-US"/>
        </w:rPr>
        <w:t xml:space="preserve"> </w:t>
      </w:r>
      <w:proofErr w:type="spellStart"/>
      <w:r w:rsidR="003712AC" w:rsidRPr="006A7336">
        <w:rPr>
          <w:rFonts w:ascii="Segoe UI" w:hAnsi="Segoe UI" w:cs="Segoe UI"/>
          <w:sz w:val="22"/>
          <w:lang w:val="en-US"/>
        </w:rPr>
        <w:t>behaviours</w:t>
      </w:r>
      <w:proofErr w:type="spellEnd"/>
      <w:r w:rsidR="003712AC" w:rsidRPr="006A7336">
        <w:rPr>
          <w:rFonts w:ascii="Segoe UI" w:hAnsi="Segoe UI" w:cs="Segoe UI"/>
          <w:sz w:val="22"/>
          <w:lang w:val="en-US"/>
        </w:rPr>
        <w:t xml:space="preserve"> that are well-known determinants of physical frailty and sarcopenia </w:t>
      </w:r>
      <w:r w:rsidR="00FF35F7"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yaEHw3cP","properties":{"formattedCitation":"[33\\uc0\\u8211{}35]","plainCitation":"[33–35]","noteIndex":0},"citationItems":[{"id":5458,"uris":["http://zotero.org/users/local/mYpTJneC/items/BI97EGAP"],"itemData":{"id":5458,"type":"article-journal","abstract":"Education and risky health behaviors are strongly negatively correlated. Education may affect health behaviors by enabling healthier choices through higher disposable income, increasing information about the harmful effects of risky health behaviors, or altering time preferences. Alternatively, the observed negative correlation may stem from reverse causality or unobserved confounders. Based on the data from the Cardiovascular Risk in Young Finns Study linked to register-based information on educational attainment and family background, this paper identifies the causal effect of education on risky health behaviors. To examine causal effects, we used a genetic score as an instrument for years of education. We found that individuals with higher education allocated more attention to healthy habits. In terms of health behaviors, highly educated people were less likely to smoke. Some model specifications also indicated that the highly educated consumed more fruit and vegetables, but the results were imprecise in this regard. No causal effect was found between education and abusive drinking. In brief, inference based on genetic instruments showed that higher education leads to better choices in some but not all dimensions of health behaviors.","container-title":"Economics &amp; Human Biology","DOI":"10.1016/j.ehb.2022.101134","ISSN":"1570-677X","journalAbbreviation":"Economics &amp; Human Biology","page":"101134","source":"ScienceDirect","title":"Does better education mitigate risky health behavior? A mendelian randomization study","title-short":"Does better education mitigate risky health behavior?","volume":"46","author":[{"family":"Viinikainen","given":"Jutta"},{"family":"Bryson","given":"Alex"},{"family":"Böckerman","given":"Petri"},{"family":"Kari","given":"Jaana T."},{"family":"Lehtimäki","given":"Terho"},{"family":"Raitakari","given":"Olli"},{"family":"Viikari","given":"Jorma"},{"family":"Pehkonen","given":"Jaakko"}],"issued":{"date-parts":[["2022",8,1]]}}},{"id":5461,"uris":["http://zotero.org/users/local/mYpTJneC/items/HCU5DTNI"],"itemData":{"id":5461,"type":"article-journal","abstract":"Physical inactivity is a major health risk worldwide. Observational studies suggest that higher education is positively related to physical activity, but it is not clear whether this relationship constitutes a causal effect. Using participants (N = 1651) drawn from the Cardiovascular Risk in Young Finns Study linked to nationwide administrative data from Statistics Finland, this study examined whether educational attainment, measured by years of education, is related to adulthood physical activity in terms of overall physical activity, weekly hours of intensive activity, total steps per day, and aerobic steps per day. We employed ordinary least squares (OLS) models and extended the analysis using an instrumental variables approach (Mendelian randomization, MR) with a genetic risk score as an instrument for years of education. Based on the MR results, it was found that years of education is positively related to physical activity. On average, one additional year of education leads to a 0.62-unit higher overall physical activity (P &lt; .01), 0.26 more hours of weekly intensive activity (P &lt; .05), 560 more steps per day (P &lt; .10), and 390 more aerobic steps per day (P &lt; .09). The findings indicate that education may be a factor leading to higher leisure-time physical activity and thus promoting global health.","container-title":"Scandinavian Journal of Medicine &amp; Science in Sports","DOI":"10.1111/sms.13653","ISSN":"1600-0838","issue":"7","language":"en","license":"© 2020 The Authors. Scandinavian Journal of Medicine &amp; Science In Sports published by John Wiley &amp; Sons Ltd","note":"_eprint: https://onlinelibrary.wiley.com/doi/pdf/10.1111/sms.13653","page":"1194-1204","source":"Wiley Online Library","title":"Education leads to a more physically active lifestyle: Evidence based on Mendelian randomization","title-short":"Education leads to a more physically active lifestyle","volume":"30","author":[{"family":"Kari","given":"Jaana T."},{"family":"Viinikainen","given":"Jutta"},{"family":"Böckerman","given":"Petri"},{"family":"Tammelin","given":"Tuija H."},{"family":"Pitkänen","given":"Niina"},{"family":"Lehtimäki","given":"Terho"},{"family":"Pahkala","given":"Katja"},{"family":"Hirvensalo","given":"Mirja"},{"family":"Raitakari","given":"Olli T."},{"family":"Pehkonen","given":"Jaakko"}],"issued":{"date-parts":[["2020"]]}}},{"id":5464,"uris":["http://zotero.org/users/local/mYpTJneC/items/FDZIDE4H"],"itemData":{"id":5464,"type":"article-journal","abstract":"BACKGROUND: Frail older adults are heavy users of health and social care. In order to reduce the costs associated with frailty in older age groups, safe and cost-effective strategies are required that will reduce the incidence and severity of frailty.\nOBJECTIVE: We investigated whether self-reported intensity of physical activity (sedentary, mild, moderate or vigorous) performed at least once a week can significantly reduce trajectories of frailty in older adults who are classified as non-frail at baseline (Rockwood's Frailty Index [FI] ≤ 0.25).\nMETHODS: Multi-level growth curve modelling was used to assess trajectories of frailty in 8649 non-frail adults aged 50 and over and according to baseline self-reported intensity of physical activity. Frailty was measured in five-year age cohorts based on age at baseline (50-54; 55-59; 60-64; 65-69; 70-74; 75-79; 80+) on up to 6 occasions, providing an average of 10 years of follow-up. All models were adjusted for baseline sex, education, wealth, cohabitation, smoking, and alcohol consumption.\nRESULTS: Compared with the sedentary reference group, mild physical activity was insufficient to significantly slow the progression of frailty, moderate physical activity reduced the progression of frailty in some age groups (particularly ages 65 and above) and vigorous activity significantly reduced the trajectory of frailty progression in all older adults.\nCONCLUSION: Healthy non-frail older adults require higher intensities of physical activity for continued improvement in frailty trajectories.","container-title":"PloS One","DOI":"10.1371/journal.pone.0170878","ISSN":"1932-6203","issue":"2","journalAbbreviation":"PLoS One","language":"eng","page":"e0170878","PMID":"28152084","PMCID":"PMC5289530","source":"PubMed","title":"Physical activity and trajectories of frailty among older adults: Evidence from the English Longitudinal Study of Ageing","title-short":"Physical activity and trajectories of frailty among older adults","volume":"12","author":[{"family":"Rogers","given":"Nina T."},{"family":"Marshall","given":"Alan"},{"family":"Roberts","given":"Chrissy H."},{"family":"Demakakos","given":"Panayotes"},{"family":"Steptoe","given":"Andrew"},{"family":"Scholes","given":"Shaun"}],"issued":{"date-parts":[["2017"]]}}}],"schema":"https://github.com/citation-style-language/schema/raw/master/csl-citation.json"} </w:instrText>
      </w:r>
      <w:r w:rsidR="00FF35F7" w:rsidRPr="006A7336">
        <w:rPr>
          <w:rFonts w:ascii="Segoe UI" w:hAnsi="Segoe UI" w:cs="Segoe UI"/>
          <w:sz w:val="22"/>
          <w:lang w:val="en-US"/>
        </w:rPr>
        <w:fldChar w:fldCharType="separate"/>
      </w:r>
      <w:r w:rsidR="00C11ED4" w:rsidRPr="00C11ED4">
        <w:rPr>
          <w:rFonts w:ascii="Segoe UI" w:hAnsi="Segoe UI" w:cs="Segoe UI"/>
          <w:sz w:val="22"/>
          <w:lang w:val="en-US"/>
        </w:rPr>
        <w:t>[33–35]</w:t>
      </w:r>
      <w:r w:rsidR="00FF35F7" w:rsidRPr="006A7336">
        <w:rPr>
          <w:rFonts w:ascii="Segoe UI" w:hAnsi="Segoe UI" w:cs="Segoe UI"/>
          <w:sz w:val="22"/>
          <w:lang w:val="en-US"/>
        </w:rPr>
        <w:fldChar w:fldCharType="end"/>
      </w:r>
      <w:r w:rsidR="00FF35F7" w:rsidRPr="006A7336">
        <w:rPr>
          <w:rFonts w:ascii="Segoe UI" w:hAnsi="Segoe UI" w:cs="Segoe UI"/>
          <w:sz w:val="22"/>
          <w:lang w:val="en-US"/>
        </w:rPr>
        <w:t>.</w:t>
      </w:r>
      <w:r w:rsidR="003712AC" w:rsidRPr="006A7336">
        <w:rPr>
          <w:rFonts w:ascii="Segoe UI" w:hAnsi="Segoe UI" w:cs="Segoe UI"/>
          <w:b/>
          <w:bCs/>
          <w:sz w:val="22"/>
          <w:lang w:val="en-US"/>
        </w:rPr>
        <w:t xml:space="preserve"> </w:t>
      </w:r>
      <w:r w:rsidR="003712AC" w:rsidRPr="006A7336">
        <w:rPr>
          <w:rFonts w:ascii="Segoe UI" w:hAnsi="Segoe UI" w:cs="Segoe UI"/>
          <w:sz w:val="22"/>
          <w:lang w:val="en-US"/>
        </w:rPr>
        <w:t>This is consistent with our findings, which indicate that an unhealthy lifestyle was an independent predictor of frailty. Furthermore, educational attainment is a key component of socioeconomic status, influencing access to healthcare resources throughout life, quality of working conditions, and exposure to physical or occupational stressors</w:t>
      </w:r>
      <w:r w:rsidR="00283C96" w:rsidRPr="006A7336">
        <w:rPr>
          <w:rFonts w:ascii="Segoe UI" w:hAnsi="Segoe UI" w:cs="Segoe UI"/>
          <w:sz w:val="22"/>
          <w:lang w:val="en-US"/>
        </w:rPr>
        <w:t xml:space="preserve"> </w:t>
      </w:r>
      <w:r w:rsidR="00283C96"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{"citationID":"a7xhESWC","properties":{"formattedCitation":"[36]","plainCitation":"[36]","noteIndex":0},"citationItems":[{"id":5467,"uris":["http://zotero.org/users/local/mYpTJneC/items/ZRRVHZZB"],"itemData":{"id":5467,"type":"article-journal","abstract":"BACKGROUND: Frailty is associated with older age and multimorbidity (two or more long-term conditions); however, little is known about its prevalence or effects on mortality in younger populations. This paper aims to examine the association between frailty, multimorbidity, specific long-term conditions, and mortality in a middle-aged and older aged population.\nMETHODS: Data were sourced from the UK Biobank. Frailty phenotype was based on five criteria (weight loss, exhaustion, grip strength, low physical activity, slow walking pace). Participants were deemed frail if they met at least three criteria, pre-frail if they fulfilled one or two criteria, and not frail if no criteria were met. Sociodemographic characteristics and long-term conditions were examined. The outcome was all-cause mortality, which was measured at a median of 7 years follow-up. Multinomial logistic regression compared sociodemographic characteristics and long-term conditions of frail or pre-frail participants with non-frail participants. Cox proportional hazards models examined associations between frailty or pre-frailty and mortality. Results were stratified by age group (37-45, 45-55, 55-65, 65-73 years) and sex, and were adjusted for multimorbidity count, socioeconomic status, body-mass index, smoking status, and alcohol use.\nFINDINGS: 493 737 participants aged 37-73 years were included in the study, of whom 16 538 (3%) were considered frail, 185 360 (38%) pre-frail, and 291 839 (59%) not frail. Frailty was significantly associated with multimorbidity (prevalence 18% [4435/25 338] in those with four or more long-term conditions; odds ratio [OR] 27·1, 95% CI 25·3-29·1) socioeconomic deprivation, smoking, obesity, and infrequent alcohol consumption. The top five long-term conditions associated with frailty were multiple sclerosis (OR 15·3; 99·75% CI 12·8-18·2); chronic fatigue syndrome (12·9; 11·1-15·0); chronic obstructive pulmonary disease (5·6; 5·2-6·1); connective tissue disease (5·4; 5·0-5·8); and diabetes (5·0; 4·7-5·2). Pre-frailty and frailty were significantly associated with mortality for all age strata in men and women (except in women aged 37-45 years) after adjustment for confounders.\nINTERPRETATION: Efforts to identify, manage, and prevent frailty should include middle-aged individuals with multimorbidity, in whom frailty is significantly associated with mortality, even after adjustment for number of long-term conditions, sociodemographics, and lifestyle. Research, clinical guidelines, and health-care services must shift focus from single conditions to the requirements of increasingly complex patient populations.\nFUNDING: CSO Catalyst Grant and National Health Service Research for Scotland Career Research Fellowship.","container-title":"The Lancet. Public Health","DOI":"10.1016/S2468-2667(18)30091-4","ISSN":"2468-2667","issue":"7","journalAbbreviation":"Lancet Public Health","language":"eng","page":"e323-e332","PMID":"29908859","PMCID":"PMC6028743","source":"PubMed","title":"Frailty and pre-frailty in middle-aged and older adults and its association with multimorbidity and mortality: a prospective analysis of 493 737 UK Biobank participants","title-short":"Frailty and pre-frailty in middle-aged and older adults and its association with multimorbidity and mortality","volume":"3","author":[{"family":"Hanlon","given":"Peter"},{"family":"Nicholl","given":"Barbara I."},{"family":"Jani","given":"Bhautesh Dinesh"},{"family":"Lee","given":"Duncan"},{"family":"McQueenie","given":"Ross"},{"family":"Mair","given":"Frances S."}],"issued":{"date-parts":[["2018",7]]}}}],"schema":"https://github.com/citation-style-language/schema/raw/master/csl-citation.json"} </w:instrText>
      </w:r>
      <w:r w:rsidR="00283C96" w:rsidRPr="006A7336">
        <w:rPr>
          <w:rFonts w:ascii="Segoe UI" w:hAnsi="Segoe UI" w:cs="Segoe UI"/>
          <w:sz w:val="22"/>
          <w:lang w:val="en-US"/>
        </w:rPr>
        <w:fldChar w:fldCharType="separate"/>
      </w:r>
      <w:r w:rsidR="00C11ED4" w:rsidRPr="00C11ED4">
        <w:rPr>
          <w:rFonts w:ascii="Segoe UI" w:hAnsi="Segoe UI" w:cs="Segoe UI"/>
          <w:sz w:val="22"/>
          <w:lang w:val="en-US"/>
        </w:rPr>
        <w:t>[36]</w:t>
      </w:r>
      <w:r w:rsidR="00283C96" w:rsidRPr="006A7336">
        <w:rPr>
          <w:rFonts w:ascii="Segoe UI" w:hAnsi="Segoe UI" w:cs="Segoe UI"/>
          <w:sz w:val="22"/>
          <w:lang w:val="en-US"/>
        </w:rPr>
        <w:fldChar w:fldCharType="end"/>
      </w:r>
      <w:r w:rsidR="003712AC" w:rsidRPr="006A7336">
        <w:rPr>
          <w:rFonts w:ascii="Segoe UI" w:hAnsi="Segoe UI" w:cs="Segoe UI"/>
          <w:sz w:val="22"/>
          <w:lang w:val="en-US"/>
        </w:rPr>
        <w:t xml:space="preserve">. These long-term differences accumulate over a lifetime and can shape an individual's physiological reserves, thereby influencing susceptibility to physical decline in later life </w:t>
      </w:r>
      <w:r w:rsidR="00283C96"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{"citationID":"BOe9BQI5","properties":{"formattedCitation":"[28, 37]","plainCitation":"[28, 37]","noteIndex":0},"citationItems":[{"id":5470,"uris":["http://zotero.org/users/local/mYpTJneC/items/CKH6AFCH"],"itemData":{"id":5470,"type":"article-journal","abstract":"Frailty is the most problematic expression of population ageing. It is a state of vulnerability to poor resolution of homoeostasis after a stressor event and is a consequence of cumulative decline in many physiological systems during a lifetime. This cumulative decline depletes homoeostatic reserves until minor stressor events trigger disproportionate changes in health status. In landmark studies, investigators have developed valid models of frailty and these models have allowed epidemiological investigations that show the association between frailty and adverse health outcomes. We need to develop more efficient methods to detect frailty and measure its severity in routine clinical practice, especially methods that are useful for primary care. Such progress would greatly inform the appropriate selection of elderly people for invasive procedures or drug treatments and would be the basis for a shift in the care of frail elderly people towards more appropriate goal-directed care.","container-title":"Lancet (London, England)","DOI":"10.1016/S0140-6736(12)62167-9","ISSN":"1474-547X","issue":"9868","journalAbbreviation":"Lancet","language":"eng","page":"752-762","PMID":"23395245","PMCID":"PMC4098658","source":"PubMed","title":"Frailty in elderly people","volume":"381","author":[{"family":"Clegg","given":"Andrew"},{"family":"Young","given":"John"},{"family":"Iliffe","given":"Steve"},{"family":"Rikkert","given":"Marcel Olde"},{"family":"Rockwood","given":"Kenneth"}],"issued":{"date-parts":[["2013",3,2]]}}},{"id":5473,"uris":["http://zotero.org/users/local/mYpTJneC/items/W3B8LFK4"],"itemData":{"id":5473,"type":"article-journal","abstract":"BACKGROUND: Physical frailty is a common characteristic of older people with the ageing process and has been viewed as a major public health issue. The longitudinal association between different social engagement and physical frailty among older people has not been explored adequately in China. Marital status forms a critical context for the link between social engagement and frailty among older people, which might constitute a moderating process. The purpose of the present study is to investigate the longitudinal association between social engagement and the changes in physical frailty among Chinese older adults, and to examine whether the association between social engagement and frailty differs by marital status.\nMETHODS: The data use in this study were from the data from the China Health and Retirement Longitudinal Study aged 60+ years from 2011 to 2015. A total of 6575 respondents who participated in at least one follow-up wave were included in the analysis. The relationship between social engagement and changes in frailty over time, and the moderating role of marital status were estimated using individual fixed-effects models. Sensitive analyses were conducted to test the robustness of the results.\nRESULTS: After adjusting the confounders, participants who interact with friends (Coef: -1.309, P &lt; 0.001), engaging in hobby groups (Coef: -1.189, P &lt; 0.001), engaging in sports groups (Coef: -0.945, P = 0.001), and volunteering (Coef: -1.957, P = 0.001) with a frequency of almost daily had a significantly lower frailty risk than participants who never engaging in those activities. The association between frequent engaging in hobby groups and physical frailty was strongest for unmarried than married older adults (Coef: -1.325, P = 0.031).\nCONCLUSIONS: Frequent social engagement might help to decrease the risk of frailty in the Chinese older population. This finding has important implications for public health policy and encourages the incorporation of a broad range of social engagement into the daily lives of older individuals. Specially, encouraging unmarried older adults to engage in intellectual activities, such as playing chess or Mahjong with others, may be an effective way to reduce physical frailty.","container-title":"BMC geriatrics","DOI":"10.1186/s12877-021-02194-x","ISSN":"1471-2318","issue":"1","journalAbbreviation":"BMC Geriatr","language":"eng","page":"248","PMID":"33858354","PMCID":"PMC8047563","source":"PubMed","title":"Social engagement and physical frailty in later life: does marital status matter?","title-short":"Social engagement and physical frailty in later life","volume":"21","author":[{"family":"Wang","given":"Yi"},{"family":"Chen","given":"Zhuo"},{"family":"Zhou","given":"Chengchao"}],"issued":{"date-parts":[["2021",4,15]]}}}],"schema":"https://github.com/citation-style-language/schema/raw/master/csl-citation.json"} </w:instrText>
      </w:r>
      <w:r w:rsidR="00283C96" w:rsidRPr="006A7336">
        <w:rPr>
          <w:rFonts w:ascii="Segoe UI" w:hAnsi="Segoe UI" w:cs="Segoe UI"/>
          <w:sz w:val="22"/>
          <w:lang w:val="en-US"/>
        </w:rPr>
        <w:fldChar w:fldCharType="separate"/>
      </w:r>
      <w:r w:rsidR="00C11ED4" w:rsidRPr="00C11ED4">
        <w:rPr>
          <w:rFonts w:ascii="Segoe UI" w:hAnsi="Segoe UI" w:cs="Segoe UI"/>
          <w:sz w:val="22"/>
          <w:lang w:val="en-US"/>
        </w:rPr>
        <w:t>[28, 37]</w:t>
      </w:r>
      <w:r w:rsidR="00283C96" w:rsidRPr="006A7336">
        <w:rPr>
          <w:rFonts w:ascii="Segoe UI" w:hAnsi="Segoe UI" w:cs="Segoe UI"/>
          <w:sz w:val="22"/>
          <w:lang w:val="en-US"/>
        </w:rPr>
        <w:fldChar w:fldCharType="end"/>
      </w:r>
      <w:r w:rsidR="00283C96" w:rsidRPr="006A7336">
        <w:rPr>
          <w:rFonts w:ascii="Segoe UI" w:hAnsi="Segoe UI" w:cs="Segoe UI"/>
          <w:sz w:val="22"/>
          <w:lang w:val="en-US"/>
        </w:rPr>
        <w:t>.</w:t>
      </w:r>
      <w:r w:rsidR="003712AC" w:rsidRPr="006A7336">
        <w:rPr>
          <w:rFonts w:ascii="Segoe UI" w:hAnsi="Segoe UI" w:cs="Segoe UI"/>
          <w:sz w:val="22"/>
          <w:lang w:val="en-US"/>
        </w:rPr>
        <w:t xml:space="preserve"> All of these findings suggest that the relationship between educational status and physical frailty is multifactorial and involves </w:t>
      </w:r>
      <w:proofErr w:type="spellStart"/>
      <w:r w:rsidR="003712AC" w:rsidRPr="006A7336">
        <w:rPr>
          <w:rFonts w:ascii="Segoe UI" w:hAnsi="Segoe UI" w:cs="Segoe UI"/>
          <w:sz w:val="22"/>
          <w:lang w:val="en-US"/>
        </w:rPr>
        <w:lastRenderedPageBreak/>
        <w:t>behavioural</w:t>
      </w:r>
      <w:proofErr w:type="spellEnd"/>
      <w:r w:rsidR="003712AC" w:rsidRPr="006A7336">
        <w:rPr>
          <w:rFonts w:ascii="Segoe UI" w:hAnsi="Segoe UI" w:cs="Segoe UI"/>
          <w:sz w:val="22"/>
          <w:lang w:val="en-US"/>
        </w:rPr>
        <w:t>, socio-economic, and psychosocial pathways that operate cumulatively throughout the life course.</w:t>
      </w:r>
    </w:p>
    <w:p w14:paraId="1615582B" w14:textId="0142D3C0" w:rsidR="00AC766C"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Depression reduces the quality of life of patients with cardiovascular disease and limits the achievement of the benefits of modern treatment</w:t>
      </w:r>
      <w:r w:rsidR="00045085" w:rsidRPr="006A7336">
        <w:rPr>
          <w:rFonts w:ascii="Segoe UI" w:hAnsi="Segoe UI" w:cs="Segoe UI"/>
          <w:sz w:val="22"/>
          <w:lang w:val="en-US"/>
        </w:rPr>
        <w:t xml:space="preserve"> </w:t>
      </w:r>
      <w:r w:rsidR="0004508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{"citationID":"ibJqDvad","properties":{"formattedCitation":"[38, 39]","plainCitation":"[38, 39]","noteIndex":0},"citationItems":[{"id":2507,"uris":["http://zotero.org/users/local/mYpTJneC/items/E8A9ZKNC"],"itemData":{"id":2507,"type":"article-journal","abstract":"BACKGROUND: Transcatheter aortic-valve implantation (TAVI) has been shown to improve survival and quality of life in patients with severe aortic stenosis. However, one-third of patients have poor outcome as death, functional decline or quality of life (QoL) decline. The aim of this study was to determine cardiac and geriatric predictors of physical and mental QoL decline 6 months after a TAVI procedure in patients aged 75 and older.\nMETHODS: Between January 2013 and June 2014, we did a prospective and multicenter study including patients ≥ 75 years old referred for TAVI. The primary outcome was the measure of QoL, assessed by the Short Form 36 survey (SF-36), before and 6 months after the intervention. Association between QoL decline and baseline characteristics including cardiac and geriatric factors was analysed by logistic regression models.\nRESULTS: Mean age of the 150 patients studied was 83.7 years old and 56% were men. The primary end point, mean SF-36 physical summary score, significantly improved between baseline and 6-month (33.6 vs. 36.4, p=0.003) whereas mental component score significantly decreased (48.2 vs. 36.4, p-value&lt;0.001). However, patients with presence of depressive symptoms before the intervention had mental QoL improvement at six months (OR 0.04 [0.01-0.19], p-value&lt;0.001) and no significant geriatric predictors were associated with physical QoL decline.\nCONCLUSION: The mental QoL significantly decreased and patients with preoperative depressive symptoms had mental QoL improvement at six months. Researches are needed to confirm that mental QoL of patients with depressive symptoms can be improved by TAVI.","container-title":"The Journal of Nutrition, Health &amp; Aging","DOI":"10.1007/s12603-016-0739-5","ISSN":"1760-4788","issue":"1","journalAbbreviation":"J Nutr Health Aging","language":"eng","page":"105-111","PMID":"27999856","source":"PubMed","title":"Predictors of Health-Related Quality of Life Decline after Transcatheter Aortic Valve Replacement in Older Patients with Severe Aortic Stenosis","volume":"21","author":[{"family":"Boureau","given":"A. S."},{"family":"Trochu","given":"J. N."},{"family":"Rouaud","given":"A."},{"family":"Hureau","given":"R."},{"family":"Jaafar","given":"P."},{"family":"Manigold","given":"T."},{"family":"Letocart","given":"V."},{"family":"Guerin","given":"P."},{"family":"Berrut","given":"G."},{"family":"Decker","given":"L.","non-dropping-particle":"de"}],"issued":{"date-parts":[["2017"]]}}},{"id":2496,"uris":["http://zotero.org/users/local/mYpTJneC/items/CLFD4YAC"],"itemData":{"id":2496,"type":"article-journal","abstract":"Quality of life is an important factor influencing mood. In any group of elderly people undergoing valve implementation or surgical aortic valve replacement, one in three will have depressive symptoms. The aims of this study were as follows: 1. to evaluate the impact of health-related quality of life on depressive symptoms in elderly patients undergoing TAVI, and 2. to analyze beliefs about TAVI. Methods: A total of 131 elderly people (mean age: 82.1 ± 6.1 years) scheduled to receive TAVI completed the Geriatric Depression Scale, EQ-5D-3L, and Mini Mental State Examination. A total of 43 patients completed the questionnaires after the treatment. The narrative interview analyses were performed based on 20 randomly selected patients after TAVI. Results: The mean level of general depression before TAVI was 4.19 ± 2.83, and after it was 3.12 ± 2.52 (p = 0.02), and the frequency decreased from 20% to 3%. An increase in the level of activity and number of interests and a decrease in life satisfaction were identified. The higher the general quality of life was, the lower the levels of depressiveness before and after TAVI were (r = 0.26 vs. r = 0.48; p &lt; 0.05). Conclusions: Patients differed in their depressive symptoms, as well as their intensity and frequency, before and after TAVI. These results underscore the importance of screening for depression at baseline and reassessing changes in depressiveness during follow-up.","container-title":"Healthcare (Basel, Switzerland)","DOI":"10.3390/healthcare10112211","ISSN":"2227-9032","issue":"11","journalAbbreviation":"Healthcare (Basel)","language":"eng","page":"2211","PMID":"36360552","PMCID":"PMC9690735","source":"PubMed","title":"Quality of Life and Depressive Symptoms in Transcatheter Aortic Valve Implementation Patients-A Cross-Sectional Study","volume":"10","author":[{"family":"Olszewska-Turek","given":"Katarzyna"},{"family":"Bętkowska-Korpała","given":"Barbara"}],"issued":{"date-parts":[["2022",11,3]]}}}],"schema":"https://github.com/citation-style-language/schema/raw/master/csl-citation.json"} </w:instrText>
      </w:r>
      <w:r w:rsidR="00045085" w:rsidRPr="006A7336">
        <w:rPr>
          <w:rFonts w:ascii="Segoe UI" w:hAnsi="Segoe UI" w:cs="Segoe UI"/>
          <w:sz w:val="22"/>
        </w:rPr>
        <w:fldChar w:fldCharType="separate"/>
      </w:r>
      <w:r w:rsidR="00C11ED4" w:rsidRPr="00C11ED4">
        <w:rPr>
          <w:rFonts w:ascii="Segoe UI" w:hAnsi="Segoe UI" w:cs="Segoe UI"/>
          <w:sz w:val="22"/>
          <w:lang w:val="en-US"/>
        </w:rPr>
        <w:t>[38, 39]</w:t>
      </w:r>
      <w:r w:rsidR="00045085" w:rsidRPr="006A7336">
        <w:rPr>
          <w:rFonts w:ascii="Segoe UI" w:hAnsi="Segoe UI" w:cs="Segoe UI"/>
          <w:sz w:val="22"/>
        </w:rPr>
        <w:fldChar w:fldCharType="end"/>
      </w:r>
      <w:r w:rsidRPr="006A7336">
        <w:rPr>
          <w:rFonts w:ascii="Segoe UI" w:hAnsi="Segoe UI" w:cs="Segoe UI"/>
          <w:sz w:val="22"/>
          <w:lang w:val="en-US"/>
        </w:rPr>
        <w:t>. Mental health, including levels of anxiety and depression, plays an important role in shaping the condition of patients with AS. Depression in patients after TAVI is associated with high mortality five years after the procedure</w:t>
      </w:r>
      <w:r w:rsidR="00045085" w:rsidRPr="006A7336">
        <w:rPr>
          <w:rFonts w:ascii="Segoe UI" w:hAnsi="Segoe UI" w:cs="Segoe UI"/>
          <w:sz w:val="22"/>
          <w:lang w:val="en-US"/>
        </w:rPr>
        <w:t xml:space="preserve"> </w:t>
      </w:r>
      <w:r w:rsidR="0004508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{"citationID":"zkn6bcsk","properties":{"formattedCitation":"[40]","plainCitation":"[40]","noteIndex":0},"citationItems":[{"id":2505,"uris":["http://zotero.org/users/local/mYpTJneC/items/H59M9PJS"],"itemData":{"id":2505,"type":"article-journal","container-title":"The American Journal of Cardiology","DOI":"10.1016/j.amjcard.2021.06.028","ISSN":"1879-1913","journalAbbreviation":"Am J Cardiol","language":"eng","page":"151-152","PMID":"34284865","source":"PubMed","title":"The Effect of Clinical Depression on Post-TAVI All-Cause Mortality","volume":"155","author":[{"family":"Annie","given":"Frank H."},{"family":"Dave","given":"Sahil"},{"family":"Ahmed","given":"Fatima"},{"family":"Nanjundappa","given":"Aravinda"},{"family":"Mukherjee","given":"Debabrata"}],"issued":{"date-parts":[["2021",9,15]]}}}],"schema":"https://github.com/citation-style-language/schema/raw/master/csl-citation.json"} </w:instrText>
      </w:r>
      <w:r w:rsidR="00045085" w:rsidRPr="006A7336">
        <w:rPr>
          <w:rFonts w:ascii="Segoe UI" w:hAnsi="Segoe UI" w:cs="Segoe UI"/>
          <w:sz w:val="22"/>
        </w:rPr>
        <w:fldChar w:fldCharType="separate"/>
      </w:r>
      <w:r w:rsidR="00C11ED4" w:rsidRPr="00C11ED4">
        <w:rPr>
          <w:rFonts w:ascii="Segoe UI" w:hAnsi="Segoe UI" w:cs="Segoe UI"/>
          <w:sz w:val="22"/>
          <w:lang w:val="en-US"/>
        </w:rPr>
        <w:t>[40]</w:t>
      </w:r>
      <w:r w:rsidR="00045085" w:rsidRPr="006A7336">
        <w:rPr>
          <w:rFonts w:ascii="Segoe UI" w:hAnsi="Segoe UI" w:cs="Segoe UI"/>
          <w:sz w:val="22"/>
        </w:rPr>
        <w:fldChar w:fldCharType="end"/>
      </w:r>
      <w:r w:rsidR="00045085" w:rsidRPr="006A7336">
        <w:rPr>
          <w:rFonts w:ascii="Segoe UI" w:hAnsi="Segoe UI" w:cs="Segoe UI"/>
          <w:sz w:val="22"/>
          <w:lang w:val="en-US"/>
        </w:rPr>
        <w:t xml:space="preserve">. </w:t>
      </w:r>
      <w:r w:rsidRPr="006A7336">
        <w:rPr>
          <w:rFonts w:ascii="Segoe UI" w:hAnsi="Segoe UI" w:cs="Segoe UI"/>
          <w:sz w:val="22"/>
          <w:lang w:val="en-US"/>
        </w:rPr>
        <w:t xml:space="preserve">A reduction in the incidence of depression has also been observed among patients undergoing TAVI, which may be related to the resolution or alleviation of AS symptoms after the intervention </w:t>
      </w:r>
      <w:r w:rsidR="0004508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{"citationID":"njTyNfD2","properties":{"formattedCitation":"[39]","plainCitation":"[39]","noteIndex":0},"citationItems":[{"id":2496,"uris":["http://zotero.org/users/local/mYpTJneC/items/CLFD4YAC"],"itemData":{"id":2496,"type":"article-journal","abstract":"Quality of life is an important factor influencing mood. In any group of elderly people undergoing valve implementation or surgical aortic valve replacement, one in three will have depressive symptoms. The aims of this study were as follows: 1. to evaluate the impact of health-related quality of life on depressive symptoms in elderly patients undergoing TAVI, and 2. to analyze beliefs about TAVI. Methods: A total of 131 elderly people (mean age: 82.1 ± 6.1 years) scheduled to receive TAVI completed the Geriatric Depression Scale, EQ-5D-3L, and Mini Mental State Examination. A total of 43 patients completed the questionnaires after the treatment. The narrative interview analyses were performed based on 20 randomly selected patients after TAVI. Results: The mean level of general depression before TAVI was 4.19 ± 2.83, and after it was 3.12 ± 2.52 (p = 0.02), and the frequency decreased from 20% to 3%. An increase in the level of activity and number of interests and a decrease in life satisfaction were identified. The higher the general quality of life was, the lower the levels of depressiveness before and after TAVI were (r = 0.26 vs. r = 0.48; p &lt; 0.05). Conclusions: Patients differed in their depressive symptoms, as well as their intensity and frequency, before and after TAVI. These results underscore the importance of screening for depression at baseline and reassessing changes in depressiveness during follow-up.","container-title":"Healthcare (Basel, Switzerland)","DOI":"10.3390/healthcare10112211","ISSN":"2227-9032","issue":"11","journalAbbreviation":"Healthcare (Basel)","language":"eng","page":"2211","PMID":"36360552","PMCID":"PMC9690735","source":"PubMed","title":"Quality of Life and Depressive Symptoms in Transcatheter Aortic Valve Implementation Patients-A Cross-Sectional Study","volume":"10","author":[{"family":"Olszewska-Turek","given":"Katarzyna"},{"family":"Bętkowska-Korpała","given":"Barbara"}],"issued":{"date-parts":[["2022",11,3]]}}}],"schema":"https://github.com/citation-style-language/schema/raw/master/csl-citation.json"} </w:instrText>
      </w:r>
      <w:r w:rsidR="00045085" w:rsidRPr="006A7336">
        <w:rPr>
          <w:rFonts w:ascii="Segoe UI" w:hAnsi="Segoe UI" w:cs="Segoe UI"/>
          <w:sz w:val="22"/>
        </w:rPr>
        <w:fldChar w:fldCharType="separate"/>
      </w:r>
      <w:r w:rsidR="00C11ED4" w:rsidRPr="00C11ED4">
        <w:rPr>
          <w:rFonts w:ascii="Segoe UI" w:hAnsi="Segoe UI" w:cs="Segoe UI"/>
          <w:sz w:val="22"/>
          <w:lang w:val="en-US"/>
        </w:rPr>
        <w:t>[39]</w:t>
      </w:r>
      <w:r w:rsidR="00045085" w:rsidRPr="006A7336">
        <w:rPr>
          <w:rFonts w:ascii="Segoe UI" w:hAnsi="Segoe UI" w:cs="Segoe UI"/>
          <w:sz w:val="22"/>
        </w:rPr>
        <w:fldChar w:fldCharType="end"/>
      </w:r>
      <w:r w:rsidRPr="006A7336">
        <w:rPr>
          <w:rFonts w:ascii="Segoe UI" w:hAnsi="Segoe UI" w:cs="Segoe UI"/>
          <w:sz w:val="22"/>
          <w:lang w:val="en-US"/>
        </w:rPr>
        <w:t xml:space="preserve">. On the other hand, a study by </w:t>
      </w:r>
      <w:proofErr w:type="spellStart"/>
      <w:r w:rsidRPr="006A7336">
        <w:rPr>
          <w:rFonts w:ascii="Segoe UI" w:hAnsi="Segoe UI" w:cs="Segoe UI"/>
          <w:sz w:val="22"/>
          <w:lang w:val="en-US"/>
        </w:rPr>
        <w:t>Bäz</w:t>
      </w:r>
      <w:proofErr w:type="spellEnd"/>
      <w:r w:rsidRPr="006A7336">
        <w:rPr>
          <w:rFonts w:ascii="Segoe UI" w:hAnsi="Segoe UI" w:cs="Segoe UI"/>
          <w:sz w:val="22"/>
          <w:lang w:val="en-US"/>
        </w:rPr>
        <w:t xml:space="preserve"> et al</w:t>
      </w:r>
      <w:r w:rsidR="00045085" w:rsidRPr="006A7336">
        <w:rPr>
          <w:rFonts w:ascii="Segoe UI" w:hAnsi="Segoe UI" w:cs="Segoe UI"/>
          <w:sz w:val="22"/>
          <w:lang w:val="en-US"/>
        </w:rPr>
        <w:t xml:space="preserve"> </w:t>
      </w:r>
      <w:r w:rsidR="0004508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{"citationID":"tGwZivxA","properties":{"formattedCitation":"[41]","plainCitation":"[41]","noteIndex":0},"citationItems":[{"id":2499,"uris":["http://zotero.org/users/local/mYpTJneC/items/UPEWETKJ"],"itemData":{"id":2499,"type":"article-journal","abstract":"BACKGROUND: Depression and anxiety are frequently occurring and likely to be linked to the severity of cardiac diseases like aortic stenosis (AS). This seems to be of interest since a staging classification of extra-valvular cardiac damage in AS has been introduced and shown to be of prognostic relevance.\nOBJECTIVE: The current study aimed to investigate the frequency of depression and anxiety in association to staging and their dynamics after transcatheter aortic valve implantation (TAVI).\nMETHODS: A total number of 224 AS patients undergoing TAVI were classified according to the 2017 staging classification into stage 0 to 4 and further dichotomized into group A (stage 0 to 2) and B (stage 3 and 4). Using the Hospital Anxiety and Depression Scale (HADS-D), patients were assigned to depressive versus non-depressive or anxious versus non-anxious per staging group respectively, and analyzed at baseline, 6 weeks, 6 months and 12 months after TAVI.\nRESULTS: After dichotomization, 158 patients (70.5%) were assigned to group A and 66 patients (29.5%) to group B. The part showing pathologic values for depression was 25.4% (57/224 patients) in the entire collective, 26.6% (42/158 patients) in group A and 22.7% (15/66 patients) in group B (p = n.s.). The proportion showing pathologic values for anxiety was 26.8% (60/224 patients) in the entire collective and did not differ between group A (24.7%, 39/158 patients) and B (31.8%, 21/66 patients) (p = n.s.). In patients revealing pathologic values for depression or anxiety prior to TAVI, there were significant and stable improvements over time observable already in short-term (6 weeks) follow-up in group A, and likewise, but later, in long-term (6/12 months) follow-up in group B.\nCONCLUSIONS: Although of proven prognostic relevance, higher stages of extra-valvular cardiac damage are not associated with higher rates of pre-existing depression or anxiety. The TAVI procedure resulted in a persisting reduction of depression and anxiety in patients showing pathologic values at baseline. Notably, these improvements are timely delayed in higher stages.","container-title":"Journal of Clinical Medicine","DOI":"10.3390/jcm10081579","ISSN":"2077-0383","issue":"8","journalAbbreviation":"J Clin Med","language":"eng","page":"1579","PMID":"33918058","PMCID":"PMC8070529","source":"PubMed","title":"Delayed Improvement of Depression and Anxiety after Transcatheter Aortic Valve Implantation (TAVI) in Stages of Extended Extra-Valvular Cardiac Damage","volume":"10","author":[{"family":"Bäz","given":"Laura"},{"family":"Puscholt","given":"Marisa"},{"family":"Lasch","given":"Claudia"},{"family":"Diab","given":"Mahmoud"},{"family":"Möbius-Winkler","given":"Sven"},{"family":"Schulze","given":"P. Christian"},{"family":"Dannberg","given":"Gudrun"},{"family":"Franz","given":"Marcus"}],"issued":{"date-parts":[["2021",4,8]]}}}],"schema":"https://github.com/citation-style-language/schema/raw/master/csl-citation.json"} </w:instrText>
      </w:r>
      <w:r w:rsidR="00045085" w:rsidRPr="006A7336">
        <w:rPr>
          <w:rFonts w:ascii="Segoe UI" w:hAnsi="Segoe UI" w:cs="Segoe UI"/>
          <w:sz w:val="22"/>
        </w:rPr>
        <w:fldChar w:fldCharType="separate"/>
      </w:r>
      <w:r w:rsidR="00C11ED4" w:rsidRPr="00C11ED4">
        <w:rPr>
          <w:rFonts w:ascii="Segoe UI" w:hAnsi="Segoe UI" w:cs="Segoe UI"/>
          <w:sz w:val="22"/>
          <w:lang w:val="en-US"/>
        </w:rPr>
        <w:t>[41]</w:t>
      </w:r>
      <w:r w:rsidR="00045085" w:rsidRPr="006A7336">
        <w:rPr>
          <w:rFonts w:ascii="Segoe UI" w:hAnsi="Segoe UI" w:cs="Segoe UI"/>
          <w:sz w:val="22"/>
        </w:rPr>
        <w:fldChar w:fldCharType="end"/>
      </w:r>
      <w:r w:rsidR="00045085" w:rsidRPr="006A7336">
        <w:rPr>
          <w:rFonts w:ascii="Segoe UI" w:hAnsi="Segoe UI" w:cs="Segoe UI"/>
          <w:sz w:val="22"/>
          <w:lang w:val="en-US"/>
        </w:rPr>
        <w:t xml:space="preserve"> </w:t>
      </w:r>
      <w:r w:rsidRPr="006A7336">
        <w:rPr>
          <w:rFonts w:ascii="Segoe UI" w:hAnsi="Segoe UI" w:cs="Segoe UI"/>
          <w:sz w:val="22"/>
          <w:lang w:val="en-US"/>
        </w:rPr>
        <w:t xml:space="preserve"> showed the prognostic importance of anxiety and depression, but only in lower stages of </w:t>
      </w:r>
      <w:r w:rsidR="00FF0727" w:rsidRPr="006A7336">
        <w:rPr>
          <w:rFonts w:ascii="Segoe UI" w:hAnsi="Segoe UI" w:cs="Segoe UI"/>
          <w:sz w:val="22"/>
          <w:lang w:val="en-US"/>
        </w:rPr>
        <w:t>AS</w:t>
      </w:r>
      <w:r w:rsidRPr="006A7336">
        <w:rPr>
          <w:rFonts w:ascii="Segoe UI" w:hAnsi="Segoe UI" w:cs="Segoe UI"/>
          <w:sz w:val="22"/>
          <w:lang w:val="en-US"/>
        </w:rPr>
        <w:t>. In our study, depression and anxiety were strongly associated with the level of frailty, especially in the mental dimension. The results confirm that mental health plays a key role in the overall condition of patients with heart disease. The reduction in depressive symptoms after TAVI, reported in other studies, indicates the potential benefits of mental health interventions before surgery.</w:t>
      </w:r>
    </w:p>
    <w:p w14:paraId="4BE41B4C" w14:textId="61DAA49E" w:rsidR="00E47170"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Patients with </w:t>
      </w:r>
      <w:r w:rsidR="00FF0727" w:rsidRPr="006A7336">
        <w:rPr>
          <w:rFonts w:ascii="Segoe UI" w:hAnsi="Segoe UI" w:cs="Segoe UI"/>
          <w:sz w:val="22"/>
          <w:lang w:val="en-US"/>
        </w:rPr>
        <w:t>AS</w:t>
      </w:r>
      <w:r w:rsidRPr="006A7336">
        <w:rPr>
          <w:rFonts w:ascii="Segoe UI" w:hAnsi="Segoe UI" w:cs="Segoe UI"/>
          <w:sz w:val="22"/>
          <w:lang w:val="en-US"/>
        </w:rPr>
        <w:t xml:space="preserve"> have to face their physical and cognitive limitations on a daily basis due to the progression of their disease, but also some kind of limitations in their social life. Because of these limitations, they may require more assistance from medical staff to understand information about their condition and planned treatment, and to use this information when deciding whether to undergo TAVI. A study by Falk et al </w:t>
      </w:r>
      <w:r w:rsidR="0004508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{"citationID":"4YAmZNlq","properties":{"formattedCitation":"[42]","plainCitation":"[42]","noteIndex":0},"citationItems":[{"id":4635,"uris":["http://zotero.org/users/local/mYpTJneC/items/WZSKJ98R"],"itemData":{"id":4635,"type":"article-journal","abstract":"BACKGROUND: Patients with CHF (Chronic Heart Failure) is an increasing group in the society. They often experience increasing powerlessness and depression in daily life as well as difficulties adhering to other physical symptoms. Many patients have difficulties to deal with daily demands.\nAIMS: To describe how persons, living with CHF, perceived the maintenance of their daily life.\nMETHODS: This study was following a phenomenographic method in order to describe variations of perceptions. Data was collected through taped interviews, taken from 17 patients. The sample was selected from patients attending a specialist Chronic Heart Failure day care unit.\nRESULTS: Five main categories were identified from 345 statements describing variations in how patients with CHF kept maintenance in their daily life. The categories include: dealing with the realities of life, dealing with thoughts about life's infinity, taking responsibility, dealing with the surrounding world and keeping up with values of life.\nCONCLUSION: The illness symptoms clearly affected daily routines but participants showed remarkable resolve and showed that values in life could be maintained albeit with a few adjustments. No patient expressed a desire to give up. Understanding patients' perceptions the specialist nurse can transfer these knowledge to other patients in similar situations.","container-title":"European Journal of Cardiovascular Nursing","DOI":"10.1016/J.EJCNURSE.2006.09.002","ISSN":"1474-5151","issue":"3","journalAbbreviation":"Eur J Cardiovasc Nurs","language":"eng","page":"192-199","PMID":"17141572","source":"PubMed","title":"Keeping the maintenance of daily life in spite of chronic heart failure. A qualitative study","volume":"6","author":[{"family":"Falk","given":"Solvig"},{"family":"Wahn","given":"Anna-Karin"},{"family":"Lidell","given":"Evy"}],"issued":{"date-parts":[["2007",9]]}}}],"schema":"https://github.com/citation-style-language/schema/raw/master/csl-citation.json"} </w:instrText>
      </w:r>
      <w:r w:rsidR="00045085" w:rsidRPr="006A7336">
        <w:rPr>
          <w:rFonts w:ascii="Segoe UI" w:hAnsi="Segoe UI" w:cs="Segoe UI"/>
          <w:sz w:val="22"/>
        </w:rPr>
        <w:fldChar w:fldCharType="separate"/>
      </w:r>
      <w:r w:rsidR="00C11ED4" w:rsidRPr="00C11ED4">
        <w:rPr>
          <w:rFonts w:ascii="Segoe UI" w:hAnsi="Segoe UI" w:cs="Segoe UI"/>
          <w:sz w:val="22"/>
          <w:lang w:val="en-US"/>
        </w:rPr>
        <w:t>[42]</w:t>
      </w:r>
      <w:r w:rsidR="00045085" w:rsidRPr="006A7336">
        <w:rPr>
          <w:rFonts w:ascii="Segoe UI" w:hAnsi="Segoe UI" w:cs="Segoe UI"/>
          <w:sz w:val="22"/>
        </w:rPr>
        <w:fldChar w:fldCharType="end"/>
      </w:r>
      <w:r w:rsidR="00045085" w:rsidRPr="006A7336">
        <w:rPr>
          <w:rFonts w:ascii="Segoe UI" w:hAnsi="Segoe UI" w:cs="Segoe UI"/>
          <w:sz w:val="22"/>
          <w:lang w:val="en-US"/>
        </w:rPr>
        <w:t xml:space="preserve"> </w:t>
      </w:r>
      <w:r w:rsidRPr="006A7336">
        <w:rPr>
          <w:rFonts w:ascii="Segoe UI" w:hAnsi="Segoe UI" w:cs="Segoe UI"/>
          <w:sz w:val="22"/>
          <w:lang w:val="en-US"/>
        </w:rPr>
        <w:t xml:space="preserve">confirmed that trust and continuity is important in coping with the stress of chronic heart failure, and that skilled nurses are an important source of support for patients. In our own study, patients with higher levels of perceived social support had better scores on social frailty. The literature </w:t>
      </w:r>
      <w:proofErr w:type="spellStart"/>
      <w:r w:rsidRPr="006A7336">
        <w:rPr>
          <w:rFonts w:ascii="Segoe UI" w:hAnsi="Segoe UI" w:cs="Segoe UI"/>
          <w:sz w:val="22"/>
          <w:lang w:val="en-US"/>
        </w:rPr>
        <w:t>emphasised</w:t>
      </w:r>
      <w:proofErr w:type="spellEnd"/>
      <w:r w:rsidRPr="006A7336">
        <w:rPr>
          <w:rFonts w:ascii="Segoe UI" w:hAnsi="Segoe UI" w:cs="Segoe UI"/>
          <w:sz w:val="22"/>
          <w:lang w:val="en-US"/>
        </w:rPr>
        <w:t xml:space="preserve"> that social support from family and friends can positively influence patients' adaptation to new health conditions and improve quality of life</w:t>
      </w:r>
      <w:r w:rsidR="00045085" w:rsidRPr="006A7336">
        <w:rPr>
          <w:rFonts w:ascii="Segoe UI" w:hAnsi="Segoe UI" w:cs="Segoe UI"/>
          <w:sz w:val="22"/>
          <w:lang w:val="en-US"/>
        </w:rPr>
        <w:t xml:space="preserve"> </w:t>
      </w:r>
      <w:r w:rsidR="0004508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{"citationID":"UUnca0Zb","properties":{"formattedCitation":"[43]","plainCitation":"[43]","noteIndex":0},"citationItems":[{"id":4630,"uris":["http://zotero.org/users/local/mYpTJneC/items/KVAH4QFY"],"itemData":{"id":4630,"type":"article-journal","abstract":"BACKGROUND: Living with a left ventricular assist device has significant psychosocial sequelae that affect health-related quality of life (HRQOL).\nOBJECTIVE: The purpose of this study was to (1) describe psychosocial indicators of stress including perceived stress, depression, fatigue, and coping; (2) examine relationships among stress indicators by level of perceived stress; (3) examine relationships among indicators of stress and clinical outcomes; and (4) test the moderation of social support on the relationship between stress and clinical outcomes.\nMETHODS: Participants were recruited from 2 outpatient clinics in a cross-sectional study design. Standardized measures were self-administered via survey. Descriptive statistics, correlation, and multiple linear regression analysis were conducted.\nRESULTS: The sample (N = 62) was mostly male (78%), black (47%), and married (66%), with a mean age of 56.5 ± 13 years. The overall sample had a moderate stress profile: moderate perceived stress (mean, 11.7 ± 7), few depressive symptoms (mean, 3.2 ± 3.9), and moderate fatigue (mean, 14.3 ± 9.1). Increased perceived stress was associated with fatigue, depressive symptoms, and maladaptive coping (P &lt; .001). Regression analysis demonstrated that perceived stress and fatigue were significant correlates of overall HRQOL (adj. R = 0.41, P &lt; .0001). Social support moderated the relationship between perceived stress and HRQOL, controlling for fatigue (R = 0.49, P &lt; .001).\nCONCLUSIONS: Individuals living with left ventricular assist device with high perceived stress have worse depressive symptoms, fatigue, and coping. The influence of high social support to improve the relationship between stress and HRQOL underscores the importance of a comprehensive plan to address psychosocial factors.","container-title":"The Journal of Cardiovascular Nursing","DOI":"10.1097/JCN.0000000000000487","ISSN":"1550-5049","issue":"5","journalAbbreviation":"J Cardiovasc Nurs","language":"eng","page":"E1-E9","PMID":"29683872","PMCID":"PMC6086746","source":"PubMed","title":"Social Support Moderates the Relationship Between Perceived Stress and Quality of Life in Patients With a Left Ventricular Assist Device","volume":"33","author":[{"family":"Abshire","given":"Martha"},{"family":"Russell","given":"Stuart D."},{"family":"Davidson","given":"Patricia M."},{"family":"Budhathoki","given":"Chakra"},{"family":"Han","given":"Hae-Ra"},{"family":"Grady","given":"Kathleen L."},{"family":"Desai","given":"Shashank"},{"family":"Dennison Himmelfarb","given":"Cheryl"}],"issued":{"date-parts":[["2018"]]}}}],"schema":"https://github.com/citation-style-language/schema/raw/master/csl-citation.json"} </w:instrText>
      </w:r>
      <w:r w:rsidR="00045085" w:rsidRPr="006A7336">
        <w:rPr>
          <w:rFonts w:ascii="Segoe UI" w:hAnsi="Segoe UI" w:cs="Segoe UI"/>
          <w:sz w:val="22"/>
        </w:rPr>
        <w:fldChar w:fldCharType="separate"/>
      </w:r>
      <w:r w:rsidR="00C11ED4" w:rsidRPr="00C11ED4">
        <w:rPr>
          <w:rFonts w:ascii="Segoe UI" w:hAnsi="Segoe UI" w:cs="Segoe UI"/>
          <w:sz w:val="22"/>
          <w:lang w:val="en-US"/>
        </w:rPr>
        <w:t>[43]</w:t>
      </w:r>
      <w:r w:rsidR="00045085" w:rsidRPr="006A7336">
        <w:rPr>
          <w:rFonts w:ascii="Segoe UI" w:hAnsi="Segoe UI" w:cs="Segoe UI"/>
          <w:sz w:val="22"/>
        </w:rPr>
        <w:fldChar w:fldCharType="end"/>
      </w:r>
      <w:r w:rsidR="00045085" w:rsidRPr="006A7336">
        <w:rPr>
          <w:rFonts w:ascii="Segoe UI" w:hAnsi="Segoe UI" w:cs="Segoe UI"/>
          <w:sz w:val="22"/>
          <w:lang w:val="en-US"/>
        </w:rPr>
        <w:t>.</w:t>
      </w:r>
      <w:r w:rsidRPr="006A7336">
        <w:rPr>
          <w:rFonts w:ascii="Segoe UI" w:hAnsi="Segoe UI" w:cs="Segoe UI"/>
          <w:sz w:val="22"/>
          <w:lang w:val="en-US"/>
        </w:rPr>
        <w:t xml:space="preserve"> Social support promotes well-being, helps reduce stress, pain complaints and reduces mortality </w:t>
      </w:r>
      <w:r w:rsidR="0004508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{"citationID":"H2QkFoA4","properties":{"formattedCitation":"[44]","plainCitation":"[44]","noteIndex":0},"citationItems":[{"id":4467,"uris":["http://zotero.org/users/local/mYpTJneC/items/SSA562IG"],"itemData":{"id":4467,"type":"article-journal","abstract":"Physical frailty is a common characteristic of older people with the ageing process and has been viewed as a major public health issue. The longitudinal association between different social engagement and physical frailty among older people has not been explored adequately in China. Marital status forms a critical context for the link between social engagement and frailty among older people, which might constitute a moderating process. The purpose of the present study is to investigate the longitudinal association between social engagement and the changes in physical frailty among Chinese older adults, and to examine whether the association between social engagement and frailty differs by marital status.","container-title":"BMC Geriatrics","DOI":"10.1186/s12877-021-02194-x","ISSN":"1471-2318","issue":"1","journalAbbreviation":"BMC Geriatrics","page":"248","source":"BioMed Central","title":"Social engagement and physical frailty in later life: does marital status matter?","title-short":"Social engagement and physical frailty in later life","volume":"21","author":[{"family":"Wang","given":"Yi"},{"family":"Chen","given":"Zhuo"},{"family":"Zhou","given":"Chengchao"}],"issued":{"date-parts":[["2021",4,15]]}}}],"schema":"https://github.com/citation-style-language/schema/raw/master/csl-citation.json"} </w:instrText>
      </w:r>
      <w:r w:rsidR="00045085" w:rsidRPr="006A7336">
        <w:rPr>
          <w:rFonts w:ascii="Segoe UI" w:hAnsi="Segoe UI" w:cs="Segoe UI"/>
          <w:sz w:val="22"/>
        </w:rPr>
        <w:fldChar w:fldCharType="separate"/>
      </w:r>
      <w:r w:rsidR="00C11ED4" w:rsidRPr="00C11ED4">
        <w:rPr>
          <w:rFonts w:ascii="Segoe UI" w:hAnsi="Segoe UI" w:cs="Segoe UI"/>
          <w:sz w:val="22"/>
          <w:lang w:val="en-US"/>
        </w:rPr>
        <w:t>[44]</w:t>
      </w:r>
      <w:r w:rsidR="00045085" w:rsidRPr="006A7336">
        <w:rPr>
          <w:rFonts w:ascii="Segoe UI" w:hAnsi="Segoe UI" w:cs="Segoe UI"/>
          <w:sz w:val="22"/>
        </w:rPr>
        <w:fldChar w:fldCharType="end"/>
      </w:r>
      <w:r w:rsidR="00045085" w:rsidRPr="006A7336">
        <w:rPr>
          <w:rFonts w:ascii="Segoe UI" w:hAnsi="Segoe UI" w:cs="Segoe UI"/>
          <w:sz w:val="22"/>
          <w:lang w:val="en-US"/>
        </w:rPr>
        <w:t xml:space="preserve">. </w:t>
      </w:r>
      <w:r w:rsidRPr="006A7336">
        <w:rPr>
          <w:rFonts w:ascii="Segoe UI" w:hAnsi="Segoe UI" w:cs="Segoe UI"/>
          <w:sz w:val="22"/>
          <w:lang w:val="en-US"/>
        </w:rPr>
        <w:t xml:space="preserve">A Swedish study highlighted the need for social support for elderly patients offered TAVI </w:t>
      </w:r>
      <w:r w:rsidR="0004508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{"citationID":"HtAV2a3e","properties":{"formattedCitation":"[45]","plainCitation":"[45]","noteIndex":0},"citationItems":[{"id":2480,"uris":["http://zotero.org/users/local/mYpTJneC/items/Q9TZAPBE"],"itemData":{"id":2480,"type":"article-journal","abstract":"BACKGROUND: Aortic stenosis (AS) is the most common valve disease in Western countries. Transcatheter aortic valve implantation (TAVI) has made it possible to treat patients with higher surgical risks. These patients are informed about their poor prognosis with only months or a few years to live without treatment. Because of their severe symptoms, limitations, and suffering, patients awaiting TAVI need special attention.\nOBJECTIVE: The aim of this study is to describe patients' experiences of coping with severe AS and of waiting for TAVI.\nMETHODS: Swedish participants (n = 24; 9 women, 15 men) with a mean (SD) age of 80 (7.4) years who had been offered TAVI all agreed to participate in a presurgical interview. The interviews were recorded, transcribed verbatim, and analyzed using qualitative content analysis.\nRESULTS: The participants' experiences of coping with AS and awaiting TAVI were described by the main theme \"living on the edge, but trying to stay in control,\" which comprised 3 categories: \"trying to cope with physical symptoms and anxiety,\" \"trying to preserve self and self-esteem despite life-threatening illness,\" and \"trying to process the decision to undergo TAVI.\"\nCONCLUSIONS: Patients with AS and awaiting TAVI must cope with increasing symptoms and limitations in their social lives but still wish to be seen as the people they always have been. These patients may need extra support from healthcare personnel to process their experiences, which could help them to attach personal meaning to clinical information about the condition and its treatment that they could include in their decision about whether to undergo TAVI. Listening to patients' stories could help nurses and physicians to ensure that disease and treatment are meaningfully understood by the patient.","container-title":"The Journal of Cardiovascular Nursing","DOI":"10.1097/JCN.0000000000000231","ISSN":"1550-5049","issue":"3","journalAbbreviation":"J Cardiovasc Nurs","language":"eng","page":"255-261","PMID":"25658189","source":"PubMed","title":"Experiences of and Coping With Severe Aortic Stenosis Among Patients Waiting for Transcatheter Aortic Valve Implantation","volume":"31","author":[{"family":"Olsson","given":"Karin"},{"family":"Näslund","given":"Ulf"},{"family":"Nilsson","given":"Johan"},{"family":"Hörnsten","given":"Åsa"}],"issued":{"date-parts":[["2016"]]}}}],"schema":"https://github.com/citation-style-language/schema/raw/master/csl-citation.json"} </w:instrText>
      </w:r>
      <w:r w:rsidR="00045085" w:rsidRPr="006A7336">
        <w:rPr>
          <w:rFonts w:ascii="Segoe UI" w:hAnsi="Segoe UI" w:cs="Segoe UI"/>
          <w:sz w:val="22"/>
        </w:rPr>
        <w:fldChar w:fldCharType="separate"/>
      </w:r>
      <w:r w:rsidR="00C11ED4" w:rsidRPr="00C11ED4">
        <w:rPr>
          <w:rFonts w:ascii="Segoe UI" w:hAnsi="Segoe UI" w:cs="Segoe UI"/>
          <w:sz w:val="22"/>
          <w:lang w:val="en-US"/>
        </w:rPr>
        <w:t>[45]</w:t>
      </w:r>
      <w:r w:rsidR="00045085" w:rsidRPr="006A7336">
        <w:rPr>
          <w:rFonts w:ascii="Segoe UI" w:hAnsi="Segoe UI" w:cs="Segoe UI"/>
          <w:sz w:val="22"/>
        </w:rPr>
        <w:fldChar w:fldCharType="end"/>
      </w:r>
      <w:r w:rsidR="00045085" w:rsidRPr="006A7336">
        <w:rPr>
          <w:rFonts w:ascii="Segoe UI" w:hAnsi="Segoe UI" w:cs="Segoe UI"/>
          <w:sz w:val="22"/>
          <w:lang w:val="en-US"/>
        </w:rPr>
        <w:t>.</w:t>
      </w:r>
      <w:r w:rsidRPr="006A7336">
        <w:rPr>
          <w:rFonts w:ascii="Segoe UI" w:hAnsi="Segoe UI" w:cs="Segoe UI"/>
          <w:sz w:val="22"/>
          <w:lang w:val="en-US"/>
        </w:rPr>
        <w:t xml:space="preserve"> Patients particularly highlighted difficulties in daily social functioning, coping with symptoms of the disease and adjusting to changed health conditions </w:t>
      </w:r>
      <w:r w:rsidR="00045085" w:rsidRPr="006A7336">
        <w:rPr>
          <w:rFonts w:ascii="Segoe UI" w:hAnsi="Segoe UI" w:cs="Segoe UI"/>
          <w:sz w:val="22"/>
        </w:rPr>
        <w:fldChar w:fldCharType="begin"/>
      </w:r>
      <w:r w:rsidR="00C11ED4">
        <w:rPr>
          <w:rFonts w:ascii="Segoe UI" w:hAnsi="Segoe UI" w:cs="Segoe UI"/>
          <w:sz w:val="22"/>
          <w:lang w:val="en-US"/>
        </w:rPr>
        <w:instrText xml:space="preserve"> ADDIN ZOTERO_ITEM CSL_CITATION {"citationID":"h338nuuc","properties":{"formattedCitation":"[46]","plainCitation":"[46]","noteIndex":0},"citationItems":[{"id":2512,"uris":["http://zotero.org/users/local/mYpTJneC/items/PVRHMWWR"],"itemData":{"id":2512,"type":"article-journal","abstract":"Background Shared decision-making is important for deciding whether to perform surgery, especially high-risk surgery, or end-of-life care in cases of serious complications after the surgery. In shared decision-making, surgeons should be aware of patients' values. Therefore, advance care planning (ACP) before the surgery is important. In Japan, the feasibility of ACP, particularly preoperative nurse-led ACP, is yet to be evaluated. Methodology This retrospective, single-center, descriptive study included all adult candidates for open-heart or thoracic aortic surgery and transcutaneous aortic valve implantation (TAVI) referred by their surgeon for a nurse-led preoperative ACP between April 1, 2020 and December 31, 2021. The nurse conducted semi-structured interviews with patients regarding goals of care, unacceptable conditions, undesired procedures, advance directives, and their surrogates and documented them. The content of these interviews and their influence on decision-making were retrospectively investigated. Results Sixty-four patients (median age, 82 years; Society of Thoracic Surgeons (STS) score, 7.9; EuroSCORE II, 4.2; JapanSCORE, 7.0) were included (open-heart or thoracic aortic surgery 24, TAVI 40). Among them, 63 (98.4%), 56 (87.5%), and 13 (20.3%) patients articulated their goals of care, unacceptable conditions, and undesired procedures. Only one (1.6%) had a written advance directive. Although all of the patients could designated their surrogate, only 11 (17.2%) had shared their values disclosed in the pre-procedure ACP communication with their surrogates. Two patients who planned to undergo open-heart surgery disclosed their wish not to undergo the surgery only to the nurses but could not tell their surgeon; thereafter, the surgery was canceled. Three patients died after the procedure; however, the patients' value disclosed in ACP was not used for the end-of-life decision. Conclusion Nurse-led ACP can be implemented before high-risk cardiac procedures. It may have an impact on the decision-making of surgery although the ACP content may not be utilized for the end-of-life discussion after the procedures between surgeons and the family member.","container-title":"Cureus","DOI":"10.7759/cureus.48347","ISSN":"2168-8184","issue":"11","journalAbbreviation":"Cureus","language":"eng","page":"e48347","PMID":"38060714","PMCID":"PMC10698293","source":"PubMed","title":"Feasibility of Nurse-Led Advance Care Planning Before Pre-cardiac Procedures: A Descriptive Study","title-short":"Feasibility of Nurse-Led Advance Care Planning Before Pre-cardiac Procedures","volume":"15","author":[{"family":"Shigetomi","given":"Kyoko"},{"family":"Hiraoka","given":"Eiji"},{"family":"Takahashi","given":"Miho"},{"family":"Nabeshima","given":"Tadanori"},{"family":"Norisue","given":"Yasuhiro"},{"family":"Obunai","given":"Kotaro"},{"family":"Ito","given":"Joji"},{"family":"Tabata","given":"Minoru"}],"issued":{"date-parts":[["2023",11]]}}}],"schema":"https://github.com/citation-style-language/schema/raw/master/csl-citation.json"} </w:instrText>
      </w:r>
      <w:r w:rsidR="00045085" w:rsidRPr="006A7336">
        <w:rPr>
          <w:rFonts w:ascii="Segoe UI" w:hAnsi="Segoe UI" w:cs="Segoe UI"/>
          <w:sz w:val="22"/>
        </w:rPr>
        <w:fldChar w:fldCharType="separate"/>
      </w:r>
      <w:r w:rsidR="00C11ED4" w:rsidRPr="00C11ED4">
        <w:rPr>
          <w:rFonts w:ascii="Segoe UI" w:hAnsi="Segoe UI" w:cs="Segoe UI"/>
          <w:sz w:val="22"/>
          <w:lang w:val="en-US"/>
        </w:rPr>
        <w:t>[46]</w:t>
      </w:r>
      <w:r w:rsidR="00045085" w:rsidRPr="006A7336">
        <w:rPr>
          <w:rFonts w:ascii="Segoe UI" w:hAnsi="Segoe UI" w:cs="Segoe UI"/>
          <w:sz w:val="22"/>
        </w:rPr>
        <w:fldChar w:fldCharType="end"/>
      </w:r>
      <w:r w:rsidR="00045085" w:rsidRPr="006A7336">
        <w:rPr>
          <w:rFonts w:ascii="Segoe UI" w:hAnsi="Segoe UI" w:cs="Segoe UI"/>
          <w:sz w:val="22"/>
          <w:lang w:val="en-US"/>
        </w:rPr>
        <w:t>.</w:t>
      </w:r>
    </w:p>
    <w:p w14:paraId="08F81CDD" w14:textId="6221AE02" w:rsidR="00104707" w:rsidRPr="006A7336" w:rsidRDefault="00104707"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In recent years, there has been a growing number of studies indicating that individual components of frailty may have separate prognostic significance, regardless of the </w:t>
      </w:r>
      <w:r w:rsidRPr="006A7336">
        <w:rPr>
          <w:rFonts w:ascii="Segoe UI" w:hAnsi="Segoe UI" w:cs="Segoe UI"/>
          <w:sz w:val="22"/>
          <w:lang w:val="en-US"/>
        </w:rPr>
        <w:lastRenderedPageBreak/>
        <w:t xml:space="preserve">composite geriatric outcome </w:t>
      </w:r>
      <w:r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{"citationID":"x7TgTgn2","properties":{"formattedCitation":"[47]","plainCitation":"[47]","noteIndex":0},"citationItems":[{"id":5488,"uris":["http://zotero.org/users/local/mYpTJneC/items/UA2B9FLX"],"itemData":{"id":5488,"type":"webpage","title":"Preoperative frailty parameters as predictors for outcomes after transcatheter aortic valve implantation: a systematic review and meta-analysis | Netherlands Heart Journal","URL":"https://link.springer.com/article/10.1007/s12471-020-01379-0","accessed":{"date-parts":[["2025",12,7]]}}}],"schema":"https://github.com/citation-style-language/schema/raw/master/csl-citation.json"} </w:instrText>
      </w:r>
      <w:r w:rsidRPr="006A7336">
        <w:rPr>
          <w:rFonts w:ascii="Segoe UI" w:hAnsi="Segoe UI" w:cs="Segoe UI"/>
          <w:sz w:val="22"/>
          <w:lang w:val="en-US"/>
        </w:rPr>
        <w:fldChar w:fldCharType="separate"/>
      </w:r>
      <w:r w:rsidR="00C11ED4" w:rsidRPr="00C11ED4">
        <w:rPr>
          <w:rFonts w:ascii="Segoe UI" w:hAnsi="Segoe UI" w:cs="Segoe UI"/>
          <w:sz w:val="22"/>
          <w:lang w:val="en-US"/>
        </w:rPr>
        <w:t>[47]</w:t>
      </w:r>
      <w:r w:rsidRPr="006A7336">
        <w:rPr>
          <w:rFonts w:ascii="Segoe UI" w:hAnsi="Segoe UI" w:cs="Segoe UI"/>
          <w:sz w:val="22"/>
          <w:lang w:val="en-US"/>
        </w:rPr>
        <w:fldChar w:fldCharType="end"/>
      </w:r>
      <w:r w:rsidRPr="006A7336">
        <w:rPr>
          <w:rFonts w:ascii="Segoe UI" w:hAnsi="Segoe UI" w:cs="Segoe UI"/>
          <w:sz w:val="22"/>
          <w:lang w:val="en-US"/>
        </w:rPr>
        <w:t xml:space="preserve">. However, the available analyses highlight the high heterogeneity of tools and endpoints and the uncertainty regarding the relative prognostic value of individual domains, which justifies the need for studies comparing physical, psychological and social components simultaneously </w:t>
      </w:r>
      <w:r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{"citationID":"4vg6C6qI","properties":{"formattedCitation":"[47]","plainCitation":"[47]","noteIndex":0},"citationItems":[{"id":5488,"uris":["http://zotero.org/users/local/mYpTJneC/items/UA2B9FLX"],"itemData":{"id":5488,"type":"webpage","title":"Preoperative frailty parameters as predictors for outcomes after transcatheter aortic valve implantation: a systematic review and meta-analysis | Netherlands Heart Journal","URL":"https://link.springer.com/article/10.1007/s12471-020-01379-0","accessed":{"date-parts":[["2025",12,7]]}}}],"schema":"https://github.com/citation-style-language/schema/raw/master/csl-citation.json"} </w:instrText>
      </w:r>
      <w:r w:rsidRPr="006A7336">
        <w:rPr>
          <w:rFonts w:ascii="Segoe UI" w:hAnsi="Segoe UI" w:cs="Segoe UI"/>
          <w:sz w:val="22"/>
          <w:lang w:val="en-US"/>
        </w:rPr>
        <w:fldChar w:fldCharType="separate"/>
      </w:r>
      <w:r w:rsidR="00C11ED4" w:rsidRPr="00C11ED4">
        <w:rPr>
          <w:rFonts w:ascii="Segoe UI" w:hAnsi="Segoe UI" w:cs="Segoe UI"/>
          <w:sz w:val="22"/>
          <w:lang w:val="en-US"/>
        </w:rPr>
        <w:t>[47]</w:t>
      </w:r>
      <w:r w:rsidRPr="006A7336">
        <w:rPr>
          <w:rFonts w:ascii="Segoe UI" w:hAnsi="Segoe UI" w:cs="Segoe UI"/>
          <w:sz w:val="22"/>
          <w:lang w:val="en-US"/>
        </w:rPr>
        <w:fldChar w:fldCharType="end"/>
      </w:r>
      <w:r w:rsidRPr="006A7336">
        <w:rPr>
          <w:rFonts w:ascii="Segoe UI" w:hAnsi="Segoe UI" w:cs="Segoe UI"/>
          <w:sz w:val="22"/>
          <w:lang w:val="en-US"/>
        </w:rPr>
        <w:t xml:space="preserve">. To date, most studies have focused on single physical-nutritional markers, such as walking speed, grip strength, albumin or sarcopenia </w:t>
      </w:r>
      <w:r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{"citationID":"emf2X8nb","properties":{"formattedCitation":"[47\\uc0\\u8211{}49]","plainCitation":"[47–49]","noteIndex":0},"citationItems":[{"id":5488,"uris":["http://zotero.org/users/local/mYpTJneC/items/UA2B9FLX"],"itemData":{"id":5488,"type":"webpage","title":"Preoperative frailty parameters as predictors for outcomes after transcatheter aortic valve implantation: a systematic review and meta-analysis | Netherlands Heart Journal","URL":"https://link.springer.com/article/10.1007/s12471-020-01379-0","accessed":{"date-parts":[["2025",12,7]]}}},{"id":2411,"uris":["http://zotero.org/users/local/mYpTJneC/items/53GN45PQ"],"itemData":{"id":2411,"type":"article-journal","abstract":"BACKGROUND: The aim of the study was to determine pre-interventional predictors for all-cause mortality in patients after transcatheter aortic valve implantation (TAVI) with a 12-month follow-up.\nMETHODS: From 10/2013 to 07/2015, 344 patients (80.9 ± 5.0 years, 44.5% male) with an elective TAVI were consecutively enrolled prospectively in a multicentre cohort study. Prior to the intervention, sociodemographic parameters, echocardiographic data and comorbidities were documented. All patients performed a 6-min walk test, Short Form 12 and a Frailty Index (score consisting of activities of daily living, cognition, nutrition and mobility). Peri-interventional complications were documented. Vital status was assessed over telephone 12 months after TAVI. Predictors for all-cause mortality were identified using a multivariate regression model.\nRESULTS: At discharge, 333 patients were alive (in-hospital mortality 3.2%; n = 11). During a follow-up of 381.0 ± 41.9 days, 46 patients (13.8%) died. The non-survivors were older (82.3 ± 5.0 vs. 80.6 ± 5.1 years; p = 0.035), had a higher number of comorbidities (2.6 ± 1.3 vs. 2.1 ± 1.3; p = 0.026) and a lower left ventricular ejection fraction (51.0 ± 13.6 vs. 54.6 ± 10.6%; p = 0.048). Additionally, more suffered from diabetes mellitus (60.9 vs. 44.6%; p = 0.040). While the global Frailty Index had no predictive power, its individual components, particularly nutrition (OR 0.83 per 1 pt., CI 0.72-0.95; p = 0.006) and mobility (OR 5.12, CI 1.64-16.01; p = 0.005) had a prognostic impact. Likewise, diabetes mellitus (OR 2.18, CI 1.10-4.32; p = 0.026) and EuroSCORE (OR 1.21 per 5%, CI 1.07-1.36; p = 0.002) were associated with a higher risk of all-cause mortality.\nCONCLUSIONS: Besides EuroSCORE and diabetes mellitus, nutrition status and mobility of patients scheduled for TAVI offer prognostic information for 1-year all-cause mortality and should be advocated in the creation of contemporary TAVI risk scores.","container-title":"Clinical Research in Cardiology: Official Journal of the German Cardiac Society","DOI":"10.1007/s00392-017-1183-1","ISSN":"1861-0692","issue":"4","journalAbbreviation":"Clin Res Cardiol","language":"eng","page":"304-311","PMID":"29164390","PMCID":"PMC5869890","source":"PubMed","title":"Nutrition and mobility predict all-cause mortality in patients 12 months after transcatheter aortic valve implantation","volume":"107","author":[{"family":"Eichler","given":"Sarah"},{"family":"Salzwedel","given":"Annett"},{"family":"Harnath","given":"Axel"},{"family":"Butter","given":"Christian"},{"family":"Wegscheider","given":"Karl"},{"family":"Chiorean","given":"Mihai"},{"family":"Völler","given":"Heinz"},{"family":"Reibis","given":"Rona"}],"issued":{"date-parts":[["2018",4]]}}},{"id":5476,"uris":["http://zotero.org/users/local/mYpTJneC/items/PWTV8EJC"],"itemData":{"id":5476,"type":"article-journal","abstract":"OBJECTIVE: This study investigates physical, nutritional and psychological components of frailty in predicting postoperative mortality after transcatheter aortic valve implantation (TAVI).\nMETHODS: A single centre retrospective observational study was conducted from July 2015 until January 2019. Psychological, nutritional and physical components of frailty were measured. Sarcopenia was defined as having both gait speed and grip strength under the threshold. The primary endpoint was the cumulative all-cause 1-year mortality. Secondary endpoint was 30 days all-cause mortality.\nRESULTS: A total of 125 patients were included. The primary endpoint was observed in 18 patients (14.4%). Five patients died within the first 30 days (4.0%). None of the frailty tests were correlated with early mortality. However, at one year, the nutritional components albumin and Mini Nutritional Assessment - short form (MNA-SF) and the physical components gait speed, chair stand test, TUG, SPPB, EFT and sarcopenia were associated with increased mortality after TAVI. A significant difference in mortality was present if stratified for MNA-SF (log-rank p = .008), sarcopenia (log-rank p &lt; .001), SPPB (log-rank p = .003) and EFT score (log-rank p &lt; .001).\nCONCLUSIONS: Mainly nutritional and physical components of frailty were associated with 1-year mortality after TAVI.","container-title":"Acta Cardiologica","DOI":"10.1080/00015385.2020.1769346","ISSN":"1784-973X","issue":"7","journalAbbreviation":"Acta Cardiol","language":"eng","page":"681-688","PMID":"32500842","source":"PubMed","title":"Physical components of frailty in predicting mortality after transcatheter aortic valve implantation (TAVI)","volume":"76","author":[{"family":"Van de Velde-Van De Ginste","given":"Sofie"},{"family":"Perkisas","given":"Stany"},{"family":"Vermeersch","given":"Paul"},{"family":"Vandewoude","given":"Maurits"},{"family":"De Cock","given":"Anne-Marie"}],"issued":{"date-parts":[["2021",9]]}}}],"schema":"https://github.com/citation-style-language/schema/raw/master/csl-citation.json"} </w:instrText>
      </w:r>
      <w:r w:rsidRPr="006A7336">
        <w:rPr>
          <w:rFonts w:ascii="Segoe UI" w:hAnsi="Segoe UI" w:cs="Segoe UI"/>
          <w:sz w:val="22"/>
          <w:lang w:val="en-US"/>
        </w:rPr>
        <w:fldChar w:fldCharType="separate"/>
      </w:r>
      <w:r w:rsidR="00C11ED4" w:rsidRPr="00C11ED4">
        <w:rPr>
          <w:rFonts w:ascii="Segoe UI" w:hAnsi="Segoe UI" w:cs="Segoe UI"/>
          <w:sz w:val="22"/>
          <w:lang w:val="en-US"/>
        </w:rPr>
        <w:t>[47–49]</w:t>
      </w:r>
      <w:r w:rsidRPr="006A7336">
        <w:rPr>
          <w:rFonts w:ascii="Segoe UI" w:hAnsi="Segoe UI" w:cs="Segoe UI"/>
          <w:sz w:val="22"/>
          <w:lang w:val="en-US"/>
        </w:rPr>
        <w:fldChar w:fldCharType="end"/>
      </w:r>
      <w:r w:rsidRPr="006A7336">
        <w:rPr>
          <w:rFonts w:ascii="Segoe UI" w:hAnsi="Segoe UI" w:cs="Segoe UI"/>
          <w:sz w:val="22"/>
          <w:lang w:val="en-US"/>
        </w:rPr>
        <w:t>, while significantly fewer studies have assessed all three domains of frailty in parallel using multidimensional tools in a population with severe AS</w:t>
      </w:r>
      <w:r w:rsidR="00E17E74" w:rsidRPr="006A7336">
        <w:rPr>
          <w:rFonts w:ascii="Segoe UI" w:hAnsi="Segoe UI" w:cs="Segoe UI"/>
          <w:sz w:val="22"/>
          <w:lang w:val="en-US"/>
        </w:rPr>
        <w:t xml:space="preserve"> </w:t>
      </w:r>
      <w:r w:rsidR="00E17E74" w:rsidRPr="006A7336">
        <w:rPr>
          <w:rFonts w:ascii="Segoe UI" w:hAnsi="Segoe UI" w:cs="Segoe UI"/>
          <w:sz w:val="22"/>
          <w:lang w:val="en-US"/>
        </w:rPr>
        <w:fldChar w:fldCharType="begin"/>
      </w:r>
      <w:r w:rsidR="00C11ED4">
        <w:rPr>
          <w:rFonts w:ascii="Segoe UI" w:hAnsi="Segoe UI" w:cs="Segoe UI"/>
          <w:sz w:val="22"/>
          <w:lang w:val="en-US"/>
        </w:rPr>
        <w:instrText xml:space="preserve"> ADDIN ZOTERO_ITEM CSL_CITATION {"citationID":"wMcI8fN1","properties":{"formattedCitation":"[8, 50, 51]","plainCitation":"[8, 50, 51]","noteIndex":0},"citationItems":[{"id":2011,"uris":["http://zotero.org/users/local/mYpTJneC/items/3TA3HVWI"],"itemData":{"id":2011,"type":"article-journal","abstract":"BACKGROUND: Transcatheter aortic valve implantation (TAVI) brings symptom relief and improvement in health-related quality of life (HRQoL) in the majority of patients treated for symptomatic, severe aortic stenosis. However, there is a substantial group of patients that do not benefit from TAVI. The aim of this study is to investigate the impact of frailty on HRQoL 1 year after TAVI.\nMETHODS: The TAVI Care &amp; Cure Program is an ongoing, prospective, observational study including patients referred for TAVI to our institution. A comprehensive geriatric assessment was performed to evaluate existence of frailty using the Erasmus Frailty Score (EFS). HRQoL was assessed using the EQ-5D-5 L at baseline and 1 year after TAVI.\nRESULTS: 239 patients underwent TAVI and completed HRQoL assessment 1 year after TAVI. Seventy (29.3%) patients were classified as frail (EFS ≥ 3). In non-frail patients, the EQ-5D-5 L index did not change (0.71(± 0.22) to 0.68(± 0.33) points, P = 0.22); in frail patients, the EQ-5D-5 L index decreased from 0.55(±0.26) to 0.44 points (±0.33) (P = 0.022). Frailty was an independent predictor of deteriorated HRQoL 1 year after TAVI (OR 2.24, 95% CI 1.07-4.70, P = 0.003). In frail patients, the absence of peripheral artery disease (OR 0.17, 95% 0.05-0.50, P = 0.001) and renal dysfunction (OR 0.13, 95% CI 0.04-0.41, P = &lt;0.001) at baseline was associated with improved HRQoL 1 year after TAVI.\nCONCLUSION: Frailty is associated with deterioration of HRQoL 1 year after TAVI. Notably, HRQoL did improve in frail patients with no peripheral arterial disease or renal impairment at baseline.","container-title":"Age and Ageing","DOI":"10.1093/ageing/afaa071","ISSN":"1468-2834","issue":"6","journalAbbreviation":"Age Ageing","language":"eng","page":"989-994","PMID":"32421189","PMCID":"PMC7583518","source":"PubMed","title":"Impact of frailty on health-related quality of life 1 year after transcatheter aortic valve implantation","volume":"49","author":[{"family":"Goudzwaard","given":"Jeannette A."},{"family":"Ronde-Tillmans","given":"Marjo J. A. G.","non-dropping-particle":"de"},{"family":"Hoorn","given":"Fleurance E. D.","non-dropping-particle":"van"},{"family":"Kwekkeboom","given":"Eline H. C."},{"family":"Lenzen","given":"Mattie J."},{"family":"Wiechen","given":"Maarten P. H.","non-dropping-particle":"van"},{"family":"Ooms","given":"Joris F. W."},{"family":"Nuis","given":"Rutger-Jan"},{"family":"Van Mieghem","given":"Nicolas M."},{"family":"Daemen","given":"Joost"},{"family":"Jaegere","given":"Peter P. T.","non-dropping-particle":"de"},{"family":"Mattace-Raso","given":"Francesco U. S."}],"issued":{"date-parts":[["2020",10,23]]}}},{"id":5490,"uris":["http://zotero.org/users/local/mYpTJneC/items/4FM2UBYF"],"itemData":{"id":5490,"type":"article-journal","abstract":"PurposeFrailty has increasingly been recognized as a multidimensional syndrome and is particularly prevalent among older adults with cardiovascular disease. This study aimed to assess the prevalence of multidimensional frailty and identify its key determinants in hospitalized elderly patients with coronary heart disease (CHD), with the goal of informing targeted strategies for early assessment and intervention.Patients and methodsA cross-sectional study was conducted involving 508 patients aged 60 years or older who were hospitalized with CHD at a tertiary hospital in China. Frailty was assessed using the Tilburg Frailty Indicator (TFI). Variables with statistical significance in univariate analysis were entered into a Selection Operator (LASSO) regression for selection. Least Absolute Shrinkage and LASSO regression and multivariate logistic regression analyses were performed to identify significant predictors.ResultsA total of 508 elderly patients with coronary heart disease who were hospitalized were included in the study, of whom 270 patients developed multidimensional frailty, resulting in an incidence rate of 53.15%. Variables with statistical significance in univariate analysis were entered into a LASSO regression for selection. Those retained by LASSO were then included in a multivariate logistic regression model. Multivariate analysis identified the following independent risk factors for multidimensional frailty: Age ≥ 75 years (OR = 2.821; 95% CI: 1.671–4.761); female (OR = 2.279; 95% CI: 1.426–3.643); insomnia (OR = 2.147; 95% CI: 1.374–3.354); depressive symptoms (OR = 4.233; 95% CI: 2.629–6.816). Conversely, higher scores on activities of daily living (ADL) (OR = 0.952; 95% CI: 0.921–0.984) and greater social support (OR = 0.935; 95% CI: 0.901–0.971) were protective against multidimensional frailty.ConclusionMultidimensional frailty is highly prevalent in hospitalized CHD patients and independently associated with psychosocial and functional factors. Early screening and integrated interventions targeting these determinants are essential to improve clinical outcomes.","container-title":"Frontiers in Cardiovascular Medicine","DOI":"10.3389/fcvm.2025.1588288","ISSN":"2297-055X","journalAbbreviation":"Front. Cardiovasc. Med.","language":"English","publisher":"Frontiers","source":"Frontiers","title":"Prevalence and determinants of multidimensional frailty in hospitalized older adults with coronary heart disease: a LASSO regression analysis","title-short":"Prevalence and determinants of multidimensional frailty in hospitalized older adults with coronary heart disease","URL":"https://www.frontiersin.org/journals/cardiovascular-medicine/articles/10.3389/fcvm.2025.1588288/full","volume":"12","author":[{"family":"Zhu","given":"Ping"},{"family":"Mei","given":"Dongmei"},{"family":"Yang","given":"Yan"},{"family":"Meng","given":"Defang"},{"family":"Hu","given":"Yaoyao"},{"family":"Wang","given":"Xiaoyan"}],"accessed":{"date-parts":[["2025",12,7]]},"issued":{"date-parts":[["2025",7,18]]}}},{"id":5492,"uris":["http://zotero.org/users/local/mYpTJneC/items/YGID7NXA"],"itemData":{"id":5492,"type":"article-journal","abstract":"Wstęp:  Ciężkie zwężenie zastawki aortalnej to istotny problem kliniczny w starzejących się społeczeństwach. Jedną z opcji terapeutycznych dla pacjentów z taką diagnozą jest przezcewnikowe wszczepienie zastawki aortalnej ( transcatheter aortic valve implantation  – TAVI)....","container-title":"Annales Academiae Medicae Silesiensis","DOI":"10.18794/aams/176115","ISSN":"1734-025X","journalAbbreviation":"Ann. Acad. Med. Siles.","language":"polish","page":"82-88","publisher":"Śląski Uniwersytet Medyczny (Katowice)","source":"annales.sum.edu.pl","title":"Porównanie parametrów testu Grip oraz TFI w zależności od płci pacjentów kwalifikowanych do leczenia metodą TAVI","volume":"78","author":[{"family":"Godek","given":"Piotr"}],"issued":{"date-parts":[["2024",3,27]]}}}],"schema":"https://github.com/citation-style-language/schema/raw/master/csl-citation.json"} </w:instrText>
      </w:r>
      <w:r w:rsidR="00E17E74" w:rsidRPr="006A7336">
        <w:rPr>
          <w:rFonts w:ascii="Segoe UI" w:hAnsi="Segoe UI" w:cs="Segoe UI"/>
          <w:sz w:val="22"/>
          <w:lang w:val="en-US"/>
        </w:rPr>
        <w:fldChar w:fldCharType="separate"/>
      </w:r>
      <w:r w:rsidR="00C11ED4" w:rsidRPr="00C11ED4">
        <w:rPr>
          <w:rFonts w:ascii="Segoe UI" w:hAnsi="Segoe UI" w:cs="Segoe UI"/>
          <w:sz w:val="22"/>
          <w:lang w:val="en-US"/>
        </w:rPr>
        <w:t>[8, 50, 51]</w:t>
      </w:r>
      <w:r w:rsidR="00E17E74" w:rsidRPr="006A7336">
        <w:rPr>
          <w:rFonts w:ascii="Segoe UI" w:hAnsi="Segoe UI" w:cs="Segoe UI"/>
          <w:sz w:val="22"/>
          <w:lang w:val="en-US"/>
        </w:rPr>
        <w:fldChar w:fldCharType="end"/>
      </w:r>
      <w:r w:rsidRPr="006A7336">
        <w:rPr>
          <w:rFonts w:ascii="Segoe UI" w:hAnsi="Segoe UI" w:cs="Segoe UI"/>
          <w:sz w:val="22"/>
          <w:lang w:val="en-US"/>
        </w:rPr>
        <w:t xml:space="preserve">. In this context, our study </w:t>
      </w:r>
      <w:r w:rsidR="00BA1DF3" w:rsidRPr="006A7336">
        <w:rPr>
          <w:rFonts w:ascii="Segoe UI" w:hAnsi="Segoe UI" w:cs="Segoe UI"/>
          <w:sz w:val="22"/>
          <w:lang w:val="en-US"/>
        </w:rPr>
        <w:t xml:space="preserve">- </w:t>
      </w:r>
      <w:r w:rsidRPr="006A7336">
        <w:rPr>
          <w:rFonts w:ascii="Segoe UI" w:hAnsi="Segoe UI" w:cs="Segoe UI"/>
          <w:sz w:val="22"/>
          <w:lang w:val="en-US"/>
        </w:rPr>
        <w:t xml:space="preserve">which separately </w:t>
      </w:r>
      <w:proofErr w:type="spellStart"/>
      <w:r w:rsidRPr="006A7336">
        <w:rPr>
          <w:rFonts w:ascii="Segoe UI" w:hAnsi="Segoe UI" w:cs="Segoe UI"/>
          <w:sz w:val="22"/>
          <w:lang w:val="en-US"/>
        </w:rPr>
        <w:t>analysed</w:t>
      </w:r>
      <w:proofErr w:type="spellEnd"/>
      <w:r w:rsidRPr="006A7336">
        <w:rPr>
          <w:rFonts w:ascii="Segoe UI" w:hAnsi="Segoe UI" w:cs="Segoe UI"/>
          <w:sz w:val="22"/>
          <w:lang w:val="en-US"/>
        </w:rPr>
        <w:t xml:space="preserve"> the TFI domains in a sequentially recruited cohort of patients eligible for TAVI </w:t>
      </w:r>
      <w:r w:rsidR="00BA1DF3" w:rsidRPr="006A7336">
        <w:rPr>
          <w:rFonts w:ascii="Segoe UI" w:hAnsi="Segoe UI" w:cs="Segoe UI"/>
          <w:sz w:val="22"/>
          <w:lang w:val="en-US"/>
        </w:rPr>
        <w:t>-</w:t>
      </w:r>
      <w:r w:rsidRPr="006A7336">
        <w:rPr>
          <w:rFonts w:ascii="Segoe UI" w:hAnsi="Segoe UI" w:cs="Segoe UI"/>
          <w:sz w:val="22"/>
          <w:lang w:val="en-US"/>
        </w:rPr>
        <w:t xml:space="preserve"> complements existing knowledge by showing that the physical component is most strongly associated with overall frailty and clinical parameters. Thus, this analysis makes a new, complementary contribution by enabling a direct comparison of the impact of physical, psychological, and social aspects of frailty within a single multidimensional tool.</w:t>
      </w:r>
    </w:p>
    <w:p w14:paraId="3177ED21" w14:textId="77777777" w:rsidR="00DD0B94"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The study has several limitations. First of all, the cross-sectional nature and the relatively small size of the study group may affect the </w:t>
      </w:r>
      <w:proofErr w:type="spellStart"/>
      <w:r w:rsidRPr="006A7336">
        <w:rPr>
          <w:rFonts w:ascii="Segoe UI" w:hAnsi="Segoe UI" w:cs="Segoe UI"/>
          <w:sz w:val="22"/>
          <w:lang w:val="en-US"/>
        </w:rPr>
        <w:t>generalisability</w:t>
      </w:r>
      <w:proofErr w:type="spellEnd"/>
      <w:r w:rsidRPr="006A7336">
        <w:rPr>
          <w:rFonts w:ascii="Segoe UI" w:hAnsi="Segoe UI" w:cs="Segoe UI"/>
          <w:sz w:val="22"/>
          <w:lang w:val="en-US"/>
        </w:rPr>
        <w:t xml:space="preserve"> of the results. The overrepresentation of patients with frailty syndrome in the study group is also noteworthy. Another limitation of the study is its single-</w:t>
      </w:r>
      <w:proofErr w:type="spellStart"/>
      <w:r w:rsidRPr="006A7336">
        <w:rPr>
          <w:rFonts w:ascii="Segoe UI" w:hAnsi="Segoe UI" w:cs="Segoe UI"/>
          <w:sz w:val="22"/>
          <w:lang w:val="en-US"/>
        </w:rPr>
        <w:t>centre</w:t>
      </w:r>
      <w:proofErr w:type="spellEnd"/>
      <w:r w:rsidRPr="006A7336">
        <w:rPr>
          <w:rFonts w:ascii="Segoe UI" w:hAnsi="Segoe UI" w:cs="Segoe UI"/>
          <w:sz w:val="22"/>
          <w:lang w:val="en-US"/>
        </w:rPr>
        <w:t xml:space="preserve"> nature. In the future, the study should also be expanded to include other centers performing TAVI and to compare groups of patients by treatment modality used TAVI vs. SAVR. </w:t>
      </w:r>
      <w:r w:rsidR="00DD0B94" w:rsidRPr="006A7336">
        <w:rPr>
          <w:rFonts w:ascii="Segoe UI" w:hAnsi="Segoe UI" w:cs="Segoe UI"/>
          <w:sz w:val="22"/>
          <w:lang w:val="en-US"/>
        </w:rPr>
        <w:t xml:space="preserve">A major limitation of this study is its cross-sectional and preprocedural design. The present analysis was focused exclusively on baseline multidimensional frailty assessment before TAVI qualification and was not designed to evaluate post-procedural outcomes, including mortality, </w:t>
      </w:r>
      <w:proofErr w:type="spellStart"/>
      <w:r w:rsidR="00DD0B94" w:rsidRPr="006A7336">
        <w:rPr>
          <w:rFonts w:ascii="Segoe UI" w:hAnsi="Segoe UI" w:cs="Segoe UI"/>
          <w:sz w:val="22"/>
          <w:lang w:val="en-US"/>
        </w:rPr>
        <w:t>rehospitalisation</w:t>
      </w:r>
      <w:proofErr w:type="spellEnd"/>
      <w:r w:rsidR="00DD0B94" w:rsidRPr="006A7336">
        <w:rPr>
          <w:rFonts w:ascii="Segoe UI" w:hAnsi="Segoe UI" w:cs="Segoe UI"/>
          <w:sz w:val="22"/>
          <w:lang w:val="en-US"/>
        </w:rPr>
        <w:t xml:space="preserve">, functional recovery, or quality-of-life changes after TAVI. Therefore, the findings should be interpreted primarily as exploratory and hypothesis-generating with regard to the relationship between frailty and psychosocial determinants in patients with severe AS referred for TAVI. Follow-up assessments after TAVI, including repeated TFI, HADS, and TASQ measurements, are currently ongoing and were not available at the time of the present analysis. Future longitudinal </w:t>
      </w:r>
      <w:proofErr w:type="spellStart"/>
      <w:r w:rsidR="00DD0B94" w:rsidRPr="006A7336">
        <w:rPr>
          <w:rFonts w:ascii="Segoe UI" w:hAnsi="Segoe UI" w:cs="Segoe UI"/>
          <w:sz w:val="22"/>
          <w:lang w:val="en-US"/>
        </w:rPr>
        <w:t>multicentre</w:t>
      </w:r>
      <w:proofErr w:type="spellEnd"/>
      <w:r w:rsidR="00DD0B94" w:rsidRPr="006A7336">
        <w:rPr>
          <w:rFonts w:ascii="Segoe UI" w:hAnsi="Segoe UI" w:cs="Segoe UI"/>
          <w:sz w:val="22"/>
          <w:lang w:val="en-US"/>
        </w:rPr>
        <w:t xml:space="preserve"> studies are needed to determine how multidimensional frailty domains influence clinical and functional outcomes after TAVI.</w:t>
      </w:r>
    </w:p>
    <w:p w14:paraId="60D0D038" w14:textId="77777777" w:rsidR="00AC766C" w:rsidRPr="006A7336" w:rsidRDefault="00AC766C" w:rsidP="00BA1DF3">
      <w:pPr>
        <w:spacing w:line="360" w:lineRule="auto"/>
        <w:ind w:firstLine="708"/>
        <w:rPr>
          <w:rFonts w:ascii="Segoe UI" w:hAnsi="Segoe UI" w:cs="Segoe UI"/>
          <w:sz w:val="22"/>
          <w:lang w:val="en-US"/>
        </w:rPr>
      </w:pPr>
      <w:r w:rsidRPr="006A7336">
        <w:rPr>
          <w:rFonts w:ascii="Segoe UI" w:hAnsi="Segoe UI" w:cs="Segoe UI"/>
          <w:sz w:val="22"/>
          <w:lang w:val="en-US"/>
        </w:rPr>
        <w:t xml:space="preserve">In conclusion, our results suggest that frailty assessment </w:t>
      </w:r>
      <w:r w:rsidR="00DD0B94" w:rsidRPr="006A7336">
        <w:rPr>
          <w:rFonts w:ascii="Segoe UI" w:hAnsi="Segoe UI" w:cs="Segoe UI"/>
          <w:sz w:val="22"/>
          <w:lang w:val="en-US"/>
        </w:rPr>
        <w:t>may complement routine multidimensional evaluation in patients referred for TAVI</w:t>
      </w:r>
      <w:r w:rsidRPr="006A7336">
        <w:rPr>
          <w:rFonts w:ascii="Segoe UI" w:hAnsi="Segoe UI" w:cs="Segoe UI"/>
          <w:sz w:val="22"/>
          <w:lang w:val="en-US"/>
        </w:rPr>
        <w:t xml:space="preserve">. Factors such as NYHA class, </w:t>
      </w:r>
      <w:r w:rsidRPr="006A7336">
        <w:rPr>
          <w:rFonts w:ascii="Segoe UI" w:hAnsi="Segoe UI" w:cs="Segoe UI"/>
          <w:sz w:val="22"/>
          <w:lang w:val="en-US"/>
        </w:rPr>
        <w:lastRenderedPageBreak/>
        <w:t xml:space="preserve">lifestyle, and quality of life indicators in the emotional domain are key here. Prehabilitation interventions </w:t>
      </w:r>
      <w:r w:rsidR="00DD0B94" w:rsidRPr="006A7336">
        <w:rPr>
          <w:rFonts w:ascii="Segoe UI" w:hAnsi="Segoe UI" w:cs="Segoe UI"/>
          <w:sz w:val="22"/>
          <w:lang w:val="en-US"/>
        </w:rPr>
        <w:t>targeting mental health and social support may represent promising complementary strategies in patients with severe AS referred for TAVI</w:t>
      </w:r>
      <w:r w:rsidR="00FF0727" w:rsidRPr="006A7336">
        <w:rPr>
          <w:rFonts w:ascii="Segoe UI" w:hAnsi="Segoe UI" w:cs="Segoe UI"/>
          <w:sz w:val="22"/>
          <w:lang w:val="en-US"/>
        </w:rPr>
        <w:t>.</w:t>
      </w:r>
      <w:r w:rsidRPr="006A7336">
        <w:rPr>
          <w:rFonts w:ascii="Segoe UI" w:hAnsi="Segoe UI" w:cs="Segoe UI"/>
          <w:sz w:val="22"/>
          <w:lang w:val="en-US"/>
        </w:rPr>
        <w:t xml:space="preserve"> Introducing targeted strategies to optimize physical and mental health before surgery can improve treatment outcomes and quality of life for this group of patients.</w:t>
      </w:r>
    </w:p>
    <w:p w14:paraId="45D0EE41" w14:textId="77777777" w:rsidR="00AC766C" w:rsidRPr="006A7336" w:rsidRDefault="00AC766C" w:rsidP="00BA1DF3">
      <w:pPr>
        <w:spacing w:line="360" w:lineRule="auto"/>
        <w:rPr>
          <w:rFonts w:ascii="Segoe UI" w:hAnsi="Segoe UI" w:cs="Segoe UI"/>
          <w:sz w:val="22"/>
          <w:lang w:val="en-US"/>
        </w:rPr>
      </w:pPr>
    </w:p>
    <w:p w14:paraId="7B50FB64" w14:textId="77777777" w:rsidR="00DE4FDE" w:rsidRPr="006A7336" w:rsidRDefault="00DE4FDE" w:rsidP="00BA1DF3">
      <w:pPr>
        <w:spacing w:line="360" w:lineRule="auto"/>
        <w:rPr>
          <w:rFonts w:ascii="Segoe UI" w:hAnsi="Segoe UI" w:cs="Segoe UI"/>
          <w:b/>
          <w:sz w:val="22"/>
          <w:lang w:val="en-US"/>
        </w:rPr>
      </w:pPr>
      <w:r w:rsidRPr="006A7336">
        <w:rPr>
          <w:rFonts w:ascii="Segoe UI" w:hAnsi="Segoe UI" w:cs="Segoe UI"/>
          <w:b/>
          <w:sz w:val="22"/>
          <w:lang w:val="en-US"/>
        </w:rPr>
        <w:t>Conclusions</w:t>
      </w:r>
    </w:p>
    <w:p w14:paraId="6CC92BFA" w14:textId="77777777" w:rsidR="00AC766C" w:rsidRPr="006A7336" w:rsidRDefault="00AC766C" w:rsidP="00BA1DF3">
      <w:pPr>
        <w:pStyle w:val="Akapitzlist"/>
        <w:spacing w:line="360" w:lineRule="auto"/>
        <w:ind w:left="0"/>
        <w:rPr>
          <w:rFonts w:ascii="Segoe UI" w:hAnsi="Segoe UI" w:cs="Segoe UI"/>
          <w:sz w:val="22"/>
          <w:lang w:val="en-US"/>
        </w:rPr>
      </w:pPr>
      <w:r w:rsidRPr="006A7336">
        <w:rPr>
          <w:rFonts w:ascii="Segoe UI" w:hAnsi="Segoe UI" w:cs="Segoe UI"/>
          <w:sz w:val="22"/>
          <w:lang w:val="en-US"/>
        </w:rPr>
        <w:t xml:space="preserve">1. There were correlations between frailty syndrome and severity of anxiety and depression, quality of life and social support.  </w:t>
      </w:r>
    </w:p>
    <w:p w14:paraId="7CA91160" w14:textId="77777777" w:rsidR="00AC766C" w:rsidRPr="006A7336" w:rsidRDefault="00AC766C" w:rsidP="00BA1DF3">
      <w:pPr>
        <w:pStyle w:val="Akapitzlist"/>
        <w:spacing w:line="360" w:lineRule="auto"/>
        <w:ind w:left="0"/>
        <w:rPr>
          <w:rFonts w:ascii="Segoe UI" w:hAnsi="Segoe UI" w:cs="Segoe UI"/>
          <w:sz w:val="22"/>
          <w:lang w:val="en-US"/>
        </w:rPr>
      </w:pPr>
      <w:r w:rsidRPr="006A7336">
        <w:rPr>
          <w:rFonts w:ascii="Segoe UI" w:hAnsi="Segoe UI" w:cs="Segoe UI"/>
          <w:sz w:val="22"/>
          <w:lang w:val="en-US"/>
        </w:rPr>
        <w:t>2. Higher Euro SCORE II score increased the risk of frailty syndrome in the physical domain.</w:t>
      </w:r>
    </w:p>
    <w:p w14:paraId="7D0C7DF1" w14:textId="77777777" w:rsidR="004175B2" w:rsidRPr="006A7336" w:rsidRDefault="00AC766C" w:rsidP="00BA1DF3">
      <w:pPr>
        <w:pStyle w:val="Akapitzlist"/>
        <w:spacing w:line="360" w:lineRule="auto"/>
        <w:ind w:left="0"/>
        <w:rPr>
          <w:rFonts w:ascii="Segoe UI" w:hAnsi="Segoe UI" w:cs="Segoe UI"/>
          <w:sz w:val="22"/>
          <w:lang w:val="en-US"/>
        </w:rPr>
      </w:pPr>
      <w:r w:rsidRPr="006A7336">
        <w:rPr>
          <w:rFonts w:ascii="Segoe UI" w:hAnsi="Segoe UI" w:cs="Segoe UI"/>
          <w:sz w:val="22"/>
          <w:lang w:val="en-US"/>
        </w:rPr>
        <w:t xml:space="preserve">3. Predictors increasing frailty syndrome in patients with severe </w:t>
      </w:r>
      <w:r w:rsidR="00FF0727" w:rsidRPr="006A7336">
        <w:rPr>
          <w:rFonts w:ascii="Segoe UI" w:hAnsi="Segoe UI" w:cs="Segoe UI"/>
          <w:sz w:val="22"/>
          <w:lang w:val="en-US"/>
        </w:rPr>
        <w:t>AS</w:t>
      </w:r>
      <w:r w:rsidRPr="006A7336">
        <w:rPr>
          <w:rFonts w:ascii="Segoe UI" w:hAnsi="Segoe UI" w:cs="Segoe UI"/>
          <w:sz w:val="22"/>
          <w:lang w:val="en-US"/>
        </w:rPr>
        <w:t xml:space="preserve"> were higher NYHA class, unhealthy lifestyle and quality of life in the emotional domain.</w:t>
      </w:r>
    </w:p>
    <w:p w14:paraId="6348804F" w14:textId="77777777" w:rsidR="00DE4FDE" w:rsidRPr="006A7336" w:rsidRDefault="00DE4FDE" w:rsidP="00BA1DF3">
      <w:pPr>
        <w:spacing w:line="360" w:lineRule="auto"/>
        <w:rPr>
          <w:rFonts w:ascii="Segoe UI" w:hAnsi="Segoe UI" w:cs="Segoe UI"/>
          <w:b/>
          <w:bCs/>
          <w:sz w:val="22"/>
          <w:lang w:val="en-US"/>
        </w:rPr>
      </w:pPr>
      <w:r w:rsidRPr="006A7336">
        <w:rPr>
          <w:rFonts w:ascii="Segoe UI" w:hAnsi="Segoe UI" w:cs="Segoe UI"/>
          <w:b/>
          <w:bCs/>
          <w:sz w:val="22"/>
          <w:lang w:val="en-US"/>
        </w:rPr>
        <w:t>Author Contributions</w:t>
      </w:r>
    </w:p>
    <w:p w14:paraId="6F6F36FB" w14:textId="77777777" w:rsidR="00DE4FDE" w:rsidRPr="006A7336" w:rsidRDefault="00DE4FDE" w:rsidP="00BA1DF3">
      <w:pPr>
        <w:spacing w:line="360" w:lineRule="auto"/>
        <w:rPr>
          <w:rFonts w:ascii="Segoe UI" w:hAnsi="Segoe UI" w:cs="Segoe UI"/>
          <w:bCs/>
          <w:sz w:val="22"/>
          <w:lang w:val="en-US"/>
        </w:rPr>
      </w:pPr>
      <w:r w:rsidRPr="006A7336">
        <w:rPr>
          <w:rFonts w:ascii="Segoe UI" w:hAnsi="Segoe UI" w:cs="Segoe UI"/>
          <w:bCs/>
          <w:sz w:val="22"/>
          <w:lang w:val="en-US"/>
        </w:rPr>
        <w:t>Conceptualization: N.Ś.-L.; methodology: N.Ś.-L.; software: N.Ś.-L</w:t>
      </w:r>
      <w:r w:rsidR="00541385" w:rsidRPr="006A7336">
        <w:rPr>
          <w:rFonts w:ascii="Segoe UI" w:hAnsi="Segoe UI" w:cs="Segoe UI"/>
          <w:bCs/>
          <w:sz w:val="22"/>
          <w:lang w:val="en-US"/>
        </w:rPr>
        <w:t>.</w:t>
      </w:r>
      <w:r w:rsidRPr="006A7336">
        <w:rPr>
          <w:rFonts w:ascii="Segoe UI" w:hAnsi="Segoe UI" w:cs="Segoe UI"/>
          <w:bCs/>
          <w:sz w:val="22"/>
          <w:lang w:val="en-US"/>
        </w:rPr>
        <w:t>; validation: N.Ś.-L.; formal analysis: N.Ś.-L.</w:t>
      </w:r>
      <w:r w:rsidR="00A7670A" w:rsidRPr="006A7336">
        <w:rPr>
          <w:rFonts w:ascii="Segoe UI" w:hAnsi="Segoe UI" w:cs="Segoe UI"/>
          <w:bCs/>
          <w:sz w:val="22"/>
          <w:lang w:val="en-US"/>
        </w:rPr>
        <w:t xml:space="preserve"> and</w:t>
      </w:r>
      <w:r w:rsidR="00541385" w:rsidRPr="006A7336">
        <w:rPr>
          <w:rFonts w:ascii="Segoe UI" w:hAnsi="Segoe UI" w:cs="Segoe UI"/>
          <w:bCs/>
          <w:sz w:val="22"/>
          <w:lang w:val="en-US"/>
        </w:rPr>
        <w:t xml:space="preserve"> K.W-T</w:t>
      </w:r>
      <w:r w:rsidRPr="006A7336">
        <w:rPr>
          <w:rFonts w:ascii="Segoe UI" w:hAnsi="Segoe UI" w:cs="Segoe UI"/>
          <w:bCs/>
          <w:sz w:val="22"/>
          <w:lang w:val="en-US"/>
        </w:rPr>
        <w:t xml:space="preserve">.; investigation: N.Ś.-L.; resources: N.Ś.-L.; data curation: N.Ś.-L.; writing: (original draft preparation) N.Ś.-L., </w:t>
      </w:r>
      <w:r w:rsidR="000D79FE" w:rsidRPr="006A7336">
        <w:rPr>
          <w:rFonts w:ascii="Segoe UI" w:hAnsi="Segoe UI" w:cs="Segoe UI"/>
          <w:bCs/>
          <w:sz w:val="22"/>
          <w:lang w:val="en-US"/>
        </w:rPr>
        <w:t>F</w:t>
      </w:r>
      <w:r w:rsidRPr="006A7336">
        <w:rPr>
          <w:rFonts w:ascii="Segoe UI" w:hAnsi="Segoe UI" w:cs="Segoe UI"/>
          <w:bCs/>
          <w:sz w:val="22"/>
          <w:lang w:val="en-US"/>
        </w:rPr>
        <w:t xml:space="preserve">.P., </w:t>
      </w:r>
      <w:r w:rsidR="00541385" w:rsidRPr="006A7336">
        <w:rPr>
          <w:rFonts w:ascii="Segoe UI" w:hAnsi="Segoe UI" w:cs="Segoe UI"/>
          <w:bCs/>
          <w:sz w:val="22"/>
          <w:lang w:val="en-US"/>
        </w:rPr>
        <w:t>K</w:t>
      </w:r>
      <w:r w:rsidRPr="006A7336">
        <w:rPr>
          <w:rFonts w:ascii="Segoe UI" w:hAnsi="Segoe UI" w:cs="Segoe UI"/>
          <w:bCs/>
          <w:sz w:val="22"/>
          <w:lang w:val="en-US"/>
        </w:rPr>
        <w:t>.Ś.</w:t>
      </w:r>
      <w:r w:rsidR="00A7670A" w:rsidRPr="006A7336">
        <w:rPr>
          <w:rFonts w:ascii="Segoe UI" w:hAnsi="Segoe UI" w:cs="Segoe UI"/>
          <w:bCs/>
          <w:sz w:val="22"/>
          <w:lang w:val="en-US"/>
        </w:rPr>
        <w:t xml:space="preserve"> and </w:t>
      </w:r>
      <w:r w:rsidR="00541385" w:rsidRPr="006A7336">
        <w:rPr>
          <w:rFonts w:ascii="Segoe UI" w:hAnsi="Segoe UI" w:cs="Segoe UI"/>
          <w:bCs/>
          <w:sz w:val="22"/>
          <w:lang w:val="en-US"/>
        </w:rPr>
        <w:t>K.W.-T.</w:t>
      </w:r>
      <w:r w:rsidRPr="006A7336">
        <w:rPr>
          <w:rFonts w:ascii="Segoe UI" w:hAnsi="Segoe UI" w:cs="Segoe UI"/>
          <w:bCs/>
          <w:sz w:val="22"/>
          <w:lang w:val="en-US"/>
        </w:rPr>
        <w:t xml:space="preserve">; writing: (review and editing) A.D., W.B.; visualization: N.Ś.-L.; supervision: </w:t>
      </w:r>
      <w:r w:rsidR="00541385" w:rsidRPr="006A7336">
        <w:rPr>
          <w:rFonts w:ascii="Segoe UI" w:hAnsi="Segoe UI" w:cs="Segoe UI"/>
          <w:bCs/>
          <w:sz w:val="22"/>
          <w:lang w:val="en-US"/>
        </w:rPr>
        <w:t>N.Ś-L</w:t>
      </w:r>
      <w:r w:rsidRPr="006A7336">
        <w:rPr>
          <w:rFonts w:ascii="Segoe UI" w:hAnsi="Segoe UI" w:cs="Segoe UI"/>
          <w:bCs/>
          <w:sz w:val="22"/>
          <w:lang w:val="en-US"/>
        </w:rPr>
        <w:t>.; project administration: N.Ś.-L.; funding acquisition: N.Ś.-L. All the authors have read and agreed to the published version of the manuscript.</w:t>
      </w:r>
    </w:p>
    <w:p w14:paraId="189D24AF" w14:textId="77777777" w:rsidR="00DE4FDE" w:rsidRPr="006A7336" w:rsidRDefault="00DE4FDE" w:rsidP="00BA1DF3">
      <w:pPr>
        <w:spacing w:line="360" w:lineRule="auto"/>
        <w:rPr>
          <w:rFonts w:ascii="Segoe UI" w:hAnsi="Segoe UI" w:cs="Segoe UI"/>
          <w:b/>
          <w:bCs/>
          <w:sz w:val="22"/>
          <w:lang w:val="en-US"/>
        </w:rPr>
      </w:pPr>
      <w:r w:rsidRPr="006A7336">
        <w:rPr>
          <w:rFonts w:ascii="Segoe UI" w:hAnsi="Segoe UI" w:cs="Segoe UI"/>
          <w:b/>
          <w:bCs/>
          <w:sz w:val="22"/>
          <w:lang w:val="en-US"/>
        </w:rPr>
        <w:t>Funding</w:t>
      </w:r>
    </w:p>
    <w:p w14:paraId="5F951DD2" w14:textId="77777777" w:rsidR="00DE4FDE" w:rsidRPr="006A7336" w:rsidRDefault="00DE4FDE" w:rsidP="00BA1DF3">
      <w:pPr>
        <w:spacing w:line="360" w:lineRule="auto"/>
        <w:rPr>
          <w:rFonts w:ascii="Segoe UI" w:hAnsi="Segoe UI" w:cs="Segoe UI"/>
          <w:bCs/>
          <w:sz w:val="22"/>
          <w:lang w:val="en-US"/>
        </w:rPr>
      </w:pPr>
      <w:r w:rsidRPr="006A7336">
        <w:rPr>
          <w:rFonts w:ascii="Segoe UI" w:hAnsi="Segoe UI" w:cs="Segoe UI"/>
          <w:bCs/>
          <w:sz w:val="22"/>
          <w:lang w:val="en-US"/>
        </w:rPr>
        <w:t>This research received no external funding.</w:t>
      </w:r>
    </w:p>
    <w:p w14:paraId="76A5EFBB" w14:textId="77777777" w:rsidR="00DE4FDE" w:rsidRPr="006A7336" w:rsidRDefault="00DE4FDE" w:rsidP="00BA1DF3">
      <w:pPr>
        <w:spacing w:line="360" w:lineRule="auto"/>
        <w:rPr>
          <w:rFonts w:ascii="Segoe UI" w:hAnsi="Segoe UI" w:cs="Segoe UI"/>
          <w:b/>
          <w:bCs/>
          <w:sz w:val="22"/>
          <w:lang w:val="en-US"/>
        </w:rPr>
      </w:pPr>
      <w:r w:rsidRPr="006A7336">
        <w:rPr>
          <w:rFonts w:ascii="Segoe UI" w:hAnsi="Segoe UI" w:cs="Segoe UI"/>
          <w:b/>
          <w:bCs/>
          <w:sz w:val="22"/>
          <w:lang w:val="en-US"/>
        </w:rPr>
        <w:t>Institutional Review Board Statement</w:t>
      </w:r>
    </w:p>
    <w:p w14:paraId="56EACF18" w14:textId="77777777" w:rsidR="00DE4FDE" w:rsidRPr="006A7336" w:rsidRDefault="00DE4FDE" w:rsidP="00BA1DF3">
      <w:pPr>
        <w:spacing w:line="360" w:lineRule="auto"/>
        <w:rPr>
          <w:rFonts w:ascii="Segoe UI" w:hAnsi="Segoe UI" w:cs="Segoe UI"/>
          <w:bCs/>
          <w:sz w:val="22"/>
          <w:lang w:val="en-US"/>
        </w:rPr>
      </w:pPr>
      <w:r w:rsidRPr="006A7336">
        <w:rPr>
          <w:rFonts w:ascii="Segoe UI" w:hAnsi="Segoe UI" w:cs="Segoe UI"/>
          <w:bCs/>
          <w:sz w:val="22"/>
          <w:lang w:val="en-US"/>
        </w:rPr>
        <w:t>The study was conducted in accordance with the Declaration of Helsinki and approved by the Bioethics Committee of the Lower Silesian Medical Chamber (approval no. 02/BOBD/2024). All procedures followed were in accordance with the ethical standards of the responsible committee on human experimentation (institutional and national) and with the Helsinki Declaration of 1975, as revised in 2000.</w:t>
      </w:r>
    </w:p>
    <w:p w14:paraId="0917B6CC" w14:textId="77777777" w:rsidR="00DE4FDE" w:rsidRPr="006A7336" w:rsidRDefault="00DE4FDE" w:rsidP="00BA1DF3">
      <w:pPr>
        <w:spacing w:line="360" w:lineRule="auto"/>
        <w:rPr>
          <w:rFonts w:ascii="Segoe UI" w:hAnsi="Segoe UI" w:cs="Segoe UI"/>
          <w:b/>
          <w:bCs/>
          <w:sz w:val="22"/>
          <w:lang w:val="en-US"/>
        </w:rPr>
      </w:pPr>
      <w:r w:rsidRPr="006A7336">
        <w:rPr>
          <w:rFonts w:ascii="Segoe UI" w:hAnsi="Segoe UI" w:cs="Segoe UI"/>
          <w:b/>
          <w:bCs/>
          <w:sz w:val="22"/>
          <w:lang w:val="en-US"/>
        </w:rPr>
        <w:t>Informed Consent Statement</w:t>
      </w:r>
    </w:p>
    <w:p w14:paraId="6DCC52E0" w14:textId="77777777" w:rsidR="00DE4FDE" w:rsidRPr="006A7336" w:rsidRDefault="00DE4FDE" w:rsidP="00BA1DF3">
      <w:pPr>
        <w:spacing w:line="360" w:lineRule="auto"/>
        <w:rPr>
          <w:rFonts w:ascii="Segoe UI" w:hAnsi="Segoe UI" w:cs="Segoe UI"/>
          <w:bCs/>
          <w:sz w:val="22"/>
          <w:lang w:val="en-US"/>
        </w:rPr>
      </w:pPr>
      <w:r w:rsidRPr="006A7336">
        <w:rPr>
          <w:rFonts w:ascii="Segoe UI" w:hAnsi="Segoe UI" w:cs="Segoe UI"/>
          <w:bCs/>
          <w:sz w:val="22"/>
          <w:lang w:val="en-US"/>
        </w:rPr>
        <w:lastRenderedPageBreak/>
        <w:t>Informed consent was obtained from all subjects involved in the study. Written informed consent was obtained from the patient(s) to publish this paper.</w:t>
      </w:r>
    </w:p>
    <w:p w14:paraId="52944001" w14:textId="77777777" w:rsidR="00DE4FDE" w:rsidRPr="006A7336" w:rsidRDefault="00DE4FDE" w:rsidP="00BA1DF3">
      <w:pPr>
        <w:spacing w:line="360" w:lineRule="auto"/>
        <w:rPr>
          <w:rFonts w:ascii="Segoe UI" w:hAnsi="Segoe UI" w:cs="Segoe UI"/>
          <w:b/>
          <w:bCs/>
          <w:sz w:val="22"/>
          <w:lang w:val="en-US"/>
        </w:rPr>
      </w:pPr>
      <w:r w:rsidRPr="006A7336">
        <w:rPr>
          <w:rFonts w:ascii="Segoe UI" w:hAnsi="Segoe UI" w:cs="Segoe UI"/>
          <w:b/>
          <w:bCs/>
          <w:sz w:val="22"/>
          <w:lang w:val="en-US"/>
        </w:rPr>
        <w:t>Data Availability Statement</w:t>
      </w:r>
    </w:p>
    <w:p w14:paraId="1C683E1B" w14:textId="77777777" w:rsidR="005043CF" w:rsidRPr="006A7336" w:rsidRDefault="005043CF" w:rsidP="00BA1DF3">
      <w:pPr>
        <w:spacing w:line="360" w:lineRule="auto"/>
        <w:rPr>
          <w:rFonts w:ascii="Segoe UI" w:hAnsi="Segoe UI" w:cs="Segoe UI"/>
          <w:bCs/>
          <w:sz w:val="22"/>
          <w:lang w:val="en-US"/>
        </w:rPr>
      </w:pPr>
      <w:r w:rsidRPr="006A7336">
        <w:rPr>
          <w:rFonts w:ascii="Segoe UI" w:hAnsi="Segoe UI" w:cs="Segoe UI"/>
          <w:bCs/>
          <w:sz w:val="22"/>
          <w:lang w:val="en-US"/>
        </w:rPr>
        <w:t>The data presented in this study are available on reasonable request from the corresponding author. The data are not publicly available due to privacy and ethical restrictions.</w:t>
      </w:r>
    </w:p>
    <w:p w14:paraId="6623602E" w14:textId="77777777" w:rsidR="00DE4FDE" w:rsidRPr="006A7336" w:rsidRDefault="00DE4FDE" w:rsidP="00BA1DF3">
      <w:pPr>
        <w:spacing w:line="360" w:lineRule="auto"/>
        <w:rPr>
          <w:rFonts w:ascii="Segoe UI" w:hAnsi="Segoe UI" w:cs="Segoe UI"/>
          <w:b/>
          <w:bCs/>
          <w:sz w:val="22"/>
          <w:lang w:val="en-US"/>
        </w:rPr>
      </w:pPr>
      <w:r w:rsidRPr="006A7336">
        <w:rPr>
          <w:rFonts w:ascii="Segoe UI" w:hAnsi="Segoe UI" w:cs="Segoe UI"/>
          <w:b/>
          <w:bCs/>
          <w:sz w:val="22"/>
          <w:lang w:val="en-US"/>
        </w:rPr>
        <w:t>Conflicts of Interest</w:t>
      </w:r>
    </w:p>
    <w:p w14:paraId="762DC4C3" w14:textId="77777777" w:rsidR="00D9691B" w:rsidRPr="006A7336" w:rsidRDefault="00DE4FDE" w:rsidP="00BA1DF3">
      <w:pPr>
        <w:spacing w:line="360" w:lineRule="auto"/>
        <w:rPr>
          <w:rFonts w:ascii="Segoe UI" w:hAnsi="Segoe UI" w:cs="Segoe UI"/>
          <w:bCs/>
          <w:sz w:val="22"/>
          <w:lang w:val="en-US"/>
        </w:rPr>
      </w:pPr>
      <w:r w:rsidRPr="006A7336">
        <w:rPr>
          <w:rFonts w:ascii="Segoe UI" w:hAnsi="Segoe UI" w:cs="Segoe UI"/>
          <w:bCs/>
          <w:sz w:val="22"/>
          <w:lang w:val="en-US"/>
        </w:rPr>
        <w:t>The author declares that there are no conflicts of interest with respect to the publication of this article</w:t>
      </w:r>
      <w:r w:rsidR="00D9691B" w:rsidRPr="006A7336">
        <w:rPr>
          <w:rFonts w:ascii="Segoe UI" w:hAnsi="Segoe UI" w:cs="Segoe UI"/>
          <w:bCs/>
          <w:sz w:val="22"/>
          <w:lang w:val="en-US"/>
        </w:rPr>
        <w:t>.</w:t>
      </w:r>
    </w:p>
    <w:p w14:paraId="54E256F0" w14:textId="77777777" w:rsidR="00D9691B" w:rsidRPr="006A7336" w:rsidRDefault="00D9691B" w:rsidP="00BA1DF3">
      <w:pPr>
        <w:spacing w:line="360" w:lineRule="auto"/>
        <w:rPr>
          <w:rFonts w:ascii="Segoe UI" w:hAnsi="Segoe UI" w:cs="Segoe UI"/>
          <w:b/>
          <w:bCs/>
          <w:sz w:val="22"/>
          <w:lang w:val="en-US"/>
        </w:rPr>
      </w:pPr>
      <w:r w:rsidRPr="006A7336">
        <w:rPr>
          <w:rFonts w:ascii="Segoe UI" w:hAnsi="Segoe UI" w:cs="Segoe UI"/>
          <w:b/>
          <w:bCs/>
          <w:sz w:val="22"/>
          <w:lang w:val="en-US"/>
        </w:rPr>
        <w:t>Consent for publication</w:t>
      </w:r>
    </w:p>
    <w:p w14:paraId="0A2E16D3" w14:textId="77777777" w:rsidR="00D9691B" w:rsidRPr="006A7336" w:rsidRDefault="00D9691B" w:rsidP="00BA1DF3">
      <w:pPr>
        <w:spacing w:line="360" w:lineRule="auto"/>
        <w:rPr>
          <w:rFonts w:ascii="Segoe UI" w:hAnsi="Segoe UI" w:cs="Segoe UI"/>
          <w:bCs/>
          <w:sz w:val="22"/>
          <w:lang w:val="en-US"/>
        </w:rPr>
      </w:pPr>
      <w:r w:rsidRPr="006A7336">
        <w:rPr>
          <w:rFonts w:ascii="Segoe UI" w:hAnsi="Segoe UI" w:cs="Segoe UI"/>
          <w:bCs/>
          <w:sz w:val="22"/>
          <w:lang w:val="en-US"/>
        </w:rPr>
        <w:t>Not applicable.</w:t>
      </w:r>
    </w:p>
    <w:p w14:paraId="252E43C4" w14:textId="77777777" w:rsidR="00D9691B" w:rsidRPr="006A7336" w:rsidRDefault="00D9691B" w:rsidP="00BA1DF3">
      <w:pPr>
        <w:spacing w:line="360" w:lineRule="auto"/>
        <w:rPr>
          <w:rFonts w:ascii="Segoe UI" w:hAnsi="Segoe UI" w:cs="Segoe UI"/>
          <w:b/>
          <w:bCs/>
          <w:sz w:val="22"/>
          <w:lang w:val="en-US"/>
        </w:rPr>
      </w:pPr>
      <w:r w:rsidRPr="006A7336">
        <w:rPr>
          <w:rFonts w:ascii="Segoe UI" w:hAnsi="Segoe UI" w:cs="Segoe UI"/>
          <w:b/>
          <w:bCs/>
          <w:sz w:val="22"/>
          <w:lang w:val="en-US"/>
        </w:rPr>
        <w:t>Competing interests</w:t>
      </w:r>
    </w:p>
    <w:p w14:paraId="7AEA88FF" w14:textId="77777777" w:rsidR="00D9691B" w:rsidRPr="006A7336" w:rsidRDefault="00D9691B" w:rsidP="00BA1DF3">
      <w:pPr>
        <w:spacing w:line="360" w:lineRule="auto"/>
        <w:rPr>
          <w:rFonts w:ascii="Segoe UI" w:hAnsi="Segoe UI" w:cs="Segoe UI"/>
          <w:bCs/>
          <w:sz w:val="22"/>
          <w:lang w:val="en-US"/>
        </w:rPr>
      </w:pPr>
      <w:r w:rsidRPr="006A7336">
        <w:rPr>
          <w:rFonts w:ascii="Segoe UI" w:hAnsi="Segoe UI" w:cs="Segoe UI"/>
          <w:bCs/>
          <w:sz w:val="22"/>
          <w:lang w:val="en-US"/>
        </w:rPr>
        <w:t>The authors declare no competing interests.</w:t>
      </w:r>
    </w:p>
    <w:p w14:paraId="129693D4" w14:textId="77777777" w:rsidR="00D9691B" w:rsidRPr="006A7336" w:rsidRDefault="00D9691B" w:rsidP="00BA1DF3">
      <w:pPr>
        <w:spacing w:line="360" w:lineRule="auto"/>
        <w:rPr>
          <w:rFonts w:ascii="Segoe UI" w:hAnsi="Segoe UI" w:cs="Segoe UI"/>
          <w:b/>
          <w:bCs/>
          <w:sz w:val="22"/>
          <w:lang w:val="en-US"/>
        </w:rPr>
      </w:pPr>
      <w:r w:rsidRPr="006A7336">
        <w:rPr>
          <w:rFonts w:ascii="Segoe UI" w:hAnsi="Segoe UI" w:cs="Segoe UI"/>
          <w:b/>
          <w:bCs/>
          <w:sz w:val="22"/>
          <w:lang w:val="en-US"/>
        </w:rPr>
        <w:t>Clinical trial number</w:t>
      </w:r>
    </w:p>
    <w:p w14:paraId="35B1E2CA" w14:textId="77777777" w:rsidR="00DE4FDE" w:rsidRPr="006A7336" w:rsidRDefault="00D9691B" w:rsidP="00BA1DF3">
      <w:pPr>
        <w:spacing w:line="360" w:lineRule="auto"/>
        <w:rPr>
          <w:rFonts w:ascii="Segoe UI" w:hAnsi="Segoe UI" w:cs="Segoe UI"/>
          <w:sz w:val="22"/>
          <w:lang w:val="en-US"/>
        </w:rPr>
      </w:pPr>
      <w:r w:rsidRPr="006A7336">
        <w:rPr>
          <w:rFonts w:ascii="Segoe UI" w:hAnsi="Segoe UI" w:cs="Segoe UI"/>
          <w:sz w:val="22"/>
          <w:lang w:val="en-US"/>
        </w:rPr>
        <w:t>Not applicable.</w:t>
      </w:r>
    </w:p>
    <w:p w14:paraId="045630C2" w14:textId="77777777" w:rsidR="00DE4FDE" w:rsidRPr="006A7336" w:rsidRDefault="00DE4FDE" w:rsidP="00BA1DF3">
      <w:pPr>
        <w:spacing w:line="360" w:lineRule="auto"/>
        <w:rPr>
          <w:rFonts w:ascii="Segoe UI" w:hAnsi="Segoe UI" w:cs="Segoe UI"/>
          <w:b/>
          <w:sz w:val="22"/>
          <w:lang w:val="en-US"/>
        </w:rPr>
      </w:pPr>
    </w:p>
    <w:p w14:paraId="79993FFD" w14:textId="77777777" w:rsidR="00DE4FDE" w:rsidRPr="006A7336" w:rsidRDefault="00DE4FDE" w:rsidP="00BA1DF3">
      <w:pPr>
        <w:spacing w:line="360" w:lineRule="auto"/>
        <w:rPr>
          <w:rFonts w:ascii="Segoe UI" w:hAnsi="Segoe UI" w:cs="Segoe UI"/>
          <w:b/>
          <w:sz w:val="22"/>
          <w:lang w:val="en-US"/>
        </w:rPr>
      </w:pPr>
      <w:r w:rsidRPr="006A7336">
        <w:rPr>
          <w:rFonts w:ascii="Segoe UI" w:hAnsi="Segoe UI" w:cs="Segoe UI"/>
          <w:b/>
          <w:sz w:val="22"/>
          <w:lang w:val="en-US"/>
        </w:rPr>
        <w:t>References</w:t>
      </w:r>
    </w:p>
    <w:p w14:paraId="0BA0FF50" w14:textId="77777777" w:rsidR="009165DA" w:rsidRPr="009165DA" w:rsidRDefault="003059D2" w:rsidP="009165DA">
      <w:pPr>
        <w:pStyle w:val="Bibliografia"/>
        <w:rPr>
          <w:lang w:val="en-US"/>
        </w:rPr>
      </w:pPr>
      <w:r w:rsidRPr="006A7336">
        <w:rPr>
          <w:rFonts w:ascii="Segoe UI" w:hAnsi="Segoe UI" w:cs="Segoe UI"/>
          <w:sz w:val="22"/>
          <w:lang w:val="en-GB"/>
        </w:rPr>
        <w:fldChar w:fldCharType="begin"/>
      </w:r>
      <w:r w:rsidR="009165DA">
        <w:rPr>
          <w:rFonts w:ascii="Segoe UI" w:hAnsi="Segoe UI" w:cs="Segoe UI"/>
          <w:sz w:val="22"/>
          <w:lang w:val="en-GB"/>
        </w:rPr>
        <w:instrText xml:space="preserve"> ADDIN ZOTERO_BIBL {"uncited":[],"omitted":[],"custom":[]} CSL_BIBLIOGRAPHY </w:instrText>
      </w:r>
      <w:r w:rsidRPr="006A7336">
        <w:rPr>
          <w:rFonts w:ascii="Segoe UI" w:hAnsi="Segoe UI" w:cs="Segoe UI"/>
          <w:sz w:val="22"/>
          <w:lang w:val="en-GB"/>
        </w:rPr>
        <w:fldChar w:fldCharType="separate"/>
      </w:r>
      <w:r w:rsidR="009165DA" w:rsidRPr="009165DA">
        <w:rPr>
          <w:lang w:val="en-US"/>
        </w:rPr>
        <w:t xml:space="preserve">[1] </w:t>
      </w:r>
      <w:r w:rsidR="009165DA" w:rsidRPr="009165DA">
        <w:rPr>
          <w:lang w:val="en-US"/>
        </w:rPr>
        <w:tab/>
        <w:t xml:space="preserve">Duncan A, Ludman P, Banya W, et al. Long-term outcomes after transcatheter aortic valve replacement in high-risk patients with severe aortic stenosis: the U.K. Transcatheter Aortic Valve Implantation Registry. </w:t>
      </w:r>
      <w:r w:rsidR="009165DA" w:rsidRPr="009165DA">
        <w:rPr>
          <w:i/>
          <w:iCs/>
          <w:lang w:val="en-US"/>
        </w:rPr>
        <w:t>JACC Cardiovasc Interv</w:t>
      </w:r>
      <w:r w:rsidR="009165DA" w:rsidRPr="009165DA">
        <w:rPr>
          <w:lang w:val="en-US"/>
        </w:rPr>
        <w:t xml:space="preserve"> 2015; 8: 645–653.</w:t>
      </w:r>
    </w:p>
    <w:p w14:paraId="3A6F4CA5" w14:textId="77777777" w:rsidR="009165DA" w:rsidRPr="009165DA" w:rsidRDefault="009165DA" w:rsidP="009165DA">
      <w:pPr>
        <w:pStyle w:val="Bibliografia"/>
        <w:rPr>
          <w:lang w:val="en-US"/>
        </w:rPr>
      </w:pPr>
      <w:r w:rsidRPr="009165DA">
        <w:rPr>
          <w:lang w:val="en-US"/>
        </w:rPr>
        <w:t xml:space="preserve">[2] </w:t>
      </w:r>
      <w:r w:rsidRPr="009165DA">
        <w:rPr>
          <w:lang w:val="en-US"/>
        </w:rPr>
        <w:tab/>
        <w:t xml:space="preserve">Pilgrim T, Englberger L, Rothenbühler M, et al. Long-term outcome of elderly patients with severe aortic stenosis as a function of treatment modality. </w:t>
      </w:r>
      <w:r w:rsidRPr="009165DA">
        <w:rPr>
          <w:i/>
          <w:iCs/>
          <w:lang w:val="en-US"/>
        </w:rPr>
        <w:t>Heart</w:t>
      </w:r>
      <w:r w:rsidRPr="009165DA">
        <w:rPr>
          <w:lang w:val="en-US"/>
        </w:rPr>
        <w:t xml:space="preserve"> 2015; 101: 30–36.</w:t>
      </w:r>
    </w:p>
    <w:p w14:paraId="5ADC32B4" w14:textId="77777777" w:rsidR="009165DA" w:rsidRPr="009165DA" w:rsidRDefault="009165DA" w:rsidP="009165DA">
      <w:pPr>
        <w:pStyle w:val="Bibliografia"/>
        <w:rPr>
          <w:lang w:val="en-US"/>
        </w:rPr>
      </w:pPr>
      <w:r w:rsidRPr="009165DA">
        <w:rPr>
          <w:lang w:val="en-US"/>
        </w:rPr>
        <w:t xml:space="preserve">[3] </w:t>
      </w:r>
      <w:r w:rsidRPr="009165DA">
        <w:rPr>
          <w:lang w:val="en-US"/>
        </w:rPr>
        <w:tab/>
        <w:t xml:space="preserve">Baumgartner H, Falk V, Bax JJ, et al. 2017 ESC/EACTS Guidelines for the management of valvular heart disease. </w:t>
      </w:r>
      <w:r w:rsidRPr="009165DA">
        <w:rPr>
          <w:i/>
          <w:iCs/>
          <w:lang w:val="en-US"/>
        </w:rPr>
        <w:t>Eur Heart J</w:t>
      </w:r>
      <w:r w:rsidRPr="009165DA">
        <w:rPr>
          <w:lang w:val="en-US"/>
        </w:rPr>
        <w:t xml:space="preserve"> 2017; 38: 2739–2791.</w:t>
      </w:r>
    </w:p>
    <w:p w14:paraId="4C91F849" w14:textId="77777777" w:rsidR="009165DA" w:rsidRPr="009165DA" w:rsidRDefault="009165DA" w:rsidP="009165DA">
      <w:pPr>
        <w:pStyle w:val="Bibliografia"/>
        <w:rPr>
          <w:lang w:val="en-US"/>
        </w:rPr>
      </w:pPr>
      <w:r w:rsidRPr="009165DA">
        <w:rPr>
          <w:lang w:val="en-US"/>
        </w:rPr>
        <w:t xml:space="preserve">[4] </w:t>
      </w:r>
      <w:r w:rsidRPr="009165DA">
        <w:rPr>
          <w:lang w:val="en-US"/>
        </w:rPr>
        <w:tab/>
        <w:t xml:space="preserve">Niebauer J, Bäck C, Bischoff-Ferrari HA, et al. Preinterventional frailty assessment in patients scheduled for cardiac surgery or transcatheter aortic valve implantation: a consensus statement of the European Association for Cardio-Thoracic Surgery (EACTS) and the European Association of Preventive Cardiology (EAPC) of the European Society of Cardiology (ESC). </w:t>
      </w:r>
      <w:r w:rsidRPr="009165DA">
        <w:rPr>
          <w:i/>
          <w:iCs/>
          <w:lang w:val="en-US"/>
        </w:rPr>
        <w:t>Eur J Prev Cardiol</w:t>
      </w:r>
      <w:r w:rsidRPr="009165DA">
        <w:rPr>
          <w:lang w:val="en-US"/>
        </w:rPr>
        <w:t xml:space="preserve"> 2023; zwad304.</w:t>
      </w:r>
    </w:p>
    <w:p w14:paraId="16EEDAA5" w14:textId="77777777" w:rsidR="009165DA" w:rsidRPr="009165DA" w:rsidRDefault="009165DA" w:rsidP="009165DA">
      <w:pPr>
        <w:pStyle w:val="Bibliografia"/>
        <w:rPr>
          <w:lang w:val="en-US"/>
        </w:rPr>
      </w:pPr>
      <w:r w:rsidRPr="009165DA">
        <w:rPr>
          <w:lang w:val="en-US"/>
        </w:rPr>
        <w:lastRenderedPageBreak/>
        <w:t xml:space="preserve">[5] </w:t>
      </w:r>
      <w:r w:rsidRPr="009165DA">
        <w:rPr>
          <w:lang w:val="en-US"/>
        </w:rPr>
        <w:tab/>
        <w:t xml:space="preserve">Świątoniowska-Lonc N, Klausa F, Ściborski K, et al. Multiparametric Outcome Assessment After Transcatheter Aortic Valve Implantation-A Systematic Review. </w:t>
      </w:r>
      <w:r w:rsidRPr="009165DA">
        <w:rPr>
          <w:i/>
          <w:iCs/>
          <w:lang w:val="en-US"/>
        </w:rPr>
        <w:t>J Clin Med</w:t>
      </w:r>
      <w:r w:rsidRPr="009165DA">
        <w:rPr>
          <w:lang w:val="en-US"/>
        </w:rPr>
        <w:t xml:space="preserve"> 2025; 14: 1426.</w:t>
      </w:r>
    </w:p>
    <w:p w14:paraId="6446A26A" w14:textId="77777777" w:rsidR="009165DA" w:rsidRPr="009165DA" w:rsidRDefault="009165DA" w:rsidP="009165DA">
      <w:pPr>
        <w:pStyle w:val="Bibliografia"/>
        <w:rPr>
          <w:lang w:val="en-US"/>
        </w:rPr>
      </w:pPr>
      <w:r w:rsidRPr="009165DA">
        <w:rPr>
          <w:lang w:val="en-US"/>
        </w:rPr>
        <w:t xml:space="preserve">[6] </w:t>
      </w:r>
      <w:r w:rsidRPr="009165DA">
        <w:rPr>
          <w:lang w:val="en-US"/>
        </w:rPr>
        <w:tab/>
        <w:t xml:space="preserve">Allison R, Assadzandi S, Adelman M. Frailty: Evaluation and Management. </w:t>
      </w:r>
      <w:r w:rsidRPr="009165DA">
        <w:rPr>
          <w:i/>
          <w:iCs/>
          <w:lang w:val="en-US"/>
        </w:rPr>
        <w:t>Am Fam Physician</w:t>
      </w:r>
      <w:r w:rsidRPr="009165DA">
        <w:rPr>
          <w:lang w:val="en-US"/>
        </w:rPr>
        <w:t xml:space="preserve"> 2021; 103: 219–226.</w:t>
      </w:r>
    </w:p>
    <w:p w14:paraId="04D19860" w14:textId="77777777" w:rsidR="009165DA" w:rsidRPr="009165DA" w:rsidRDefault="009165DA" w:rsidP="009165DA">
      <w:pPr>
        <w:pStyle w:val="Bibliografia"/>
        <w:rPr>
          <w:lang w:val="en-US"/>
        </w:rPr>
      </w:pPr>
      <w:r w:rsidRPr="009165DA">
        <w:rPr>
          <w:lang w:val="en-US"/>
        </w:rPr>
        <w:t xml:space="preserve">[7] </w:t>
      </w:r>
      <w:r w:rsidRPr="009165DA">
        <w:rPr>
          <w:lang w:val="en-US"/>
        </w:rPr>
        <w:tab/>
        <w:t xml:space="preserve">Fried LP, Tangen CM, Walston J, et al. Frailty in older adults: evidence for a phenotype. </w:t>
      </w:r>
      <w:r w:rsidRPr="009165DA">
        <w:rPr>
          <w:i/>
          <w:iCs/>
          <w:lang w:val="en-US"/>
        </w:rPr>
        <w:t>J Gerontol A Biol Sci Med Sci</w:t>
      </w:r>
      <w:r w:rsidRPr="009165DA">
        <w:rPr>
          <w:lang w:val="en-US"/>
        </w:rPr>
        <w:t xml:space="preserve"> 2001; 56: M146-156.</w:t>
      </w:r>
    </w:p>
    <w:p w14:paraId="77CF4282" w14:textId="77777777" w:rsidR="009165DA" w:rsidRPr="009165DA" w:rsidRDefault="009165DA" w:rsidP="009165DA">
      <w:pPr>
        <w:pStyle w:val="Bibliografia"/>
        <w:rPr>
          <w:lang w:val="en-US"/>
        </w:rPr>
      </w:pPr>
      <w:r w:rsidRPr="009165DA">
        <w:rPr>
          <w:lang w:val="en-US"/>
        </w:rPr>
        <w:t xml:space="preserve">[8] </w:t>
      </w:r>
      <w:r w:rsidRPr="009165DA">
        <w:rPr>
          <w:lang w:val="en-US"/>
        </w:rPr>
        <w:tab/>
        <w:t xml:space="preserve">Goudzwaard JA, de Ronde-Tillmans MJAG, van Hoorn FED, et al. Impact of frailty on health-related quality of life 1 year after transcatheter aortic valve implantation. </w:t>
      </w:r>
      <w:r w:rsidRPr="009165DA">
        <w:rPr>
          <w:i/>
          <w:iCs/>
          <w:lang w:val="en-US"/>
        </w:rPr>
        <w:t>Age Ageing</w:t>
      </w:r>
      <w:r w:rsidRPr="009165DA">
        <w:rPr>
          <w:lang w:val="en-US"/>
        </w:rPr>
        <w:t xml:space="preserve"> 2020; 49: 989–994.</w:t>
      </w:r>
    </w:p>
    <w:p w14:paraId="653778CC" w14:textId="77777777" w:rsidR="009165DA" w:rsidRPr="009165DA" w:rsidRDefault="009165DA" w:rsidP="009165DA">
      <w:pPr>
        <w:pStyle w:val="Bibliografia"/>
        <w:rPr>
          <w:lang w:val="en-US"/>
        </w:rPr>
      </w:pPr>
      <w:r w:rsidRPr="009165DA">
        <w:rPr>
          <w:lang w:val="en-US"/>
        </w:rPr>
        <w:t xml:space="preserve">[9] </w:t>
      </w:r>
      <w:r w:rsidRPr="009165DA">
        <w:rPr>
          <w:lang w:val="en-US"/>
        </w:rPr>
        <w:tab/>
        <w:t xml:space="preserve">Shamliyan T, Talley KMC, Ramakrishnan R, et al. Association of frailty with survival: a systematic literature review. </w:t>
      </w:r>
      <w:r w:rsidRPr="009165DA">
        <w:rPr>
          <w:i/>
          <w:iCs/>
          <w:lang w:val="en-US"/>
        </w:rPr>
        <w:t>Ageing Res Rev</w:t>
      </w:r>
      <w:r w:rsidRPr="009165DA">
        <w:rPr>
          <w:lang w:val="en-US"/>
        </w:rPr>
        <w:t xml:space="preserve"> 2013; 12: 719–736.</w:t>
      </w:r>
    </w:p>
    <w:p w14:paraId="1C2228D1" w14:textId="77777777" w:rsidR="009165DA" w:rsidRPr="009165DA" w:rsidRDefault="009165DA" w:rsidP="009165DA">
      <w:pPr>
        <w:pStyle w:val="Bibliografia"/>
        <w:rPr>
          <w:lang w:val="en-US"/>
        </w:rPr>
      </w:pPr>
      <w:r w:rsidRPr="009165DA">
        <w:rPr>
          <w:lang w:val="en-US"/>
        </w:rPr>
        <w:t xml:space="preserve">[10] </w:t>
      </w:r>
      <w:r w:rsidRPr="009165DA">
        <w:rPr>
          <w:lang w:val="en-US"/>
        </w:rPr>
        <w:tab/>
        <w:t xml:space="preserve">Gobbens RJJ, van Assen MALM, Luijkx KG, et al. The Tilburg Frailty Indicator: psychometric properties. </w:t>
      </w:r>
      <w:r w:rsidRPr="009165DA">
        <w:rPr>
          <w:i/>
          <w:iCs/>
          <w:lang w:val="en-US"/>
        </w:rPr>
        <w:t>J Am Med Dir Assoc</w:t>
      </w:r>
      <w:r w:rsidRPr="009165DA">
        <w:rPr>
          <w:lang w:val="en-US"/>
        </w:rPr>
        <w:t xml:space="preserve"> 2010; 11: 344–355.</w:t>
      </w:r>
    </w:p>
    <w:p w14:paraId="65849352" w14:textId="77777777" w:rsidR="009165DA" w:rsidRPr="009165DA" w:rsidRDefault="009165DA" w:rsidP="009165DA">
      <w:pPr>
        <w:pStyle w:val="Bibliografia"/>
        <w:rPr>
          <w:lang w:val="en-US"/>
        </w:rPr>
      </w:pPr>
      <w:r w:rsidRPr="009165DA">
        <w:rPr>
          <w:lang w:val="en-US"/>
        </w:rPr>
        <w:t xml:space="preserve">[11] </w:t>
      </w:r>
      <w:r w:rsidRPr="009165DA">
        <w:rPr>
          <w:lang w:val="en-US"/>
        </w:rPr>
        <w:tab/>
        <w:t xml:space="preserve">Praz F, Borger MA, Lanz J, et al. 2025 ESC/EACTS Guidelines for the management of valvular heart disease. </w:t>
      </w:r>
      <w:r w:rsidRPr="009165DA">
        <w:rPr>
          <w:i/>
          <w:iCs/>
          <w:lang w:val="en-US"/>
        </w:rPr>
        <w:t>Eur Heart J</w:t>
      </w:r>
      <w:r w:rsidRPr="009165DA">
        <w:rPr>
          <w:lang w:val="en-US"/>
        </w:rPr>
        <w:t xml:space="preserve"> 2025; 46: 4635–4736.</w:t>
      </w:r>
    </w:p>
    <w:p w14:paraId="2A148FE0" w14:textId="77777777" w:rsidR="009165DA" w:rsidRPr="009165DA" w:rsidRDefault="009165DA" w:rsidP="009165DA">
      <w:pPr>
        <w:pStyle w:val="Bibliografia"/>
        <w:rPr>
          <w:lang w:val="en-US"/>
        </w:rPr>
      </w:pPr>
      <w:r w:rsidRPr="009165DA">
        <w:rPr>
          <w:lang w:val="en-US"/>
        </w:rPr>
        <w:t xml:space="preserve">[12] </w:t>
      </w:r>
      <w:r w:rsidRPr="009165DA">
        <w:rPr>
          <w:lang w:val="en-US"/>
        </w:rPr>
        <w:tab/>
        <w:t xml:space="preserve">Allam LE, Moneim YA, Eldamanhoury HM, et al. Effect of atrial high-rate episodes (AHREs) on functional status and quality of life (QoL) in heart failure—cardiac resynchronization therapy population. </w:t>
      </w:r>
      <w:r w:rsidRPr="009165DA">
        <w:rPr>
          <w:i/>
          <w:iCs/>
          <w:lang w:val="en-US"/>
        </w:rPr>
        <w:t>Egypt Heart J</w:t>
      </w:r>
      <w:r w:rsidRPr="009165DA">
        <w:rPr>
          <w:lang w:val="en-US"/>
        </w:rPr>
        <w:t xml:space="preserve"> 2025; 77: 19.</w:t>
      </w:r>
    </w:p>
    <w:p w14:paraId="71E04B1B" w14:textId="77777777" w:rsidR="009165DA" w:rsidRPr="009165DA" w:rsidRDefault="009165DA" w:rsidP="009165DA">
      <w:pPr>
        <w:pStyle w:val="Bibliografia"/>
        <w:rPr>
          <w:lang w:val="en-US"/>
        </w:rPr>
      </w:pPr>
      <w:r w:rsidRPr="009165DA">
        <w:rPr>
          <w:lang w:val="en-US"/>
        </w:rPr>
        <w:t xml:space="preserve">[13] </w:t>
      </w:r>
      <w:r w:rsidRPr="009165DA">
        <w:rPr>
          <w:lang w:val="en-US"/>
        </w:rPr>
        <w:tab/>
        <w:t xml:space="preserve">Gecaite-Stonciene J, Burkauskas J, Bunevicius A, et al. Validation and Psychometric Properties of the Minnesota Living With Heart Failure Questionnaire in Individuals With Coronary Artery Disease in Lithuania. </w:t>
      </w:r>
      <w:r w:rsidRPr="009165DA">
        <w:rPr>
          <w:i/>
          <w:iCs/>
          <w:lang w:val="en-US"/>
        </w:rPr>
        <w:t>Front Psychol</w:t>
      </w:r>
      <w:r w:rsidRPr="009165DA">
        <w:rPr>
          <w:lang w:val="en-US"/>
        </w:rPr>
        <w:t xml:space="preserve"> 2021; 12: 771095.</w:t>
      </w:r>
    </w:p>
    <w:p w14:paraId="44AE36A1" w14:textId="77777777" w:rsidR="009165DA" w:rsidRPr="009165DA" w:rsidRDefault="009165DA" w:rsidP="009165DA">
      <w:pPr>
        <w:pStyle w:val="Bibliografia"/>
        <w:rPr>
          <w:lang w:val="en-US"/>
        </w:rPr>
      </w:pPr>
      <w:r w:rsidRPr="009165DA">
        <w:rPr>
          <w:lang w:val="en-US"/>
        </w:rPr>
        <w:t xml:space="preserve">[14] </w:t>
      </w:r>
      <w:r w:rsidRPr="009165DA">
        <w:rPr>
          <w:lang w:val="en-US"/>
        </w:rPr>
        <w:tab/>
        <w:t xml:space="preserve">Jalilian H, Imani A, Mir H, et al. Survey of the Impact of Myocardial Infarction on Patients’ Quality of Life: A Single-Centre Cross-Sectional Study. </w:t>
      </w:r>
      <w:r w:rsidRPr="009165DA">
        <w:rPr>
          <w:i/>
          <w:iCs/>
          <w:lang w:val="en-US"/>
        </w:rPr>
        <w:t>Evidence Based Health Policy, Management and Economics</w:t>
      </w:r>
      <w:r w:rsidRPr="009165DA">
        <w:rPr>
          <w:lang w:val="en-US"/>
        </w:rPr>
        <w:t>. Epub ahead of print 15 December 2020. DOI: 10.18502/jebhpme.v4i4.4889.</w:t>
      </w:r>
    </w:p>
    <w:p w14:paraId="6A72A703" w14:textId="77777777" w:rsidR="009165DA" w:rsidRPr="009165DA" w:rsidRDefault="009165DA" w:rsidP="009165DA">
      <w:pPr>
        <w:pStyle w:val="Bibliografia"/>
        <w:rPr>
          <w:lang w:val="en-US"/>
        </w:rPr>
      </w:pPr>
      <w:r w:rsidRPr="009165DA">
        <w:rPr>
          <w:lang w:val="en-US"/>
        </w:rPr>
        <w:t xml:space="preserve">[15] </w:t>
      </w:r>
      <w:r w:rsidRPr="009165DA">
        <w:rPr>
          <w:lang w:val="en-US"/>
        </w:rPr>
        <w:tab/>
        <w:t xml:space="preserve">Sandau KE, Boisjolie C, Hodges JS. Use of the Minnesota Living With Heart Failure Questionnaire among elderly patients with aortic stenosis: results from a pilot study. </w:t>
      </w:r>
      <w:r w:rsidRPr="009165DA">
        <w:rPr>
          <w:i/>
          <w:iCs/>
          <w:lang w:val="en-US"/>
        </w:rPr>
        <w:t>J Cardiovasc Nurs</w:t>
      </w:r>
      <w:r w:rsidRPr="009165DA">
        <w:rPr>
          <w:lang w:val="en-US"/>
        </w:rPr>
        <w:t xml:space="preserve"> 2014; 29: 185–197.</w:t>
      </w:r>
    </w:p>
    <w:p w14:paraId="4B7E06D7" w14:textId="77777777" w:rsidR="009165DA" w:rsidRPr="009165DA" w:rsidRDefault="009165DA" w:rsidP="009165DA">
      <w:pPr>
        <w:pStyle w:val="Bibliografia"/>
        <w:rPr>
          <w:lang w:val="en-US"/>
        </w:rPr>
      </w:pPr>
      <w:r w:rsidRPr="009165DA">
        <w:rPr>
          <w:lang w:val="en-US"/>
        </w:rPr>
        <w:t xml:space="preserve">[16] </w:t>
      </w:r>
      <w:r w:rsidRPr="009165DA">
        <w:rPr>
          <w:lang w:val="en-US"/>
        </w:rPr>
        <w:tab/>
        <w:t xml:space="preserve">Styra R, Dimas M, Svitak K, et al. Toronto aortic stenosis quality of life questionnaire (TASQ): validation in TAVI patients. </w:t>
      </w:r>
      <w:r w:rsidRPr="009165DA">
        <w:rPr>
          <w:i/>
          <w:iCs/>
          <w:lang w:val="en-US"/>
        </w:rPr>
        <w:t>BMC Cardiovasc Disord</w:t>
      </w:r>
      <w:r w:rsidRPr="009165DA">
        <w:rPr>
          <w:lang w:val="en-US"/>
        </w:rPr>
        <w:t xml:space="preserve"> 2020; 20: 209.</w:t>
      </w:r>
    </w:p>
    <w:p w14:paraId="3CD93D66" w14:textId="77777777" w:rsidR="009165DA" w:rsidRPr="009165DA" w:rsidRDefault="009165DA" w:rsidP="009165DA">
      <w:pPr>
        <w:pStyle w:val="Bibliografia"/>
        <w:rPr>
          <w:lang w:val="en-US"/>
        </w:rPr>
      </w:pPr>
      <w:r w:rsidRPr="009165DA">
        <w:rPr>
          <w:lang w:val="en-US"/>
        </w:rPr>
        <w:t xml:space="preserve">[17] </w:t>
      </w:r>
      <w:r w:rsidRPr="009165DA">
        <w:rPr>
          <w:lang w:val="en-US"/>
        </w:rPr>
        <w:tab/>
        <w:t xml:space="preserve">Świątoniowska-Lonc N, Ściborski K, Styra R, et al. Toronto Aortic Stenosis Quality of Life Questionnaire (TASQ): Validation in Polish Patients with Aortic Stenosis. </w:t>
      </w:r>
      <w:r w:rsidRPr="009165DA">
        <w:rPr>
          <w:i/>
          <w:iCs/>
          <w:lang w:val="en-US"/>
        </w:rPr>
        <w:t>J Clin Med</w:t>
      </w:r>
      <w:r w:rsidRPr="009165DA">
        <w:rPr>
          <w:lang w:val="en-US"/>
        </w:rPr>
        <w:t xml:space="preserve"> 2025; 14: 2502.</w:t>
      </w:r>
    </w:p>
    <w:p w14:paraId="75153CFB" w14:textId="77777777" w:rsidR="009165DA" w:rsidRPr="00DD6B8B" w:rsidRDefault="009165DA" w:rsidP="009165DA">
      <w:pPr>
        <w:pStyle w:val="Bibliografia"/>
        <w:rPr>
          <w:lang w:val="en-US"/>
        </w:rPr>
      </w:pPr>
      <w:r w:rsidRPr="009165DA">
        <w:rPr>
          <w:lang w:val="en-US"/>
        </w:rPr>
        <w:t xml:space="preserve">[18] </w:t>
      </w:r>
      <w:r w:rsidRPr="009165DA">
        <w:rPr>
          <w:lang w:val="en-US"/>
        </w:rPr>
        <w:tab/>
        <w:t xml:space="preserve">Rector T, Kubo S, Cohn J. Patients’ self-assessment of their congestive heart failure. </w:t>
      </w:r>
      <w:r w:rsidRPr="00DD6B8B">
        <w:rPr>
          <w:lang w:val="en-US"/>
        </w:rPr>
        <w:t xml:space="preserve">Part 2: content, reliability and validity of a new measure, The Minnesota Living with Heart Failure Questionnaire. </w:t>
      </w:r>
      <w:r w:rsidRPr="00DD6B8B">
        <w:rPr>
          <w:i/>
          <w:iCs/>
          <w:lang w:val="en-US"/>
        </w:rPr>
        <w:t>Heart Failure</w:t>
      </w:r>
      <w:r w:rsidRPr="00DD6B8B">
        <w:rPr>
          <w:lang w:val="en-US"/>
        </w:rPr>
        <w:t xml:space="preserve"> 1987; 3: 198–209.</w:t>
      </w:r>
    </w:p>
    <w:p w14:paraId="4AD15B99" w14:textId="77777777" w:rsidR="009165DA" w:rsidRPr="00DD6B8B" w:rsidRDefault="009165DA" w:rsidP="009165DA">
      <w:pPr>
        <w:pStyle w:val="Bibliografia"/>
        <w:rPr>
          <w:lang w:val="en-US"/>
        </w:rPr>
      </w:pPr>
      <w:r w:rsidRPr="00DD6B8B">
        <w:rPr>
          <w:lang w:val="en-US"/>
        </w:rPr>
        <w:lastRenderedPageBreak/>
        <w:t xml:space="preserve">[19] </w:t>
      </w:r>
      <w:r w:rsidRPr="00DD6B8B">
        <w:rPr>
          <w:lang w:val="en-US"/>
        </w:rPr>
        <w:tab/>
        <w:t xml:space="preserve">Official MLHF | Minnesota Living with Heart Failure Questionnaire distributed by </w:t>
      </w:r>
      <w:proofErr w:type="spellStart"/>
      <w:r w:rsidRPr="00DD6B8B">
        <w:rPr>
          <w:lang w:val="en-US"/>
        </w:rPr>
        <w:t>Mapi</w:t>
      </w:r>
      <w:proofErr w:type="spellEnd"/>
      <w:r w:rsidRPr="00DD6B8B">
        <w:rPr>
          <w:lang w:val="en-US"/>
        </w:rPr>
        <w:t xml:space="preserve"> Research Trust | </w:t>
      </w:r>
      <w:proofErr w:type="spellStart"/>
      <w:r w:rsidRPr="00DD6B8B">
        <w:rPr>
          <w:lang w:val="en-US"/>
        </w:rPr>
        <w:t>ePROVIDE</w:t>
      </w:r>
      <w:proofErr w:type="spellEnd"/>
      <w:r w:rsidRPr="00DD6B8B">
        <w:rPr>
          <w:lang w:val="en-US"/>
        </w:rPr>
        <w:t xml:space="preserve">. </w:t>
      </w:r>
      <w:proofErr w:type="spellStart"/>
      <w:r w:rsidRPr="00DD6B8B">
        <w:rPr>
          <w:i/>
          <w:iCs/>
          <w:lang w:val="en-US"/>
        </w:rPr>
        <w:t>ePROVIDE</w:t>
      </w:r>
      <w:proofErr w:type="spellEnd"/>
      <w:r w:rsidRPr="00DD6B8B">
        <w:rPr>
          <w:i/>
          <w:iCs/>
          <w:lang w:val="en-US"/>
        </w:rPr>
        <w:t xml:space="preserve"> - </w:t>
      </w:r>
      <w:proofErr w:type="spellStart"/>
      <w:r w:rsidRPr="00DD6B8B">
        <w:rPr>
          <w:i/>
          <w:iCs/>
          <w:lang w:val="en-US"/>
        </w:rPr>
        <w:t>Mapi</w:t>
      </w:r>
      <w:proofErr w:type="spellEnd"/>
      <w:r w:rsidRPr="00DD6B8B">
        <w:rPr>
          <w:i/>
          <w:iCs/>
          <w:lang w:val="en-US"/>
        </w:rPr>
        <w:t xml:space="preserve"> Research Trust</w:t>
      </w:r>
      <w:r w:rsidRPr="00DD6B8B">
        <w:rPr>
          <w:lang w:val="en-US"/>
        </w:rPr>
        <w:t>, httpss://eprovide.mapi-trust.org/instruments/minnesota-living-with-heart-failure-questionnaire (2024, accessed 30 October 2024).</w:t>
      </w:r>
    </w:p>
    <w:p w14:paraId="5CB3E482" w14:textId="77777777" w:rsidR="009165DA" w:rsidRPr="00DD6B8B" w:rsidRDefault="009165DA" w:rsidP="009165DA">
      <w:pPr>
        <w:pStyle w:val="Bibliografia"/>
        <w:rPr>
          <w:lang w:val="en-US"/>
        </w:rPr>
      </w:pPr>
      <w:r w:rsidRPr="00DD6B8B">
        <w:rPr>
          <w:lang w:val="en-US"/>
        </w:rPr>
        <w:t xml:space="preserve">[20] </w:t>
      </w:r>
      <w:r w:rsidRPr="00DD6B8B">
        <w:rPr>
          <w:lang w:val="en-US"/>
        </w:rPr>
        <w:tab/>
        <w:t xml:space="preserve">Bjelland I, Dahl AA, Haug TT, et al. The validity of the Hospital Anxiety and Depression Scale. An updated literature review. </w:t>
      </w:r>
      <w:r w:rsidRPr="00DD6B8B">
        <w:rPr>
          <w:i/>
          <w:iCs/>
          <w:lang w:val="en-US"/>
        </w:rPr>
        <w:t xml:space="preserve">J </w:t>
      </w:r>
      <w:proofErr w:type="spellStart"/>
      <w:r w:rsidRPr="00DD6B8B">
        <w:rPr>
          <w:i/>
          <w:iCs/>
          <w:lang w:val="en-US"/>
        </w:rPr>
        <w:t>Psychosom</w:t>
      </w:r>
      <w:proofErr w:type="spellEnd"/>
      <w:r w:rsidRPr="00DD6B8B">
        <w:rPr>
          <w:i/>
          <w:iCs/>
          <w:lang w:val="en-US"/>
        </w:rPr>
        <w:t xml:space="preserve"> Res</w:t>
      </w:r>
      <w:r w:rsidRPr="00DD6B8B">
        <w:rPr>
          <w:lang w:val="en-US"/>
        </w:rPr>
        <w:t xml:space="preserve"> 2002; 52: 69–77.</w:t>
      </w:r>
    </w:p>
    <w:p w14:paraId="7C522697" w14:textId="77777777" w:rsidR="009165DA" w:rsidRPr="00DD6B8B" w:rsidRDefault="009165DA" w:rsidP="009165DA">
      <w:pPr>
        <w:pStyle w:val="Bibliografia"/>
        <w:rPr>
          <w:lang w:val="en-US"/>
        </w:rPr>
      </w:pPr>
      <w:r w:rsidRPr="00DD6B8B">
        <w:rPr>
          <w:lang w:val="en-US"/>
        </w:rPr>
        <w:t xml:space="preserve">[21] </w:t>
      </w:r>
      <w:r w:rsidRPr="00DD6B8B">
        <w:rPr>
          <w:lang w:val="en-US"/>
        </w:rPr>
        <w:tab/>
        <w:t xml:space="preserve">Zimet GD, Powell SS, Farley GK, et al. Psychometric characteristics of the Multidimensional Scale of Perceived Social Support. </w:t>
      </w:r>
      <w:r w:rsidRPr="00DD6B8B">
        <w:rPr>
          <w:i/>
          <w:iCs/>
          <w:lang w:val="en-US"/>
        </w:rPr>
        <w:t>J Pers Assess</w:t>
      </w:r>
      <w:r w:rsidRPr="00DD6B8B">
        <w:rPr>
          <w:lang w:val="en-US"/>
        </w:rPr>
        <w:t xml:space="preserve"> 1990; 55: 610–617.</w:t>
      </w:r>
    </w:p>
    <w:p w14:paraId="769F671D" w14:textId="77777777" w:rsidR="009165DA" w:rsidRPr="00DD6B8B" w:rsidRDefault="009165DA" w:rsidP="009165DA">
      <w:pPr>
        <w:pStyle w:val="Bibliografia"/>
        <w:rPr>
          <w:lang w:val="en-US"/>
        </w:rPr>
      </w:pPr>
      <w:r w:rsidRPr="00DD6B8B">
        <w:rPr>
          <w:lang w:val="en-US"/>
        </w:rPr>
        <w:t xml:space="preserve">[22] </w:t>
      </w:r>
      <w:r w:rsidRPr="00DD6B8B">
        <w:rPr>
          <w:lang w:val="en-US"/>
        </w:rPr>
        <w:tab/>
        <w:t xml:space="preserve">Bertschi D, Moser A, </w:t>
      </w:r>
      <w:proofErr w:type="spellStart"/>
      <w:r w:rsidRPr="00DD6B8B">
        <w:rPr>
          <w:lang w:val="en-US"/>
        </w:rPr>
        <w:t>Stortecky</w:t>
      </w:r>
      <w:proofErr w:type="spellEnd"/>
      <w:r w:rsidRPr="00DD6B8B">
        <w:rPr>
          <w:lang w:val="en-US"/>
        </w:rPr>
        <w:t xml:space="preserve"> S, et al. Evolution of Basic Activities of Daily Living Function in Older Patients One Year After Transcatheter Aortic Valve Implantation. </w:t>
      </w:r>
      <w:r w:rsidRPr="00DD6B8B">
        <w:rPr>
          <w:i/>
          <w:iCs/>
          <w:lang w:val="en-US"/>
        </w:rPr>
        <w:t xml:space="preserve">J Am </w:t>
      </w:r>
      <w:proofErr w:type="spellStart"/>
      <w:r w:rsidRPr="00DD6B8B">
        <w:rPr>
          <w:i/>
          <w:iCs/>
          <w:lang w:val="en-US"/>
        </w:rPr>
        <w:t>Geriatr</w:t>
      </w:r>
      <w:proofErr w:type="spellEnd"/>
      <w:r w:rsidRPr="00DD6B8B">
        <w:rPr>
          <w:i/>
          <w:iCs/>
          <w:lang w:val="en-US"/>
        </w:rPr>
        <w:t xml:space="preserve"> Soc</w:t>
      </w:r>
      <w:r w:rsidRPr="00DD6B8B">
        <w:rPr>
          <w:lang w:val="en-US"/>
        </w:rPr>
        <w:t xml:space="preserve"> 2021; 69: 500–505.</w:t>
      </w:r>
    </w:p>
    <w:p w14:paraId="5C43B1E7" w14:textId="77777777" w:rsidR="009165DA" w:rsidRPr="00DD6B8B" w:rsidRDefault="009165DA" w:rsidP="009165DA">
      <w:pPr>
        <w:pStyle w:val="Bibliografia"/>
        <w:rPr>
          <w:lang w:val="en-US"/>
        </w:rPr>
      </w:pPr>
      <w:r w:rsidRPr="00DD6B8B">
        <w:rPr>
          <w:lang w:val="en-US"/>
        </w:rPr>
        <w:t xml:space="preserve">[23] </w:t>
      </w:r>
      <w:r w:rsidRPr="00DD6B8B">
        <w:rPr>
          <w:lang w:val="en-US"/>
        </w:rPr>
        <w:tab/>
        <w:t>Freitas-Ferraz AB, Rodés-</w:t>
      </w:r>
      <w:proofErr w:type="spellStart"/>
      <w:r w:rsidRPr="00DD6B8B">
        <w:rPr>
          <w:lang w:val="en-US"/>
        </w:rPr>
        <w:t>Cabau</w:t>
      </w:r>
      <w:proofErr w:type="spellEnd"/>
      <w:r w:rsidRPr="00DD6B8B">
        <w:rPr>
          <w:lang w:val="en-US"/>
        </w:rPr>
        <w:t xml:space="preserve"> J. Classical and Paradoxical Low-Flow, Low-Gradient Aortic Stenosis: The Evolving Role of TAVR. </w:t>
      </w:r>
      <w:r w:rsidRPr="00DD6B8B">
        <w:rPr>
          <w:i/>
          <w:iCs/>
          <w:lang w:val="en-US"/>
        </w:rPr>
        <w:t xml:space="preserve">JACC Cardiovasc </w:t>
      </w:r>
      <w:proofErr w:type="spellStart"/>
      <w:r w:rsidRPr="00DD6B8B">
        <w:rPr>
          <w:i/>
          <w:iCs/>
          <w:lang w:val="en-US"/>
        </w:rPr>
        <w:t>Interv</w:t>
      </w:r>
      <w:proofErr w:type="spellEnd"/>
      <w:r w:rsidRPr="00DD6B8B">
        <w:rPr>
          <w:lang w:val="en-US"/>
        </w:rPr>
        <w:t xml:space="preserve"> 2019; 12: 764–766.</w:t>
      </w:r>
    </w:p>
    <w:p w14:paraId="2C0CDA30" w14:textId="77777777" w:rsidR="009165DA" w:rsidRPr="00DD6B8B" w:rsidRDefault="009165DA" w:rsidP="009165DA">
      <w:pPr>
        <w:pStyle w:val="Bibliografia"/>
        <w:rPr>
          <w:lang w:val="en-US"/>
        </w:rPr>
      </w:pPr>
      <w:r w:rsidRPr="00DD6B8B">
        <w:rPr>
          <w:lang w:val="en-US"/>
        </w:rPr>
        <w:t xml:space="preserve">[24] </w:t>
      </w:r>
      <w:r w:rsidRPr="00DD6B8B">
        <w:rPr>
          <w:lang w:val="en-US"/>
        </w:rPr>
        <w:tab/>
        <w:t>Fischer-</w:t>
      </w:r>
      <w:proofErr w:type="spellStart"/>
      <w:r w:rsidRPr="00DD6B8B">
        <w:rPr>
          <w:lang w:val="en-US"/>
        </w:rPr>
        <w:t>Rasokat</w:t>
      </w:r>
      <w:proofErr w:type="spellEnd"/>
      <w:r w:rsidRPr="00DD6B8B">
        <w:rPr>
          <w:lang w:val="en-US"/>
        </w:rPr>
        <w:t xml:space="preserve"> U, Renker M, Liebetrau C, et al. 1-Year Survival After TAVR of Patients With Low-Flow, Low-Gradient and High-Gradient Aortic Valve Stenosis in Matched Study Populations. </w:t>
      </w:r>
      <w:r w:rsidRPr="00DD6B8B">
        <w:rPr>
          <w:i/>
          <w:iCs/>
          <w:lang w:val="en-US"/>
        </w:rPr>
        <w:t xml:space="preserve">JACC Cardiovasc </w:t>
      </w:r>
      <w:proofErr w:type="spellStart"/>
      <w:r w:rsidRPr="00DD6B8B">
        <w:rPr>
          <w:i/>
          <w:iCs/>
          <w:lang w:val="en-US"/>
        </w:rPr>
        <w:t>Interv</w:t>
      </w:r>
      <w:proofErr w:type="spellEnd"/>
      <w:r w:rsidRPr="00DD6B8B">
        <w:rPr>
          <w:lang w:val="en-US"/>
        </w:rPr>
        <w:t xml:space="preserve"> 2019; 12: 752–763.</w:t>
      </w:r>
    </w:p>
    <w:p w14:paraId="041B332A" w14:textId="77777777" w:rsidR="009165DA" w:rsidRPr="00DD6B8B" w:rsidRDefault="009165DA" w:rsidP="009165DA">
      <w:pPr>
        <w:pStyle w:val="Bibliografia"/>
        <w:rPr>
          <w:lang w:val="en-US"/>
        </w:rPr>
      </w:pPr>
      <w:r w:rsidRPr="00DD6B8B">
        <w:rPr>
          <w:lang w:val="en-US"/>
        </w:rPr>
        <w:t xml:space="preserve">[25] </w:t>
      </w:r>
      <w:r w:rsidRPr="00DD6B8B">
        <w:rPr>
          <w:lang w:val="en-US"/>
        </w:rPr>
        <w:tab/>
        <w:t xml:space="preserve">Kiani S, Stebbins A, </w:t>
      </w:r>
      <w:proofErr w:type="spellStart"/>
      <w:r w:rsidRPr="00DD6B8B">
        <w:rPr>
          <w:lang w:val="en-US"/>
        </w:rPr>
        <w:t>Thourani</w:t>
      </w:r>
      <w:proofErr w:type="spellEnd"/>
      <w:r w:rsidRPr="00DD6B8B">
        <w:rPr>
          <w:lang w:val="en-US"/>
        </w:rPr>
        <w:t xml:space="preserve"> VH, et al. The Effect and Relationship of Frailty Indices on Survival After Transcatheter Aortic Valve Replacement. </w:t>
      </w:r>
      <w:r w:rsidRPr="00DD6B8B">
        <w:rPr>
          <w:i/>
          <w:iCs/>
          <w:lang w:val="en-US"/>
        </w:rPr>
        <w:t xml:space="preserve">JACC Cardiovasc </w:t>
      </w:r>
      <w:proofErr w:type="spellStart"/>
      <w:r w:rsidRPr="00DD6B8B">
        <w:rPr>
          <w:i/>
          <w:iCs/>
          <w:lang w:val="en-US"/>
        </w:rPr>
        <w:t>Interv</w:t>
      </w:r>
      <w:proofErr w:type="spellEnd"/>
      <w:r w:rsidRPr="00DD6B8B">
        <w:rPr>
          <w:lang w:val="en-US"/>
        </w:rPr>
        <w:t xml:space="preserve"> 2020; 13: 219–231.</w:t>
      </w:r>
    </w:p>
    <w:p w14:paraId="22868FED" w14:textId="77777777" w:rsidR="009165DA" w:rsidRPr="00DD6B8B" w:rsidRDefault="009165DA" w:rsidP="009165DA">
      <w:pPr>
        <w:pStyle w:val="Bibliografia"/>
        <w:rPr>
          <w:lang w:val="en-US"/>
        </w:rPr>
      </w:pPr>
      <w:r w:rsidRPr="00DD6B8B">
        <w:rPr>
          <w:lang w:val="en-US"/>
        </w:rPr>
        <w:t xml:space="preserve">[26] </w:t>
      </w:r>
      <w:r w:rsidRPr="00DD6B8B">
        <w:rPr>
          <w:lang w:val="en-US"/>
        </w:rPr>
        <w:tab/>
      </w:r>
      <w:proofErr w:type="spellStart"/>
      <w:r w:rsidRPr="00DD6B8B">
        <w:rPr>
          <w:lang w:val="en-US"/>
        </w:rPr>
        <w:t>Hoogendijk</w:t>
      </w:r>
      <w:proofErr w:type="spellEnd"/>
      <w:r w:rsidRPr="00DD6B8B">
        <w:rPr>
          <w:lang w:val="en-US"/>
        </w:rPr>
        <w:t xml:space="preserve"> EO, van Hout HPJ, Heymans MW, et al. Explaining the association between educational level and frailty in older adults: results from a 13-year longitudinal study in the Netherlands. </w:t>
      </w:r>
      <w:r w:rsidRPr="00DD6B8B">
        <w:rPr>
          <w:i/>
          <w:iCs/>
          <w:lang w:val="en-US"/>
        </w:rPr>
        <w:t>Annals of Epidemiology</w:t>
      </w:r>
      <w:r w:rsidRPr="00DD6B8B">
        <w:rPr>
          <w:lang w:val="en-US"/>
        </w:rPr>
        <w:t xml:space="preserve"> 2014; 24: 538-544.e2.</w:t>
      </w:r>
    </w:p>
    <w:p w14:paraId="1F4C3D62" w14:textId="77777777" w:rsidR="009165DA" w:rsidRPr="00DD6B8B" w:rsidRDefault="009165DA" w:rsidP="009165DA">
      <w:pPr>
        <w:pStyle w:val="Bibliografia"/>
        <w:rPr>
          <w:lang w:val="en-US"/>
        </w:rPr>
      </w:pPr>
      <w:r w:rsidRPr="00DD6B8B">
        <w:rPr>
          <w:lang w:val="en-US"/>
        </w:rPr>
        <w:t xml:space="preserve">[27] </w:t>
      </w:r>
      <w:r w:rsidRPr="00DD6B8B">
        <w:rPr>
          <w:lang w:val="en-US"/>
        </w:rPr>
        <w:tab/>
        <w:t xml:space="preserve">Newell P, Hirji S, </w:t>
      </w:r>
      <w:proofErr w:type="spellStart"/>
      <w:r w:rsidRPr="00DD6B8B">
        <w:rPr>
          <w:lang w:val="en-US"/>
        </w:rPr>
        <w:t>Malarczyk</w:t>
      </w:r>
      <w:proofErr w:type="spellEnd"/>
      <w:r w:rsidRPr="00DD6B8B">
        <w:rPr>
          <w:lang w:val="en-US"/>
        </w:rPr>
        <w:t xml:space="preserve"> A, et al. Marital Status and Sex-Based Differences in Outcomes After Transcatheter Aortic Valve Implantation. </w:t>
      </w:r>
      <w:r w:rsidRPr="00DD6B8B">
        <w:rPr>
          <w:i/>
          <w:iCs/>
          <w:lang w:val="en-US"/>
        </w:rPr>
        <w:t xml:space="preserve">Am J </w:t>
      </w:r>
      <w:proofErr w:type="spellStart"/>
      <w:r w:rsidRPr="00DD6B8B">
        <w:rPr>
          <w:i/>
          <w:iCs/>
          <w:lang w:val="en-US"/>
        </w:rPr>
        <w:t>Cardiol</w:t>
      </w:r>
      <w:proofErr w:type="spellEnd"/>
      <w:r w:rsidRPr="00DD6B8B">
        <w:rPr>
          <w:lang w:val="en-US"/>
        </w:rPr>
        <w:t xml:space="preserve"> 2022; 173: 106–111.</w:t>
      </w:r>
    </w:p>
    <w:p w14:paraId="4ADB9A9D" w14:textId="77777777" w:rsidR="009165DA" w:rsidRDefault="009165DA" w:rsidP="009165DA">
      <w:pPr>
        <w:pStyle w:val="Bibliografia"/>
      </w:pPr>
      <w:r w:rsidRPr="00DD6B8B">
        <w:rPr>
          <w:lang w:val="en-US"/>
        </w:rPr>
        <w:t xml:space="preserve">[28] </w:t>
      </w:r>
      <w:r w:rsidRPr="00DD6B8B">
        <w:rPr>
          <w:lang w:val="en-US"/>
        </w:rPr>
        <w:tab/>
        <w:t xml:space="preserve">Wang Y, Chen Z, Zhou C. Social engagement and physical frailty in later life: does marital status matter? </w:t>
      </w:r>
      <w:r>
        <w:rPr>
          <w:i/>
          <w:iCs/>
        </w:rPr>
        <w:t xml:space="preserve">BMC </w:t>
      </w:r>
      <w:proofErr w:type="spellStart"/>
      <w:r>
        <w:rPr>
          <w:i/>
          <w:iCs/>
        </w:rPr>
        <w:t>Geriatr</w:t>
      </w:r>
      <w:proofErr w:type="spellEnd"/>
      <w:r>
        <w:t xml:space="preserve"> 2021; 21: 248.</w:t>
      </w:r>
    </w:p>
    <w:p w14:paraId="65C753D9" w14:textId="77777777" w:rsidR="009165DA" w:rsidRPr="00DD6B8B" w:rsidRDefault="009165DA" w:rsidP="009165DA">
      <w:pPr>
        <w:pStyle w:val="Bibliografia"/>
        <w:rPr>
          <w:lang w:val="en-US"/>
        </w:rPr>
      </w:pPr>
      <w:r>
        <w:t xml:space="preserve">[29] </w:t>
      </w:r>
      <w:r>
        <w:tab/>
        <w:t xml:space="preserve">Szymański P, Hryniewiecki T, Dąbrowski M, et al. </w:t>
      </w:r>
      <w:r w:rsidRPr="00DD6B8B">
        <w:rPr>
          <w:lang w:val="en-US"/>
        </w:rPr>
        <w:t xml:space="preserve">Mitral and aortic regurgitation following transcatheter aortic valve replacement. </w:t>
      </w:r>
      <w:r w:rsidRPr="00DD6B8B">
        <w:rPr>
          <w:i/>
          <w:iCs/>
          <w:lang w:val="en-US"/>
        </w:rPr>
        <w:t>Heart</w:t>
      </w:r>
      <w:r w:rsidRPr="00DD6B8B">
        <w:rPr>
          <w:lang w:val="en-US"/>
        </w:rPr>
        <w:t xml:space="preserve"> 2016; 102: 701–706.</w:t>
      </w:r>
    </w:p>
    <w:p w14:paraId="2AE88B5E" w14:textId="77777777" w:rsidR="009165DA" w:rsidRPr="00DD6B8B" w:rsidRDefault="009165DA" w:rsidP="009165DA">
      <w:pPr>
        <w:pStyle w:val="Bibliografia"/>
        <w:rPr>
          <w:lang w:val="en-US"/>
        </w:rPr>
      </w:pPr>
      <w:r w:rsidRPr="00DD6B8B">
        <w:rPr>
          <w:lang w:val="en-US"/>
        </w:rPr>
        <w:t xml:space="preserve">[30] </w:t>
      </w:r>
      <w:r w:rsidRPr="00DD6B8B">
        <w:rPr>
          <w:lang w:val="en-US"/>
        </w:rPr>
        <w:tab/>
        <w:t xml:space="preserve">Doody P, Lord JM, Greig CA, et al. Frailty: Pathophysiology, Theoretical and Operational Definition(s), Impact, Prevalence, Management and Prevention, in an Increasingly Economically Developed and Ageing World. </w:t>
      </w:r>
      <w:r w:rsidRPr="00DD6B8B">
        <w:rPr>
          <w:i/>
          <w:iCs/>
          <w:lang w:val="en-US"/>
        </w:rPr>
        <w:t>Gerontology</w:t>
      </w:r>
      <w:r w:rsidRPr="00DD6B8B">
        <w:rPr>
          <w:lang w:val="en-US"/>
        </w:rPr>
        <w:t xml:space="preserve"> 2023; 69: 927–945.</w:t>
      </w:r>
    </w:p>
    <w:p w14:paraId="36375F54" w14:textId="77777777" w:rsidR="009165DA" w:rsidRPr="00DD6B8B" w:rsidRDefault="009165DA" w:rsidP="009165DA">
      <w:pPr>
        <w:pStyle w:val="Bibliografia"/>
        <w:rPr>
          <w:lang w:val="en-US"/>
        </w:rPr>
      </w:pPr>
      <w:r w:rsidRPr="00DD6B8B">
        <w:rPr>
          <w:lang w:val="en-US"/>
        </w:rPr>
        <w:t xml:space="preserve">[31] </w:t>
      </w:r>
      <w:r w:rsidRPr="00DD6B8B">
        <w:rPr>
          <w:lang w:val="en-US"/>
        </w:rPr>
        <w:tab/>
        <w:t xml:space="preserve">Nakamura K, Sasaki T, Yokokawa Y, et al. Health literacy and frailty: the mediating role of instrumental activities of daily living. </w:t>
      </w:r>
      <w:r w:rsidRPr="00DD6B8B">
        <w:rPr>
          <w:i/>
          <w:iCs/>
          <w:lang w:val="en-US"/>
        </w:rPr>
        <w:t>Psychogeriatrics</w:t>
      </w:r>
      <w:r w:rsidRPr="00DD6B8B">
        <w:rPr>
          <w:lang w:val="en-US"/>
        </w:rPr>
        <w:t xml:space="preserve"> 2025; 25: e70010.</w:t>
      </w:r>
    </w:p>
    <w:p w14:paraId="0550EC9D" w14:textId="77777777" w:rsidR="009165DA" w:rsidRPr="00DD6B8B" w:rsidRDefault="009165DA" w:rsidP="009165DA">
      <w:pPr>
        <w:pStyle w:val="Bibliografia"/>
        <w:rPr>
          <w:lang w:val="en-US"/>
        </w:rPr>
      </w:pPr>
      <w:r w:rsidRPr="00DD6B8B">
        <w:rPr>
          <w:lang w:val="en-US"/>
        </w:rPr>
        <w:t xml:space="preserve">[32] </w:t>
      </w:r>
      <w:r w:rsidRPr="00DD6B8B">
        <w:rPr>
          <w:lang w:val="en-US"/>
        </w:rPr>
        <w:tab/>
        <w:t xml:space="preserve">Bu N, Leng M, Cao G, et al. Frailty and Self-Care Maintenance Mediated by Social Support and Depression in Older Adults With Heart Failure. </w:t>
      </w:r>
      <w:r w:rsidRPr="00DD6B8B">
        <w:rPr>
          <w:i/>
          <w:iCs/>
          <w:lang w:val="en-US"/>
        </w:rPr>
        <w:t>Nurs Res</w:t>
      </w:r>
      <w:r w:rsidRPr="00DD6B8B">
        <w:rPr>
          <w:lang w:val="en-US"/>
        </w:rPr>
        <w:t xml:space="preserve"> 2025; 74: 115–122.</w:t>
      </w:r>
    </w:p>
    <w:p w14:paraId="0C920760" w14:textId="77777777" w:rsidR="009165DA" w:rsidRPr="00DD6B8B" w:rsidRDefault="009165DA" w:rsidP="009165DA">
      <w:pPr>
        <w:pStyle w:val="Bibliografia"/>
        <w:rPr>
          <w:lang w:val="en-US"/>
        </w:rPr>
      </w:pPr>
      <w:r w:rsidRPr="00DD6B8B">
        <w:rPr>
          <w:lang w:val="en-US"/>
        </w:rPr>
        <w:lastRenderedPageBreak/>
        <w:t xml:space="preserve">[33] </w:t>
      </w:r>
      <w:r w:rsidRPr="00DD6B8B">
        <w:rPr>
          <w:lang w:val="en-US"/>
        </w:rPr>
        <w:tab/>
        <w:t xml:space="preserve">Viinikainen J, Bryson A, Böckerman P, et al. Does better education mitigate risky health behavior? A mendelian randomization study. </w:t>
      </w:r>
      <w:r w:rsidRPr="00DD6B8B">
        <w:rPr>
          <w:i/>
          <w:iCs/>
          <w:lang w:val="en-US"/>
        </w:rPr>
        <w:t>Economics &amp; Human Biology</w:t>
      </w:r>
      <w:r w:rsidRPr="00DD6B8B">
        <w:rPr>
          <w:lang w:val="en-US"/>
        </w:rPr>
        <w:t xml:space="preserve"> 2022; 46: 101134.</w:t>
      </w:r>
    </w:p>
    <w:p w14:paraId="5931942A" w14:textId="77777777" w:rsidR="009165DA" w:rsidRPr="00DD6B8B" w:rsidRDefault="009165DA" w:rsidP="009165DA">
      <w:pPr>
        <w:pStyle w:val="Bibliografia"/>
        <w:rPr>
          <w:lang w:val="en-US"/>
        </w:rPr>
      </w:pPr>
      <w:r w:rsidRPr="00DD6B8B">
        <w:rPr>
          <w:lang w:val="en-US"/>
        </w:rPr>
        <w:t xml:space="preserve">[34] </w:t>
      </w:r>
      <w:r w:rsidRPr="00DD6B8B">
        <w:rPr>
          <w:lang w:val="en-US"/>
        </w:rPr>
        <w:tab/>
        <w:t xml:space="preserve">Kari JT, Viinikainen J, Böckerman P, et al. Education leads to a more physically active lifestyle: Evidence based on Mendelian randomization. </w:t>
      </w:r>
      <w:r w:rsidRPr="00DD6B8B">
        <w:rPr>
          <w:i/>
          <w:iCs/>
          <w:lang w:val="en-US"/>
        </w:rPr>
        <w:t>Scandinavian Journal of Medicine &amp; Science in Sports</w:t>
      </w:r>
      <w:r w:rsidRPr="00DD6B8B">
        <w:rPr>
          <w:lang w:val="en-US"/>
        </w:rPr>
        <w:t xml:space="preserve"> 2020; 30: 1194–1204.</w:t>
      </w:r>
    </w:p>
    <w:p w14:paraId="5E0DE221" w14:textId="77777777" w:rsidR="009165DA" w:rsidRPr="00DD6B8B" w:rsidRDefault="009165DA" w:rsidP="009165DA">
      <w:pPr>
        <w:pStyle w:val="Bibliografia"/>
        <w:rPr>
          <w:lang w:val="en-US"/>
        </w:rPr>
      </w:pPr>
      <w:r w:rsidRPr="00DD6B8B">
        <w:rPr>
          <w:lang w:val="en-US"/>
        </w:rPr>
        <w:t xml:space="preserve">[35] </w:t>
      </w:r>
      <w:r w:rsidRPr="00DD6B8B">
        <w:rPr>
          <w:lang w:val="en-US"/>
        </w:rPr>
        <w:tab/>
        <w:t xml:space="preserve">Rogers NT, Marshall A, Roberts CH, et al. Physical activity and trajectories of frailty among older adults: Evidence from the English Longitudinal Study of Ageing. </w:t>
      </w:r>
      <w:r w:rsidRPr="00DD6B8B">
        <w:rPr>
          <w:i/>
          <w:iCs/>
          <w:lang w:val="en-US"/>
        </w:rPr>
        <w:t>PLoS One</w:t>
      </w:r>
      <w:r w:rsidRPr="00DD6B8B">
        <w:rPr>
          <w:lang w:val="en-US"/>
        </w:rPr>
        <w:t xml:space="preserve"> 2017; 12: e0170878.</w:t>
      </w:r>
    </w:p>
    <w:p w14:paraId="55A8E1C8" w14:textId="77777777" w:rsidR="009165DA" w:rsidRPr="00DD6B8B" w:rsidRDefault="009165DA" w:rsidP="009165DA">
      <w:pPr>
        <w:pStyle w:val="Bibliografia"/>
        <w:rPr>
          <w:lang w:val="en-US"/>
        </w:rPr>
      </w:pPr>
      <w:r w:rsidRPr="00DD6B8B">
        <w:rPr>
          <w:lang w:val="en-US"/>
        </w:rPr>
        <w:t xml:space="preserve">[36] </w:t>
      </w:r>
      <w:r w:rsidRPr="00DD6B8B">
        <w:rPr>
          <w:lang w:val="en-US"/>
        </w:rPr>
        <w:tab/>
        <w:t xml:space="preserve">Hanlon P, Nicholl BI, Jani BD, et al. Frailty and pre-frailty in middle-aged and older adults and its association with multimorbidity and mortality: a prospective analysis of 493 737 UK Biobank participants. </w:t>
      </w:r>
      <w:r w:rsidRPr="00DD6B8B">
        <w:rPr>
          <w:i/>
          <w:iCs/>
          <w:lang w:val="en-US"/>
        </w:rPr>
        <w:t>Lancet Public Health</w:t>
      </w:r>
      <w:r w:rsidRPr="00DD6B8B">
        <w:rPr>
          <w:lang w:val="en-US"/>
        </w:rPr>
        <w:t xml:space="preserve"> 2018; 3: e323–e332.</w:t>
      </w:r>
    </w:p>
    <w:p w14:paraId="4AEA8EAC" w14:textId="77777777" w:rsidR="009165DA" w:rsidRPr="00DD6B8B" w:rsidRDefault="009165DA" w:rsidP="009165DA">
      <w:pPr>
        <w:pStyle w:val="Bibliografia"/>
        <w:rPr>
          <w:lang w:val="en-US"/>
        </w:rPr>
      </w:pPr>
      <w:r w:rsidRPr="00DD6B8B">
        <w:rPr>
          <w:lang w:val="en-US"/>
        </w:rPr>
        <w:t xml:space="preserve">[37] </w:t>
      </w:r>
      <w:r w:rsidRPr="00DD6B8B">
        <w:rPr>
          <w:lang w:val="en-US"/>
        </w:rPr>
        <w:tab/>
        <w:t xml:space="preserve">Clegg A, Young J, Iliffe S, et al. Frailty in elderly people. </w:t>
      </w:r>
      <w:r w:rsidRPr="00DD6B8B">
        <w:rPr>
          <w:i/>
          <w:iCs/>
          <w:lang w:val="en-US"/>
        </w:rPr>
        <w:t>Lancet</w:t>
      </w:r>
      <w:r w:rsidRPr="00DD6B8B">
        <w:rPr>
          <w:lang w:val="en-US"/>
        </w:rPr>
        <w:t xml:space="preserve"> 2013; 381: 752–762.</w:t>
      </w:r>
    </w:p>
    <w:p w14:paraId="23702E3C" w14:textId="77777777" w:rsidR="009165DA" w:rsidRPr="00DD6B8B" w:rsidRDefault="009165DA" w:rsidP="009165DA">
      <w:pPr>
        <w:pStyle w:val="Bibliografia"/>
        <w:rPr>
          <w:lang w:val="en-US"/>
        </w:rPr>
      </w:pPr>
      <w:r w:rsidRPr="00DD6B8B">
        <w:rPr>
          <w:lang w:val="en-US"/>
        </w:rPr>
        <w:t xml:space="preserve">[38] </w:t>
      </w:r>
      <w:r w:rsidRPr="00DD6B8B">
        <w:rPr>
          <w:lang w:val="en-US"/>
        </w:rPr>
        <w:tab/>
        <w:t xml:space="preserve">Boureau AS, Trochu JN, Rouaud A, et al. Predictors of Health-Related Quality of Life Decline after Transcatheter Aortic Valve Replacement in Older Patients with Severe Aortic Stenosis. </w:t>
      </w:r>
      <w:r w:rsidRPr="00DD6B8B">
        <w:rPr>
          <w:i/>
          <w:iCs/>
          <w:lang w:val="en-US"/>
        </w:rPr>
        <w:t>J Nutr Health Aging</w:t>
      </w:r>
      <w:r w:rsidRPr="00DD6B8B">
        <w:rPr>
          <w:lang w:val="en-US"/>
        </w:rPr>
        <w:t xml:space="preserve"> 2017; 21: 105–111.</w:t>
      </w:r>
    </w:p>
    <w:p w14:paraId="21AA6DCB" w14:textId="77777777" w:rsidR="009165DA" w:rsidRPr="00DD6B8B" w:rsidRDefault="009165DA" w:rsidP="009165DA">
      <w:pPr>
        <w:pStyle w:val="Bibliografia"/>
        <w:rPr>
          <w:lang w:val="en-US"/>
        </w:rPr>
      </w:pPr>
      <w:r w:rsidRPr="00DD6B8B">
        <w:rPr>
          <w:lang w:val="en-US"/>
        </w:rPr>
        <w:t xml:space="preserve">[39] </w:t>
      </w:r>
      <w:r w:rsidRPr="00DD6B8B">
        <w:rPr>
          <w:lang w:val="en-US"/>
        </w:rPr>
        <w:tab/>
        <w:t xml:space="preserve">Olszewska-Turek K, Bętkowska-Korpała B. Quality of Life and Depressive Symptoms in Transcatheter Aortic Valve Implementation Patients-A Cross-Sectional Study. </w:t>
      </w:r>
      <w:r w:rsidRPr="00DD6B8B">
        <w:rPr>
          <w:i/>
          <w:iCs/>
          <w:lang w:val="en-US"/>
        </w:rPr>
        <w:t>Healthcare (Basel)</w:t>
      </w:r>
      <w:r w:rsidRPr="00DD6B8B">
        <w:rPr>
          <w:lang w:val="en-US"/>
        </w:rPr>
        <w:t xml:space="preserve"> 2022; 10: 2211.</w:t>
      </w:r>
    </w:p>
    <w:p w14:paraId="2242CEDA" w14:textId="77777777" w:rsidR="009165DA" w:rsidRPr="00DD6B8B" w:rsidRDefault="009165DA" w:rsidP="009165DA">
      <w:pPr>
        <w:pStyle w:val="Bibliografia"/>
        <w:rPr>
          <w:lang w:val="en-US"/>
        </w:rPr>
      </w:pPr>
      <w:r w:rsidRPr="00DD6B8B">
        <w:rPr>
          <w:lang w:val="en-US"/>
        </w:rPr>
        <w:t xml:space="preserve">[40] </w:t>
      </w:r>
      <w:r w:rsidRPr="00DD6B8B">
        <w:rPr>
          <w:lang w:val="en-US"/>
        </w:rPr>
        <w:tab/>
        <w:t xml:space="preserve">Annie FH, Dave S, Ahmed F, et al. The Effect of Clinical Depression on Post-TAVI All-Cause Mortality. </w:t>
      </w:r>
      <w:r w:rsidRPr="00DD6B8B">
        <w:rPr>
          <w:i/>
          <w:iCs/>
          <w:lang w:val="en-US"/>
        </w:rPr>
        <w:t>Am J Cardiol</w:t>
      </w:r>
      <w:r w:rsidRPr="00DD6B8B">
        <w:rPr>
          <w:lang w:val="en-US"/>
        </w:rPr>
        <w:t xml:space="preserve"> 2021; 155: 151–152.</w:t>
      </w:r>
    </w:p>
    <w:p w14:paraId="78064D52" w14:textId="77777777" w:rsidR="009165DA" w:rsidRPr="00DD6B8B" w:rsidRDefault="009165DA" w:rsidP="009165DA">
      <w:pPr>
        <w:pStyle w:val="Bibliografia"/>
        <w:rPr>
          <w:lang w:val="en-US"/>
        </w:rPr>
      </w:pPr>
      <w:r w:rsidRPr="00DD6B8B">
        <w:rPr>
          <w:lang w:val="en-US"/>
        </w:rPr>
        <w:t xml:space="preserve">[41] </w:t>
      </w:r>
      <w:r w:rsidRPr="00DD6B8B">
        <w:rPr>
          <w:lang w:val="en-US"/>
        </w:rPr>
        <w:tab/>
        <w:t xml:space="preserve">Bäz L, Puscholt M, Lasch C, et al. Delayed Improvement of Depression and Anxiety after Transcatheter Aortic Valve Implantation (TAVI) in Stages of Extended Extra-Valvular Cardiac Damage. </w:t>
      </w:r>
      <w:r w:rsidRPr="00DD6B8B">
        <w:rPr>
          <w:i/>
          <w:iCs/>
          <w:lang w:val="en-US"/>
        </w:rPr>
        <w:t>J Clin Med</w:t>
      </w:r>
      <w:r w:rsidRPr="00DD6B8B">
        <w:rPr>
          <w:lang w:val="en-US"/>
        </w:rPr>
        <w:t xml:space="preserve"> 2021; 10: 1579.</w:t>
      </w:r>
    </w:p>
    <w:p w14:paraId="24D1319C" w14:textId="77777777" w:rsidR="009165DA" w:rsidRPr="00DD6B8B" w:rsidRDefault="009165DA" w:rsidP="009165DA">
      <w:pPr>
        <w:pStyle w:val="Bibliografia"/>
        <w:rPr>
          <w:lang w:val="en-US"/>
        </w:rPr>
      </w:pPr>
      <w:r w:rsidRPr="00DD6B8B">
        <w:rPr>
          <w:lang w:val="en-US"/>
        </w:rPr>
        <w:t xml:space="preserve">[42] </w:t>
      </w:r>
      <w:r w:rsidRPr="00DD6B8B">
        <w:rPr>
          <w:lang w:val="en-US"/>
        </w:rPr>
        <w:tab/>
        <w:t xml:space="preserve">Falk S, Wahn A-K, Lidell E. Keeping the maintenance of daily life in spite of chronic heart failure. A qualitative study. </w:t>
      </w:r>
      <w:r w:rsidRPr="00DD6B8B">
        <w:rPr>
          <w:i/>
          <w:iCs/>
          <w:lang w:val="en-US"/>
        </w:rPr>
        <w:t>Eur J Cardiovasc Nurs</w:t>
      </w:r>
      <w:r w:rsidRPr="00DD6B8B">
        <w:rPr>
          <w:lang w:val="en-US"/>
        </w:rPr>
        <w:t xml:space="preserve"> 2007; 6: 192–199.</w:t>
      </w:r>
    </w:p>
    <w:p w14:paraId="0868FA07" w14:textId="77777777" w:rsidR="009165DA" w:rsidRPr="00DD6B8B" w:rsidRDefault="009165DA" w:rsidP="009165DA">
      <w:pPr>
        <w:pStyle w:val="Bibliografia"/>
        <w:rPr>
          <w:lang w:val="en-US"/>
        </w:rPr>
      </w:pPr>
      <w:r w:rsidRPr="00DD6B8B">
        <w:rPr>
          <w:lang w:val="en-US"/>
        </w:rPr>
        <w:t xml:space="preserve">[43] </w:t>
      </w:r>
      <w:r w:rsidRPr="00DD6B8B">
        <w:rPr>
          <w:lang w:val="en-US"/>
        </w:rPr>
        <w:tab/>
        <w:t xml:space="preserve">Abshire M, Russell SD, Davidson PM, et al. Social Support Moderates the Relationship Between Perceived Stress and Quality of Life in Patients With a Left Ventricular Assist Device. </w:t>
      </w:r>
      <w:r w:rsidRPr="00DD6B8B">
        <w:rPr>
          <w:i/>
          <w:iCs/>
          <w:lang w:val="en-US"/>
        </w:rPr>
        <w:t>J Cardiovasc Nurs</w:t>
      </w:r>
      <w:r w:rsidRPr="00DD6B8B">
        <w:rPr>
          <w:lang w:val="en-US"/>
        </w:rPr>
        <w:t xml:space="preserve"> 2018; 33: E1–E9.</w:t>
      </w:r>
    </w:p>
    <w:p w14:paraId="3E4C958A" w14:textId="77777777" w:rsidR="009165DA" w:rsidRPr="00DD6B8B" w:rsidRDefault="009165DA" w:rsidP="009165DA">
      <w:pPr>
        <w:pStyle w:val="Bibliografia"/>
        <w:rPr>
          <w:lang w:val="en-US"/>
        </w:rPr>
      </w:pPr>
      <w:r w:rsidRPr="00DD6B8B">
        <w:rPr>
          <w:lang w:val="en-US"/>
        </w:rPr>
        <w:t xml:space="preserve">[44] </w:t>
      </w:r>
      <w:r w:rsidRPr="00DD6B8B">
        <w:rPr>
          <w:lang w:val="en-US"/>
        </w:rPr>
        <w:tab/>
        <w:t xml:space="preserve">Wang Y, Chen Z, Zhou C. Social engagement and physical frailty in later life: does marital status matter? </w:t>
      </w:r>
      <w:r w:rsidRPr="00DD6B8B">
        <w:rPr>
          <w:i/>
          <w:iCs/>
          <w:lang w:val="en-US"/>
        </w:rPr>
        <w:t>BMC Geriatrics</w:t>
      </w:r>
      <w:r w:rsidRPr="00DD6B8B">
        <w:rPr>
          <w:lang w:val="en-US"/>
        </w:rPr>
        <w:t xml:space="preserve"> 2021; 21: 248.</w:t>
      </w:r>
    </w:p>
    <w:p w14:paraId="1B11B56A" w14:textId="77777777" w:rsidR="009165DA" w:rsidRPr="00DD6B8B" w:rsidRDefault="009165DA" w:rsidP="009165DA">
      <w:pPr>
        <w:pStyle w:val="Bibliografia"/>
        <w:rPr>
          <w:lang w:val="en-US"/>
        </w:rPr>
      </w:pPr>
      <w:r w:rsidRPr="00DD6B8B">
        <w:rPr>
          <w:lang w:val="en-US"/>
        </w:rPr>
        <w:t xml:space="preserve">[45] </w:t>
      </w:r>
      <w:r w:rsidRPr="00DD6B8B">
        <w:rPr>
          <w:lang w:val="en-US"/>
        </w:rPr>
        <w:tab/>
        <w:t xml:space="preserve">Olsson K, Näslund U, Nilsson J, et al. Experiences of and Coping With Severe Aortic Stenosis Among Patients Waiting for Transcatheter Aortic Valve Implantation. </w:t>
      </w:r>
      <w:r w:rsidRPr="00DD6B8B">
        <w:rPr>
          <w:i/>
          <w:iCs/>
          <w:lang w:val="en-US"/>
        </w:rPr>
        <w:t>J Cardiovasc Nurs</w:t>
      </w:r>
      <w:r w:rsidRPr="00DD6B8B">
        <w:rPr>
          <w:lang w:val="en-US"/>
        </w:rPr>
        <w:t xml:space="preserve"> 2016; 31: 255–261.</w:t>
      </w:r>
    </w:p>
    <w:p w14:paraId="116954AA" w14:textId="77777777" w:rsidR="009165DA" w:rsidRPr="00DD6B8B" w:rsidRDefault="009165DA" w:rsidP="009165DA">
      <w:pPr>
        <w:pStyle w:val="Bibliografia"/>
        <w:rPr>
          <w:lang w:val="en-US"/>
        </w:rPr>
      </w:pPr>
      <w:r w:rsidRPr="00DD6B8B">
        <w:rPr>
          <w:lang w:val="en-US"/>
        </w:rPr>
        <w:t xml:space="preserve">[46] </w:t>
      </w:r>
      <w:r w:rsidRPr="00DD6B8B">
        <w:rPr>
          <w:lang w:val="en-US"/>
        </w:rPr>
        <w:tab/>
        <w:t xml:space="preserve">Shigetomi K, Hiraoka E, Takahashi M, et al. Feasibility of Nurse-Led Advance Care Planning Before Pre-cardiac Procedures: A Descriptive Study. </w:t>
      </w:r>
      <w:r w:rsidRPr="00DD6B8B">
        <w:rPr>
          <w:i/>
          <w:iCs/>
          <w:lang w:val="en-US"/>
        </w:rPr>
        <w:t>Cureus</w:t>
      </w:r>
      <w:r w:rsidRPr="00DD6B8B">
        <w:rPr>
          <w:lang w:val="en-US"/>
        </w:rPr>
        <w:t xml:space="preserve"> 2023; 15: e48347.</w:t>
      </w:r>
    </w:p>
    <w:p w14:paraId="10E1B73B" w14:textId="77777777" w:rsidR="009165DA" w:rsidRPr="00DD6B8B" w:rsidRDefault="009165DA" w:rsidP="009165DA">
      <w:pPr>
        <w:pStyle w:val="Bibliografia"/>
        <w:rPr>
          <w:lang w:val="en-US"/>
        </w:rPr>
      </w:pPr>
      <w:r w:rsidRPr="00DD6B8B">
        <w:rPr>
          <w:lang w:val="en-US"/>
        </w:rPr>
        <w:lastRenderedPageBreak/>
        <w:t xml:space="preserve">[47] </w:t>
      </w:r>
      <w:r w:rsidRPr="00DD6B8B">
        <w:rPr>
          <w:lang w:val="en-US"/>
        </w:rPr>
        <w:tab/>
        <w:t>Preoperative frailty parameters as predictors for outcomes after transcatheter aortic valve implantation: a systematic review and meta-analysis | Netherlands Heart Journal, https://link.springer.com/article/10.1007/s12471-020-01379-0 (accessed 7 December 2025).</w:t>
      </w:r>
    </w:p>
    <w:p w14:paraId="3E3F1220" w14:textId="77777777" w:rsidR="009165DA" w:rsidRPr="00DD6B8B" w:rsidRDefault="009165DA" w:rsidP="009165DA">
      <w:pPr>
        <w:pStyle w:val="Bibliografia"/>
        <w:rPr>
          <w:lang w:val="en-US"/>
        </w:rPr>
      </w:pPr>
      <w:r w:rsidRPr="00DD6B8B">
        <w:rPr>
          <w:lang w:val="en-US"/>
        </w:rPr>
        <w:t xml:space="preserve">[48] </w:t>
      </w:r>
      <w:r w:rsidRPr="00DD6B8B">
        <w:rPr>
          <w:lang w:val="en-US"/>
        </w:rPr>
        <w:tab/>
        <w:t xml:space="preserve">Eichler S, Salzwedel A, Harnath A, et al. Nutrition and mobility predict all-cause mortality in patients 12 months after transcatheter aortic valve implantation. </w:t>
      </w:r>
      <w:r w:rsidRPr="00DD6B8B">
        <w:rPr>
          <w:i/>
          <w:iCs/>
          <w:lang w:val="en-US"/>
        </w:rPr>
        <w:t>Clin Res Cardiol</w:t>
      </w:r>
      <w:r w:rsidRPr="00DD6B8B">
        <w:rPr>
          <w:lang w:val="en-US"/>
        </w:rPr>
        <w:t xml:space="preserve"> 2018; 107: 304–311.</w:t>
      </w:r>
    </w:p>
    <w:p w14:paraId="14A7183D" w14:textId="77777777" w:rsidR="009165DA" w:rsidRPr="00DD6B8B" w:rsidRDefault="009165DA" w:rsidP="009165DA">
      <w:pPr>
        <w:pStyle w:val="Bibliografia"/>
        <w:rPr>
          <w:lang w:val="en-US"/>
        </w:rPr>
      </w:pPr>
      <w:r w:rsidRPr="00DD6B8B">
        <w:rPr>
          <w:lang w:val="en-US"/>
        </w:rPr>
        <w:t xml:space="preserve">[49] </w:t>
      </w:r>
      <w:r w:rsidRPr="00DD6B8B">
        <w:rPr>
          <w:lang w:val="en-US"/>
        </w:rPr>
        <w:tab/>
        <w:t xml:space="preserve">Van de Velde-Van De Ginste S, Perkisas S, Vermeersch P, et al. Physical components of frailty in predicting mortality after transcatheter aortic valve implantation (TAVI). </w:t>
      </w:r>
      <w:r w:rsidRPr="00DD6B8B">
        <w:rPr>
          <w:i/>
          <w:iCs/>
          <w:lang w:val="en-US"/>
        </w:rPr>
        <w:t>Acta Cardiol</w:t>
      </w:r>
      <w:r w:rsidRPr="00DD6B8B">
        <w:rPr>
          <w:lang w:val="en-US"/>
        </w:rPr>
        <w:t xml:space="preserve"> 2021; 76: 681–688.</w:t>
      </w:r>
    </w:p>
    <w:p w14:paraId="6959A1FE" w14:textId="77777777" w:rsidR="009165DA" w:rsidRPr="00DD6B8B" w:rsidRDefault="009165DA" w:rsidP="009165DA">
      <w:pPr>
        <w:pStyle w:val="Bibliografia"/>
        <w:rPr>
          <w:lang w:val="en-US"/>
        </w:rPr>
      </w:pPr>
      <w:r w:rsidRPr="00DD6B8B">
        <w:rPr>
          <w:lang w:val="en-US"/>
        </w:rPr>
        <w:t xml:space="preserve">[50] </w:t>
      </w:r>
      <w:r w:rsidRPr="00DD6B8B">
        <w:rPr>
          <w:lang w:val="en-US"/>
        </w:rPr>
        <w:tab/>
        <w:t xml:space="preserve">Zhu P, Mei D, Yang Y, et al. Prevalence and determinants of multidimensional frailty in hospitalized older adults with coronary heart disease: a LASSO regression analysis. </w:t>
      </w:r>
      <w:r w:rsidRPr="00DD6B8B">
        <w:rPr>
          <w:i/>
          <w:iCs/>
          <w:lang w:val="en-US"/>
        </w:rPr>
        <w:t>Front Cardiovasc Med</w:t>
      </w:r>
      <w:r w:rsidRPr="00DD6B8B">
        <w:rPr>
          <w:lang w:val="en-US"/>
        </w:rPr>
        <w:t>; 12. Epub ahead of print 18 July 2025. DOI: 10.3389/fcvm.2025.1588288.</w:t>
      </w:r>
    </w:p>
    <w:p w14:paraId="2EA87234" w14:textId="77777777" w:rsidR="009165DA" w:rsidRDefault="009165DA" w:rsidP="009165DA">
      <w:pPr>
        <w:pStyle w:val="Bibliografia"/>
      </w:pPr>
      <w:r>
        <w:t xml:space="preserve">[51] </w:t>
      </w:r>
      <w:r>
        <w:tab/>
        <w:t xml:space="preserve">Godek P. Porównanie parametrów testu Grip oraz TFI w zależności od płci pacjentów kwalifikowanych do leczenia metodą TAVI. </w:t>
      </w:r>
      <w:r>
        <w:rPr>
          <w:i/>
          <w:iCs/>
        </w:rPr>
        <w:t>Ann Acad Med Siles</w:t>
      </w:r>
      <w:r>
        <w:t xml:space="preserve"> 2024; 78: 82–88.</w:t>
      </w:r>
    </w:p>
    <w:p w14:paraId="4472F361" w14:textId="0C862377" w:rsidR="00DE4FDE" w:rsidRPr="006A7336" w:rsidRDefault="003059D2" w:rsidP="00BA1DF3">
      <w:pPr>
        <w:spacing w:line="360" w:lineRule="auto"/>
        <w:rPr>
          <w:rFonts w:ascii="Segoe UI" w:hAnsi="Segoe UI" w:cs="Segoe UI"/>
          <w:sz w:val="22"/>
          <w:lang w:val="en-GB"/>
        </w:rPr>
      </w:pPr>
      <w:r w:rsidRPr="006A7336">
        <w:rPr>
          <w:rFonts w:ascii="Segoe UI" w:hAnsi="Segoe UI" w:cs="Segoe UI"/>
          <w:sz w:val="22"/>
          <w:lang w:val="en-GB"/>
        </w:rPr>
        <w:fldChar w:fldCharType="end"/>
      </w:r>
    </w:p>
    <w:sectPr w:rsidR="00DE4FDE" w:rsidRPr="006A7336" w:rsidSect="00956960">
      <w:footerReference w:type="default" r:id="rId11"/>
      <w:type w:val="continuous"/>
      <w:pgSz w:w="11906" w:h="16838" w:code="9"/>
      <w:pgMar w:top="1440" w:right="1440" w:bottom="1440" w:left="144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9C7D8" w14:textId="77777777" w:rsidR="00325E6B" w:rsidRDefault="00325E6B">
      <w:pPr>
        <w:spacing w:after="0"/>
      </w:pPr>
      <w:r>
        <w:separator/>
      </w:r>
    </w:p>
  </w:endnote>
  <w:endnote w:type="continuationSeparator" w:id="0">
    <w:p w14:paraId="5B31E216" w14:textId="77777777" w:rsidR="00325E6B" w:rsidRDefault="00325E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FF63" w14:textId="77777777" w:rsidR="00EC4A4F" w:rsidRDefault="00EC4A4F">
    <w:pPr>
      <w:pStyle w:val="Stopka"/>
      <w:jc w:val="right"/>
    </w:pPr>
    <w:r>
      <w:fldChar w:fldCharType="begin"/>
    </w:r>
    <w:r>
      <w:instrText>PAGE   \* MERGEFORMAT</w:instrText>
    </w:r>
    <w:r>
      <w:fldChar w:fldCharType="separate"/>
    </w:r>
    <w:r>
      <w:t>2</w:t>
    </w:r>
    <w:r>
      <w:fldChar w:fldCharType="end"/>
    </w:r>
  </w:p>
  <w:p w14:paraId="036D2B19" w14:textId="77777777" w:rsidR="004272CD" w:rsidRDefault="004272C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90427" w14:textId="77777777" w:rsidR="00325E6B" w:rsidRDefault="00325E6B">
      <w:pPr>
        <w:spacing w:after="0"/>
      </w:pPr>
      <w:r>
        <w:separator/>
      </w:r>
    </w:p>
  </w:footnote>
  <w:footnote w:type="continuationSeparator" w:id="0">
    <w:p w14:paraId="60D18B1B" w14:textId="77777777" w:rsidR="00325E6B" w:rsidRDefault="00325E6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hybridMultilevel"/>
    <w:tmpl w:val="0000000A"/>
    <w:lvl w:ilvl="0" w:tplc="6F64E1C4">
      <w:start w:val="1"/>
      <w:numFmt w:val="decimal"/>
      <w:lvlText w:val="%1."/>
      <w:lvlJc w:val="left"/>
      <w:pPr>
        <w:ind w:left="576" w:hanging="576"/>
      </w:pPr>
    </w:lvl>
    <w:lvl w:ilvl="1" w:tplc="C0564A6A">
      <w:start w:val="1"/>
      <w:numFmt w:val="decimal"/>
      <w:lvlText w:val="%2."/>
      <w:lvlJc w:val="left"/>
      <w:pPr>
        <w:ind w:left="1152" w:hanging="576"/>
      </w:pPr>
    </w:lvl>
    <w:lvl w:ilvl="2" w:tplc="52F2810A">
      <w:start w:val="1"/>
      <w:numFmt w:val="decimal"/>
      <w:lvlText w:val="%3."/>
      <w:lvlJc w:val="left"/>
      <w:pPr>
        <w:ind w:left="1728" w:hanging="576"/>
      </w:pPr>
    </w:lvl>
    <w:lvl w:ilvl="3" w:tplc="BBDA2B78">
      <w:start w:val="1"/>
      <w:numFmt w:val="decimal"/>
      <w:lvlText w:val="%4."/>
      <w:lvlJc w:val="left"/>
      <w:pPr>
        <w:ind w:left="2304" w:hanging="576"/>
      </w:pPr>
    </w:lvl>
    <w:lvl w:ilvl="4" w:tplc="F8DA6068">
      <w:start w:val="1"/>
      <w:numFmt w:val="decimal"/>
      <w:lvlText w:val="%5."/>
      <w:lvlJc w:val="left"/>
      <w:pPr>
        <w:ind w:left="2880" w:hanging="576"/>
      </w:pPr>
    </w:lvl>
    <w:lvl w:ilvl="5" w:tplc="0FCC5C26">
      <w:start w:val="1"/>
      <w:numFmt w:val="decimal"/>
      <w:lvlText w:val="%6."/>
      <w:lvlJc w:val="left"/>
      <w:pPr>
        <w:ind w:left="3456" w:hanging="576"/>
      </w:pPr>
    </w:lvl>
    <w:lvl w:ilvl="6" w:tplc="701EB614">
      <w:start w:val="1"/>
      <w:numFmt w:val="decimal"/>
      <w:lvlText w:val="%7."/>
      <w:lvlJc w:val="left"/>
      <w:pPr>
        <w:ind w:left="4032" w:hanging="576"/>
      </w:pPr>
    </w:lvl>
    <w:lvl w:ilvl="7" w:tplc="B0F2A3CE">
      <w:start w:val="1"/>
      <w:numFmt w:val="decimal"/>
      <w:lvlText w:val="%8."/>
      <w:lvlJc w:val="left"/>
      <w:pPr>
        <w:ind w:left="4608" w:hanging="576"/>
      </w:pPr>
    </w:lvl>
    <w:lvl w:ilvl="8" w:tplc="9FA039A4">
      <w:start w:val="1"/>
      <w:numFmt w:val="decimal"/>
      <w:lvlText w:val="%9."/>
      <w:lvlJc w:val="left"/>
      <w:pPr>
        <w:ind w:left="5184" w:hanging="576"/>
      </w:pPr>
    </w:lvl>
  </w:abstractNum>
  <w:abstractNum w:abstractNumId="1" w15:restartNumberingAfterBreak="0">
    <w:nsid w:val="0000000B"/>
    <w:multiLevelType w:val="hybridMultilevel"/>
    <w:tmpl w:val="0000000C"/>
    <w:lvl w:ilvl="0" w:tplc="5A44557E">
      <w:start w:val="1"/>
      <w:numFmt w:val="bullet"/>
      <w:lvlText w:val="● "/>
      <w:lvlJc w:val="left"/>
      <w:pPr>
        <w:ind w:left="576" w:hanging="576"/>
      </w:pPr>
    </w:lvl>
    <w:lvl w:ilvl="1" w:tplc="1CC2B98A">
      <w:start w:val="1"/>
      <w:numFmt w:val="bullet"/>
      <w:lvlText w:val="○ "/>
      <w:lvlJc w:val="left"/>
      <w:pPr>
        <w:ind w:left="1152" w:hanging="576"/>
      </w:pPr>
    </w:lvl>
    <w:lvl w:ilvl="2" w:tplc="7E1C9672">
      <w:start w:val="1"/>
      <w:numFmt w:val="bullet"/>
      <w:lvlText w:val="∎ "/>
      <w:lvlJc w:val="left"/>
      <w:pPr>
        <w:ind w:left="1728" w:hanging="576"/>
      </w:pPr>
    </w:lvl>
    <w:lvl w:ilvl="3" w:tplc="00980340">
      <w:start w:val="1"/>
      <w:numFmt w:val="bullet"/>
      <w:lvlText w:val="● "/>
      <w:lvlJc w:val="left"/>
      <w:pPr>
        <w:ind w:left="2304" w:hanging="576"/>
      </w:pPr>
    </w:lvl>
    <w:lvl w:ilvl="4" w:tplc="07D4B8B2">
      <w:start w:val="1"/>
      <w:numFmt w:val="bullet"/>
      <w:lvlText w:val="○ "/>
      <w:lvlJc w:val="left"/>
      <w:pPr>
        <w:ind w:left="2880" w:hanging="576"/>
      </w:pPr>
    </w:lvl>
    <w:lvl w:ilvl="5" w:tplc="F718ED00">
      <w:start w:val="1"/>
      <w:numFmt w:val="bullet"/>
      <w:lvlText w:val="∎ "/>
      <w:lvlJc w:val="left"/>
      <w:pPr>
        <w:ind w:left="3456" w:hanging="576"/>
      </w:pPr>
    </w:lvl>
    <w:lvl w:ilvl="6" w:tplc="9B80EDCC">
      <w:start w:val="1"/>
      <w:numFmt w:val="bullet"/>
      <w:lvlText w:val="● "/>
      <w:lvlJc w:val="left"/>
      <w:pPr>
        <w:ind w:left="4032" w:hanging="576"/>
      </w:pPr>
    </w:lvl>
    <w:lvl w:ilvl="7" w:tplc="449EB910">
      <w:start w:val="1"/>
      <w:numFmt w:val="bullet"/>
      <w:lvlText w:val="○ "/>
      <w:lvlJc w:val="left"/>
      <w:pPr>
        <w:ind w:left="4608" w:hanging="576"/>
      </w:pPr>
    </w:lvl>
    <w:lvl w:ilvl="8" w:tplc="176AA58C">
      <w:start w:val="1"/>
      <w:numFmt w:val="bullet"/>
      <w:lvlText w:val="∎ "/>
      <w:lvlJc w:val="left"/>
      <w:pPr>
        <w:ind w:left="5184" w:hanging="576"/>
      </w:pPr>
    </w:lvl>
  </w:abstractNum>
  <w:abstractNum w:abstractNumId="2" w15:restartNumberingAfterBreak="0">
    <w:nsid w:val="05845B32"/>
    <w:multiLevelType w:val="multilevel"/>
    <w:tmpl w:val="A8D8E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370A7B"/>
    <w:multiLevelType w:val="multilevel"/>
    <w:tmpl w:val="9CF4BBD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C11D04"/>
    <w:multiLevelType w:val="multilevel"/>
    <w:tmpl w:val="C7E4F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2775B"/>
    <w:multiLevelType w:val="multilevel"/>
    <w:tmpl w:val="04150025"/>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6" w15:restartNumberingAfterBreak="0">
    <w:nsid w:val="19910C04"/>
    <w:multiLevelType w:val="multilevel"/>
    <w:tmpl w:val="55C4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21261C"/>
    <w:multiLevelType w:val="multilevel"/>
    <w:tmpl w:val="8902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053566"/>
    <w:multiLevelType w:val="hybridMultilevel"/>
    <w:tmpl w:val="FFAE6444"/>
    <w:lvl w:ilvl="0" w:tplc="8928385E">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EE3706D"/>
    <w:multiLevelType w:val="hybridMultilevel"/>
    <w:tmpl w:val="A492E48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2BC0443"/>
    <w:multiLevelType w:val="multilevel"/>
    <w:tmpl w:val="80B8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C48AB"/>
    <w:multiLevelType w:val="multilevel"/>
    <w:tmpl w:val="266A1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223D37"/>
    <w:multiLevelType w:val="hybridMultilevel"/>
    <w:tmpl w:val="4FB0A4BC"/>
    <w:lvl w:ilvl="0" w:tplc="56684908">
      <w:start w:val="1"/>
      <w:numFmt w:val="decimal"/>
      <w:lvlText w:val="Graph %1 :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2BD0D63"/>
    <w:multiLevelType w:val="hybridMultilevel"/>
    <w:tmpl w:val="A1FA8A8C"/>
    <w:lvl w:ilvl="0" w:tplc="D34A72E0">
      <w:start w:val="1"/>
      <w:numFmt w:val="decimal"/>
      <w:lvlText w:val="Table %1 : "/>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47A96ED6"/>
    <w:multiLevelType w:val="multilevel"/>
    <w:tmpl w:val="9FFE59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250055"/>
    <w:multiLevelType w:val="multilevel"/>
    <w:tmpl w:val="D7F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1439FD"/>
    <w:multiLevelType w:val="multilevel"/>
    <w:tmpl w:val="C7965B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35389C"/>
    <w:multiLevelType w:val="hybridMultilevel"/>
    <w:tmpl w:val="E990CB8C"/>
    <w:lvl w:ilvl="0" w:tplc="0570F18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0270219"/>
    <w:multiLevelType w:val="multilevel"/>
    <w:tmpl w:val="475630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71353"/>
    <w:multiLevelType w:val="hybridMultilevel"/>
    <w:tmpl w:val="AE80E1CA"/>
    <w:lvl w:ilvl="0" w:tplc="D058756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F2820DA"/>
    <w:multiLevelType w:val="hybridMultilevel"/>
    <w:tmpl w:val="C81EAB58"/>
    <w:lvl w:ilvl="0" w:tplc="FEE07468">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197785E"/>
    <w:multiLevelType w:val="hybridMultilevel"/>
    <w:tmpl w:val="00C613CE"/>
    <w:lvl w:ilvl="0" w:tplc="772668A4">
      <w:start w:val="1"/>
      <w:numFmt w:val="decimal"/>
      <w:pStyle w:val="Nagwekspisutreci"/>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1F47D3E"/>
    <w:multiLevelType w:val="multilevel"/>
    <w:tmpl w:val="2A661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1924C0"/>
    <w:multiLevelType w:val="multilevel"/>
    <w:tmpl w:val="3288D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87186">
    <w:abstractNumId w:val="5"/>
  </w:num>
  <w:num w:numId="2" w16cid:durableId="6007985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6864435">
    <w:abstractNumId w:val="5"/>
  </w:num>
  <w:num w:numId="4" w16cid:durableId="904880870">
    <w:abstractNumId w:val="5"/>
  </w:num>
  <w:num w:numId="5" w16cid:durableId="1511985406">
    <w:abstractNumId w:val="5"/>
  </w:num>
  <w:num w:numId="6" w16cid:durableId="121119183">
    <w:abstractNumId w:val="5"/>
  </w:num>
  <w:num w:numId="7" w16cid:durableId="1152647398">
    <w:abstractNumId w:val="5"/>
  </w:num>
  <w:num w:numId="8" w16cid:durableId="566384004">
    <w:abstractNumId w:val="5"/>
  </w:num>
  <w:num w:numId="9" w16cid:durableId="1892426429">
    <w:abstractNumId w:val="5"/>
  </w:num>
  <w:num w:numId="10" w16cid:durableId="1963415896">
    <w:abstractNumId w:val="5"/>
  </w:num>
  <w:num w:numId="11" w16cid:durableId="1275863930">
    <w:abstractNumId w:val="5"/>
  </w:num>
  <w:num w:numId="12" w16cid:durableId="1071082031">
    <w:abstractNumId w:val="5"/>
  </w:num>
  <w:num w:numId="13" w16cid:durableId="1815440015">
    <w:abstractNumId w:val="12"/>
  </w:num>
  <w:num w:numId="14" w16cid:durableId="1278100518">
    <w:abstractNumId w:val="17"/>
  </w:num>
  <w:num w:numId="15" w16cid:durableId="875318101">
    <w:abstractNumId w:val="13"/>
  </w:num>
  <w:num w:numId="16" w16cid:durableId="1098674549">
    <w:abstractNumId w:val="0"/>
  </w:num>
  <w:num w:numId="17" w16cid:durableId="1447846418">
    <w:abstractNumId w:val="1"/>
  </w:num>
  <w:num w:numId="18" w16cid:durableId="306865544">
    <w:abstractNumId w:val="0"/>
    <w:lvlOverride w:ilvl="0">
      <w:startOverride w:val="1"/>
    </w:lvlOverride>
  </w:num>
  <w:num w:numId="19" w16cid:durableId="1896161138">
    <w:abstractNumId w:val="21"/>
  </w:num>
  <w:num w:numId="20" w16cid:durableId="383255401">
    <w:abstractNumId w:val="19"/>
  </w:num>
  <w:num w:numId="21" w16cid:durableId="337274163">
    <w:abstractNumId w:val="8"/>
  </w:num>
  <w:num w:numId="22" w16cid:durableId="438180056">
    <w:abstractNumId w:val="9"/>
  </w:num>
  <w:num w:numId="23" w16cid:durableId="1183714139">
    <w:abstractNumId w:val="3"/>
  </w:num>
  <w:num w:numId="24" w16cid:durableId="1659915718">
    <w:abstractNumId w:val="18"/>
  </w:num>
  <w:num w:numId="25" w16cid:durableId="1598099913">
    <w:abstractNumId w:val="22"/>
  </w:num>
  <w:num w:numId="26" w16cid:durableId="134832065">
    <w:abstractNumId w:val="7"/>
  </w:num>
  <w:num w:numId="27" w16cid:durableId="1157575519">
    <w:abstractNumId w:val="23"/>
  </w:num>
  <w:num w:numId="28" w16cid:durableId="2128311933">
    <w:abstractNumId w:val="4"/>
  </w:num>
  <w:num w:numId="29" w16cid:durableId="1527253088">
    <w:abstractNumId w:val="14"/>
  </w:num>
  <w:num w:numId="30" w16cid:durableId="1827088684">
    <w:abstractNumId w:val="15"/>
  </w:num>
  <w:num w:numId="31" w16cid:durableId="893278788">
    <w:abstractNumId w:val="16"/>
  </w:num>
  <w:num w:numId="32" w16cid:durableId="457990973">
    <w:abstractNumId w:val="10"/>
  </w:num>
  <w:num w:numId="33" w16cid:durableId="1835795484">
    <w:abstractNumId w:val="6"/>
  </w:num>
  <w:num w:numId="34" w16cid:durableId="1202547755">
    <w:abstractNumId w:val="20"/>
  </w:num>
  <w:num w:numId="35" w16cid:durableId="1947426256">
    <w:abstractNumId w:val="2"/>
  </w:num>
  <w:num w:numId="36" w16cid:durableId="1346980772">
    <w:abstractNumId w:val="5"/>
  </w:num>
  <w:num w:numId="37" w16cid:durableId="918275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67FD"/>
    <w:rsid w:val="00013C94"/>
    <w:rsid w:val="000346EE"/>
    <w:rsid w:val="0003653C"/>
    <w:rsid w:val="0004162E"/>
    <w:rsid w:val="00045085"/>
    <w:rsid w:val="00047F6C"/>
    <w:rsid w:val="00052895"/>
    <w:rsid w:val="00086A7C"/>
    <w:rsid w:val="00097562"/>
    <w:rsid w:val="000A4595"/>
    <w:rsid w:val="000D4B19"/>
    <w:rsid w:val="000D50EC"/>
    <w:rsid w:val="000D79FE"/>
    <w:rsid w:val="000E12F7"/>
    <w:rsid w:val="000F6692"/>
    <w:rsid w:val="00104707"/>
    <w:rsid w:val="0010571D"/>
    <w:rsid w:val="0010733D"/>
    <w:rsid w:val="00120D1C"/>
    <w:rsid w:val="00124BDE"/>
    <w:rsid w:val="00127A36"/>
    <w:rsid w:val="00150AEE"/>
    <w:rsid w:val="00152742"/>
    <w:rsid w:val="00154935"/>
    <w:rsid w:val="00162CD7"/>
    <w:rsid w:val="00170F00"/>
    <w:rsid w:val="001B5F49"/>
    <w:rsid w:val="001B79AA"/>
    <w:rsid w:val="001C7E9A"/>
    <w:rsid w:val="001F172D"/>
    <w:rsid w:val="00201E1E"/>
    <w:rsid w:val="0025112C"/>
    <w:rsid w:val="00252A93"/>
    <w:rsid w:val="002567CB"/>
    <w:rsid w:val="00273B19"/>
    <w:rsid w:val="00280B76"/>
    <w:rsid w:val="00283C96"/>
    <w:rsid w:val="002A4F25"/>
    <w:rsid w:val="002E67FD"/>
    <w:rsid w:val="002F5BEB"/>
    <w:rsid w:val="002F70A3"/>
    <w:rsid w:val="003059D2"/>
    <w:rsid w:val="00322014"/>
    <w:rsid w:val="00325E6B"/>
    <w:rsid w:val="0035529E"/>
    <w:rsid w:val="00357281"/>
    <w:rsid w:val="003712AC"/>
    <w:rsid w:val="003874C9"/>
    <w:rsid w:val="00391024"/>
    <w:rsid w:val="00395879"/>
    <w:rsid w:val="003B0DF7"/>
    <w:rsid w:val="003C5B27"/>
    <w:rsid w:val="003E7A0C"/>
    <w:rsid w:val="003F330A"/>
    <w:rsid w:val="003F4CA5"/>
    <w:rsid w:val="00401D6F"/>
    <w:rsid w:val="00416457"/>
    <w:rsid w:val="004175B2"/>
    <w:rsid w:val="00421C0F"/>
    <w:rsid w:val="004272CD"/>
    <w:rsid w:val="0044042E"/>
    <w:rsid w:val="00442785"/>
    <w:rsid w:val="0045106A"/>
    <w:rsid w:val="00474626"/>
    <w:rsid w:val="004779A5"/>
    <w:rsid w:val="004C5293"/>
    <w:rsid w:val="004D0819"/>
    <w:rsid w:val="004E5E82"/>
    <w:rsid w:val="004F0121"/>
    <w:rsid w:val="00503043"/>
    <w:rsid w:val="005043CF"/>
    <w:rsid w:val="00505415"/>
    <w:rsid w:val="0051093D"/>
    <w:rsid w:val="00535598"/>
    <w:rsid w:val="00541385"/>
    <w:rsid w:val="00554F8C"/>
    <w:rsid w:val="00561C55"/>
    <w:rsid w:val="005640E3"/>
    <w:rsid w:val="00566B25"/>
    <w:rsid w:val="00571E81"/>
    <w:rsid w:val="00572903"/>
    <w:rsid w:val="005801E6"/>
    <w:rsid w:val="00583FD4"/>
    <w:rsid w:val="00595D20"/>
    <w:rsid w:val="005A269D"/>
    <w:rsid w:val="005C17E6"/>
    <w:rsid w:val="005C1C9D"/>
    <w:rsid w:val="005D1A58"/>
    <w:rsid w:val="005F52EE"/>
    <w:rsid w:val="00606738"/>
    <w:rsid w:val="00626168"/>
    <w:rsid w:val="00627628"/>
    <w:rsid w:val="0062763F"/>
    <w:rsid w:val="006432DC"/>
    <w:rsid w:val="00667CEB"/>
    <w:rsid w:val="006704A5"/>
    <w:rsid w:val="00671B5E"/>
    <w:rsid w:val="00685372"/>
    <w:rsid w:val="00686EB0"/>
    <w:rsid w:val="006A5B4F"/>
    <w:rsid w:val="006A7336"/>
    <w:rsid w:val="006B3421"/>
    <w:rsid w:val="006C131F"/>
    <w:rsid w:val="006D4C89"/>
    <w:rsid w:val="006D6A0D"/>
    <w:rsid w:val="006F287F"/>
    <w:rsid w:val="00714602"/>
    <w:rsid w:val="00721AE6"/>
    <w:rsid w:val="007374E8"/>
    <w:rsid w:val="00780FF8"/>
    <w:rsid w:val="007906F7"/>
    <w:rsid w:val="0079739E"/>
    <w:rsid w:val="007A3091"/>
    <w:rsid w:val="007D03CC"/>
    <w:rsid w:val="007D14C2"/>
    <w:rsid w:val="007D6B9F"/>
    <w:rsid w:val="0081477E"/>
    <w:rsid w:val="00816180"/>
    <w:rsid w:val="00825394"/>
    <w:rsid w:val="008269CB"/>
    <w:rsid w:val="00834B51"/>
    <w:rsid w:val="00885DF9"/>
    <w:rsid w:val="00893A04"/>
    <w:rsid w:val="008A4345"/>
    <w:rsid w:val="008B39EC"/>
    <w:rsid w:val="008C04F6"/>
    <w:rsid w:val="00911394"/>
    <w:rsid w:val="00913061"/>
    <w:rsid w:val="009165DA"/>
    <w:rsid w:val="009526E6"/>
    <w:rsid w:val="00954891"/>
    <w:rsid w:val="00954D05"/>
    <w:rsid w:val="00956960"/>
    <w:rsid w:val="00976EC7"/>
    <w:rsid w:val="009840A2"/>
    <w:rsid w:val="00991AD1"/>
    <w:rsid w:val="009B637D"/>
    <w:rsid w:val="009D4FC4"/>
    <w:rsid w:val="00A140B8"/>
    <w:rsid w:val="00A256CF"/>
    <w:rsid w:val="00A479C5"/>
    <w:rsid w:val="00A522BE"/>
    <w:rsid w:val="00A7670A"/>
    <w:rsid w:val="00A76C08"/>
    <w:rsid w:val="00A8243E"/>
    <w:rsid w:val="00A8719F"/>
    <w:rsid w:val="00A93B8F"/>
    <w:rsid w:val="00A96F13"/>
    <w:rsid w:val="00AA458F"/>
    <w:rsid w:val="00AC766C"/>
    <w:rsid w:val="00AD0C8A"/>
    <w:rsid w:val="00AF1996"/>
    <w:rsid w:val="00B1775C"/>
    <w:rsid w:val="00B433A9"/>
    <w:rsid w:val="00B43AFA"/>
    <w:rsid w:val="00B664EA"/>
    <w:rsid w:val="00B7063B"/>
    <w:rsid w:val="00BA1DF3"/>
    <w:rsid w:val="00BA63C1"/>
    <w:rsid w:val="00BC1C5D"/>
    <w:rsid w:val="00BC721A"/>
    <w:rsid w:val="00BD11FD"/>
    <w:rsid w:val="00BD23B2"/>
    <w:rsid w:val="00BE01AC"/>
    <w:rsid w:val="00BF6A9D"/>
    <w:rsid w:val="00C11ED4"/>
    <w:rsid w:val="00C23F0C"/>
    <w:rsid w:val="00C35468"/>
    <w:rsid w:val="00C35740"/>
    <w:rsid w:val="00C37956"/>
    <w:rsid w:val="00C42069"/>
    <w:rsid w:val="00C551D2"/>
    <w:rsid w:val="00C86E3F"/>
    <w:rsid w:val="00CA44FB"/>
    <w:rsid w:val="00CB6F29"/>
    <w:rsid w:val="00CB7E9F"/>
    <w:rsid w:val="00CE49A3"/>
    <w:rsid w:val="00D03493"/>
    <w:rsid w:val="00D377C1"/>
    <w:rsid w:val="00D559B9"/>
    <w:rsid w:val="00D74F18"/>
    <w:rsid w:val="00D822A1"/>
    <w:rsid w:val="00D9691B"/>
    <w:rsid w:val="00DA3657"/>
    <w:rsid w:val="00DB4135"/>
    <w:rsid w:val="00DD0B94"/>
    <w:rsid w:val="00DD6B8B"/>
    <w:rsid w:val="00DE015D"/>
    <w:rsid w:val="00DE425F"/>
    <w:rsid w:val="00DE4FDE"/>
    <w:rsid w:val="00E160C6"/>
    <w:rsid w:val="00E163D1"/>
    <w:rsid w:val="00E17E74"/>
    <w:rsid w:val="00E275AD"/>
    <w:rsid w:val="00E47170"/>
    <w:rsid w:val="00E86C86"/>
    <w:rsid w:val="00E97036"/>
    <w:rsid w:val="00EC4A4F"/>
    <w:rsid w:val="00ED2005"/>
    <w:rsid w:val="00ED37BA"/>
    <w:rsid w:val="00F25F89"/>
    <w:rsid w:val="00F26F5E"/>
    <w:rsid w:val="00F3082F"/>
    <w:rsid w:val="00F625DF"/>
    <w:rsid w:val="00F94194"/>
    <w:rsid w:val="00FB516B"/>
    <w:rsid w:val="00FD3D40"/>
    <w:rsid w:val="00FD6E5E"/>
    <w:rsid w:val="00FD7383"/>
    <w:rsid w:val="00FF0727"/>
    <w:rsid w:val="00FF231D"/>
    <w:rsid w:val="00FF35F7"/>
    <w:rsid w:val="00FF7C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7E94F"/>
  <w15:docId w15:val="{0A9C3EFD-CF30-48CB-97B1-A759A6423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F3701"/>
    <w:pPr>
      <w:spacing w:after="120"/>
      <w:jc w:val="both"/>
    </w:pPr>
    <w:rPr>
      <w:rFonts w:ascii="Times New Roman" w:hAnsi="Times New Roman"/>
      <w:sz w:val="24"/>
      <w:szCs w:val="22"/>
      <w:lang w:eastAsia="ja-JP"/>
    </w:rPr>
  </w:style>
  <w:style w:type="paragraph" w:styleId="Nagwek1">
    <w:name w:val="heading 1"/>
    <w:basedOn w:val="Akapitzlist"/>
    <w:next w:val="Normalny"/>
    <w:link w:val="Nagwek1Znak"/>
    <w:uiPriority w:val="2"/>
    <w:qFormat/>
    <w:rsid w:val="00C8258F"/>
    <w:pPr>
      <w:numPr>
        <w:numId w:val="12"/>
      </w:numPr>
      <w:outlineLvl w:val="0"/>
    </w:pPr>
    <w:rPr>
      <w:b/>
    </w:rPr>
  </w:style>
  <w:style w:type="paragraph" w:styleId="Nagwek2">
    <w:name w:val="heading 2"/>
    <w:basedOn w:val="Nagwek1"/>
    <w:next w:val="Normalny"/>
    <w:link w:val="Nagwek2Znak"/>
    <w:uiPriority w:val="2"/>
    <w:unhideWhenUsed/>
    <w:qFormat/>
    <w:rsid w:val="00CC01E3"/>
    <w:pPr>
      <w:keepLines/>
      <w:numPr>
        <w:ilvl w:val="1"/>
      </w:numPr>
      <w:ind w:left="578" w:hanging="578"/>
      <w:outlineLvl w:val="1"/>
    </w:pPr>
    <w:rPr>
      <w:bCs/>
      <w:color w:val="000000"/>
      <w:szCs w:val="24"/>
    </w:rPr>
  </w:style>
  <w:style w:type="paragraph" w:styleId="Nagwek3">
    <w:name w:val="heading 3"/>
    <w:basedOn w:val="Normalny"/>
    <w:next w:val="Normalny"/>
    <w:link w:val="Nagwek3Znak"/>
    <w:uiPriority w:val="5"/>
    <w:unhideWhenUsed/>
    <w:qFormat/>
    <w:rsid w:val="00CC01E3"/>
    <w:pPr>
      <w:keepLines/>
      <w:numPr>
        <w:ilvl w:val="2"/>
        <w:numId w:val="12"/>
      </w:numPr>
      <w:outlineLvl w:val="2"/>
    </w:pPr>
    <w:rPr>
      <w:b/>
      <w:bCs/>
      <w:color w:val="000000"/>
    </w:rPr>
  </w:style>
  <w:style w:type="paragraph" w:styleId="Nagwek4">
    <w:name w:val="heading 4"/>
    <w:basedOn w:val="Normalny"/>
    <w:next w:val="Normalny"/>
    <w:link w:val="Nagwek4Znak"/>
    <w:uiPriority w:val="5"/>
    <w:unhideWhenUsed/>
    <w:qFormat/>
    <w:rsid w:val="00CC01E3"/>
    <w:pPr>
      <w:keepLines/>
      <w:numPr>
        <w:ilvl w:val="3"/>
        <w:numId w:val="12"/>
      </w:numPr>
      <w:ind w:left="862" w:hanging="862"/>
      <w:outlineLvl w:val="3"/>
    </w:pPr>
    <w:rPr>
      <w:b/>
      <w:bCs/>
      <w:iCs/>
      <w:color w:val="000000"/>
    </w:rPr>
  </w:style>
  <w:style w:type="paragraph" w:styleId="Nagwek5">
    <w:name w:val="heading 5"/>
    <w:basedOn w:val="Normalny"/>
    <w:next w:val="Normalny"/>
    <w:link w:val="Nagwek5Znak"/>
    <w:uiPriority w:val="5"/>
    <w:unhideWhenUsed/>
    <w:qFormat/>
    <w:rsid w:val="004B5A68"/>
    <w:pPr>
      <w:keepNext/>
      <w:keepLines/>
      <w:numPr>
        <w:ilvl w:val="4"/>
        <w:numId w:val="12"/>
      </w:numPr>
      <w:ind w:left="1009" w:hanging="1009"/>
      <w:outlineLvl w:val="4"/>
    </w:pPr>
    <w:rPr>
      <w:b/>
      <w:color w:val="252525"/>
    </w:rPr>
  </w:style>
  <w:style w:type="paragraph" w:styleId="Nagwek6">
    <w:name w:val="heading 6"/>
    <w:basedOn w:val="Normalny"/>
    <w:next w:val="Normalny"/>
    <w:link w:val="Nagwek6Znak"/>
    <w:uiPriority w:val="5"/>
    <w:unhideWhenUsed/>
    <w:qFormat/>
    <w:rsid w:val="004B5A68"/>
    <w:pPr>
      <w:keepNext/>
      <w:keepLines/>
      <w:numPr>
        <w:ilvl w:val="5"/>
        <w:numId w:val="12"/>
      </w:numPr>
      <w:ind w:left="1151" w:hanging="1151"/>
      <w:outlineLvl w:val="5"/>
    </w:pPr>
    <w:rPr>
      <w:b/>
      <w:iCs/>
      <w:color w:val="252525"/>
    </w:rPr>
  </w:style>
  <w:style w:type="paragraph" w:styleId="Nagwek7">
    <w:name w:val="heading 7"/>
    <w:basedOn w:val="Normalny"/>
    <w:next w:val="Normalny"/>
    <w:link w:val="Nagwek7Znak"/>
    <w:uiPriority w:val="9"/>
    <w:semiHidden/>
    <w:unhideWhenUsed/>
    <w:qFormat/>
    <w:pPr>
      <w:keepNext/>
      <w:keepLines/>
      <w:numPr>
        <w:ilvl w:val="6"/>
        <w:numId w:val="12"/>
      </w:numPr>
      <w:spacing w:before="200"/>
      <w:outlineLvl w:val="6"/>
    </w:pPr>
    <w:rPr>
      <w:rFonts w:ascii="Calibri Light" w:hAnsi="Calibri Light"/>
      <w:i/>
      <w:iCs/>
      <w:color w:val="404040"/>
    </w:rPr>
  </w:style>
  <w:style w:type="paragraph" w:styleId="Nagwek8">
    <w:name w:val="heading 8"/>
    <w:basedOn w:val="Normalny"/>
    <w:next w:val="Normalny"/>
    <w:link w:val="Nagwek8Znak"/>
    <w:uiPriority w:val="9"/>
    <w:semiHidden/>
    <w:unhideWhenUsed/>
    <w:qFormat/>
    <w:pPr>
      <w:keepNext/>
      <w:keepLines/>
      <w:numPr>
        <w:ilvl w:val="7"/>
        <w:numId w:val="12"/>
      </w:numPr>
      <w:spacing w:before="200"/>
      <w:outlineLvl w:val="7"/>
    </w:pPr>
    <w:rPr>
      <w:rFonts w:ascii="Calibri Light" w:hAnsi="Calibri Light"/>
      <w:color w:val="404040"/>
      <w:sz w:val="20"/>
      <w:szCs w:val="20"/>
    </w:rPr>
  </w:style>
  <w:style w:type="paragraph" w:styleId="Nagwek9">
    <w:name w:val="heading 9"/>
    <w:basedOn w:val="Normalny"/>
    <w:next w:val="Normalny"/>
    <w:link w:val="Nagwek9Znak"/>
    <w:uiPriority w:val="9"/>
    <w:semiHidden/>
    <w:unhideWhenUsed/>
    <w:qFormat/>
    <w:pPr>
      <w:keepNext/>
      <w:keepLines/>
      <w:numPr>
        <w:ilvl w:val="8"/>
        <w:numId w:val="12"/>
      </w:numPr>
      <w:spacing w:before="200"/>
      <w:outlineLvl w:val="8"/>
    </w:pPr>
    <w:rPr>
      <w:rFonts w:ascii="Calibri Light" w:hAnsi="Calibri Light"/>
      <w:i/>
      <w:iCs/>
      <w:color w:val="404040"/>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5"/>
    <w:qFormat/>
    <w:rsid w:val="00C755B9"/>
    <w:pPr>
      <w:ind w:left="720"/>
    </w:pPr>
  </w:style>
  <w:style w:type="character" w:customStyle="1" w:styleId="Nagwek1Znak">
    <w:name w:val="Nagłówek 1 Znak"/>
    <w:link w:val="Nagwek1"/>
    <w:uiPriority w:val="2"/>
    <w:rsid w:val="00080218"/>
    <w:rPr>
      <w:rFonts w:ascii="Times New Roman" w:hAnsi="Times New Roman"/>
      <w:b/>
      <w:sz w:val="24"/>
      <w:lang w:val="pl-PL"/>
    </w:rPr>
  </w:style>
  <w:style w:type="character" w:customStyle="1" w:styleId="Nagwek2Znak">
    <w:name w:val="Nagłówek 2 Znak"/>
    <w:link w:val="Nagwek2"/>
    <w:uiPriority w:val="1"/>
    <w:rsid w:val="00CC01E3"/>
    <w:rPr>
      <w:rFonts w:ascii="Times New Roman" w:eastAsia="Times New Roman" w:hAnsi="Times New Roman" w:cs="Times New Roman"/>
      <w:b/>
      <w:bCs/>
      <w:color w:val="000000"/>
      <w:sz w:val="24"/>
      <w:szCs w:val="24"/>
      <w:lang w:val="pl-PL"/>
    </w:rPr>
  </w:style>
  <w:style w:type="character" w:customStyle="1" w:styleId="Nagwek3Znak">
    <w:name w:val="Nagłówek 3 Znak"/>
    <w:link w:val="Nagwek3"/>
    <w:uiPriority w:val="5"/>
    <w:rsid w:val="00CC01E3"/>
    <w:rPr>
      <w:rFonts w:ascii="Times New Roman" w:eastAsia="Times New Roman" w:hAnsi="Times New Roman" w:cs="Times New Roman"/>
      <w:b/>
      <w:bCs/>
      <w:color w:val="000000"/>
      <w:sz w:val="24"/>
      <w:lang w:val="pl-PL"/>
    </w:rPr>
  </w:style>
  <w:style w:type="character" w:customStyle="1" w:styleId="Nagwek4Znak">
    <w:name w:val="Nagłówek 4 Znak"/>
    <w:link w:val="Nagwek4"/>
    <w:uiPriority w:val="5"/>
    <w:rsid w:val="00CC01E3"/>
    <w:rPr>
      <w:rFonts w:ascii="Times New Roman" w:eastAsia="Times New Roman" w:hAnsi="Times New Roman" w:cs="Times New Roman"/>
      <w:b/>
      <w:bCs/>
      <w:iCs/>
      <w:color w:val="000000"/>
      <w:sz w:val="24"/>
      <w:lang w:val="pl-PL"/>
    </w:rPr>
  </w:style>
  <w:style w:type="character" w:customStyle="1" w:styleId="Nagwek5Znak">
    <w:name w:val="Nagłówek 5 Znak"/>
    <w:link w:val="Nagwek5"/>
    <w:uiPriority w:val="5"/>
    <w:rsid w:val="004B5A68"/>
    <w:rPr>
      <w:rFonts w:ascii="Times New Roman" w:eastAsia="Times New Roman" w:hAnsi="Times New Roman" w:cs="Times New Roman"/>
      <w:b/>
      <w:color w:val="252525"/>
      <w:sz w:val="24"/>
      <w:lang w:val="pl-PL"/>
    </w:rPr>
  </w:style>
  <w:style w:type="character" w:customStyle="1" w:styleId="Nagwek6Znak">
    <w:name w:val="Nagłówek 6 Znak"/>
    <w:link w:val="Nagwek6"/>
    <w:uiPriority w:val="5"/>
    <w:rsid w:val="004B5A68"/>
    <w:rPr>
      <w:rFonts w:ascii="Times New Roman" w:eastAsia="Times New Roman" w:hAnsi="Times New Roman" w:cs="Times New Roman"/>
      <w:b/>
      <w:iCs/>
      <w:color w:val="252525"/>
      <w:sz w:val="24"/>
      <w:lang w:val="pl-PL"/>
    </w:rPr>
  </w:style>
  <w:style w:type="character" w:customStyle="1" w:styleId="Nagwek7Znak">
    <w:name w:val="Nagłówek 7 Znak"/>
    <w:link w:val="Nagwek7"/>
    <w:uiPriority w:val="9"/>
    <w:semiHidden/>
    <w:rPr>
      <w:rFonts w:ascii="Calibri Light" w:eastAsia="Times New Roman" w:hAnsi="Calibri Light" w:cs="Times New Roman"/>
      <w:i/>
      <w:iCs/>
      <w:color w:val="404040"/>
    </w:rPr>
  </w:style>
  <w:style w:type="character" w:customStyle="1" w:styleId="Nagwek8Znak">
    <w:name w:val="Nagłówek 8 Znak"/>
    <w:link w:val="Nagwek8"/>
    <w:uiPriority w:val="9"/>
    <w:semiHidden/>
    <w:rPr>
      <w:rFonts w:ascii="Calibri Light" w:eastAsia="Times New Roman" w:hAnsi="Calibri Light" w:cs="Times New Roman"/>
      <w:color w:val="404040"/>
      <w:sz w:val="20"/>
      <w:szCs w:val="20"/>
    </w:rPr>
  </w:style>
  <w:style w:type="character" w:customStyle="1" w:styleId="Nagwek9Znak">
    <w:name w:val="Nagłówek 9 Znak"/>
    <w:link w:val="Nagwek9"/>
    <w:uiPriority w:val="9"/>
    <w:semiHidden/>
    <w:rPr>
      <w:rFonts w:ascii="Calibri Light" w:eastAsia="Times New Roman" w:hAnsi="Calibri Light" w:cs="Times New Roman"/>
      <w:i/>
      <w:iCs/>
      <w:color w:val="404040"/>
      <w:sz w:val="20"/>
      <w:szCs w:val="20"/>
    </w:rPr>
  </w:style>
  <w:style w:type="paragraph" w:styleId="Tytu">
    <w:name w:val="Title"/>
    <w:basedOn w:val="Normalny"/>
    <w:next w:val="Normalny"/>
    <w:link w:val="TytuZnak"/>
    <w:uiPriority w:val="3"/>
    <w:qFormat/>
    <w:rsid w:val="00AE0434"/>
    <w:pPr>
      <w:contextualSpacing/>
      <w:jc w:val="center"/>
    </w:pPr>
    <w:rPr>
      <w:b/>
      <w:color w:val="000000"/>
      <w:sz w:val="28"/>
      <w:szCs w:val="28"/>
    </w:rPr>
  </w:style>
  <w:style w:type="character" w:customStyle="1" w:styleId="TytuZnak">
    <w:name w:val="Tytuł Znak"/>
    <w:link w:val="Tytu"/>
    <w:uiPriority w:val="3"/>
    <w:rsid w:val="00080218"/>
    <w:rPr>
      <w:rFonts w:ascii="Times New Roman" w:eastAsia="Times New Roman" w:hAnsi="Times New Roman" w:cs="Times New Roman"/>
      <w:b/>
      <w:color w:val="000000"/>
      <w:sz w:val="28"/>
      <w:szCs w:val="28"/>
      <w:lang w:val="pl-PL"/>
    </w:rPr>
  </w:style>
  <w:style w:type="paragraph" w:customStyle="1" w:styleId="Podpistabeli">
    <w:name w:val="Podpis tabeli"/>
    <w:basedOn w:val="Normalny"/>
    <w:next w:val="Normalny"/>
    <w:qFormat/>
    <w:rsid w:val="00B8352E"/>
    <w:pPr>
      <w:contextualSpacing/>
    </w:pPr>
    <w:rPr>
      <w:sz w:val="18"/>
    </w:rPr>
  </w:style>
  <w:style w:type="paragraph" w:customStyle="1" w:styleId="Uwaga">
    <w:name w:val="Uwaga"/>
    <w:basedOn w:val="Normalny"/>
    <w:next w:val="Normalny"/>
    <w:uiPriority w:val="2"/>
    <w:qFormat/>
    <w:rsid w:val="00953E21"/>
    <w:rPr>
      <w:i/>
      <w:color w:val="003A74"/>
    </w:rPr>
  </w:style>
  <w:style w:type="character" w:styleId="Wyrnienieintensywne">
    <w:name w:val="Intense Emphasis"/>
    <w:uiPriority w:val="21"/>
    <w:qFormat/>
    <w:rPr>
      <w:b/>
      <w:bCs/>
      <w:i/>
      <w:iCs/>
      <w:caps/>
    </w:rPr>
  </w:style>
  <w:style w:type="character" w:styleId="Pogrubienie">
    <w:name w:val="Strong"/>
    <w:uiPriority w:val="22"/>
    <w:qFormat/>
    <w:rPr>
      <w:b/>
      <w:bCs/>
      <w:color w:val="000000"/>
    </w:rPr>
  </w:style>
  <w:style w:type="paragraph" w:styleId="Cytat">
    <w:name w:val="Quote"/>
    <w:basedOn w:val="Normalny"/>
    <w:next w:val="Normalny"/>
    <w:link w:val="CytatZnak"/>
    <w:uiPriority w:val="29"/>
    <w:qFormat/>
    <w:pPr>
      <w:spacing w:before="160"/>
      <w:ind w:left="720" w:right="720"/>
    </w:pPr>
    <w:rPr>
      <w:i/>
      <w:iCs/>
      <w:color w:val="000000"/>
    </w:rPr>
  </w:style>
  <w:style w:type="character" w:customStyle="1" w:styleId="CytatZnak">
    <w:name w:val="Cytat Znak"/>
    <w:link w:val="Cytat"/>
    <w:uiPriority w:val="29"/>
    <w:rPr>
      <w:i/>
      <w:iCs/>
      <w:color w:val="000000"/>
    </w:rPr>
  </w:style>
  <w:style w:type="paragraph" w:styleId="Cytatintensywny">
    <w:name w:val="Intense Quote"/>
    <w:basedOn w:val="Normalny"/>
    <w:next w:val="Normalny"/>
    <w:link w:val="CytatintensywnyZnak"/>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CytatintensywnyZnak">
    <w:name w:val="Cytat intensywny Znak"/>
    <w:link w:val="Cytatintensywny"/>
    <w:uiPriority w:val="30"/>
    <w:rPr>
      <w:color w:val="000000"/>
      <w:shd w:val="clear" w:color="auto" w:fill="F2F2F2"/>
    </w:rPr>
  </w:style>
  <w:style w:type="character" w:styleId="Odwoaniedelikatne">
    <w:name w:val="Subtle Reference"/>
    <w:uiPriority w:val="31"/>
    <w:qFormat/>
    <w:rPr>
      <w:smallCaps/>
      <w:color w:val="404040"/>
      <w:u w:val="single" w:color="7F7F7F"/>
    </w:rPr>
  </w:style>
  <w:style w:type="character" w:styleId="Odwoanieintensywne">
    <w:name w:val="Intense Reference"/>
    <w:uiPriority w:val="32"/>
    <w:qFormat/>
    <w:rPr>
      <w:b/>
      <w:bCs/>
      <w:smallCaps/>
      <w:u w:val="single"/>
    </w:rPr>
  </w:style>
  <w:style w:type="character" w:styleId="Tytuksiki">
    <w:name w:val="Book Title"/>
    <w:uiPriority w:val="33"/>
    <w:qFormat/>
    <w:rPr>
      <w:b w:val="0"/>
      <w:bCs w:val="0"/>
      <w:smallCaps/>
      <w:spacing w:val="5"/>
    </w:rPr>
  </w:style>
  <w:style w:type="paragraph" w:styleId="Legenda">
    <w:name w:val="caption"/>
    <w:basedOn w:val="Normalny"/>
    <w:next w:val="Normalny"/>
    <w:uiPriority w:val="35"/>
    <w:unhideWhenUsed/>
    <w:qFormat/>
    <w:pPr>
      <w:spacing w:after="200"/>
    </w:pPr>
    <w:rPr>
      <w:i/>
      <w:iCs/>
      <w:color w:val="323232"/>
      <w:sz w:val="18"/>
      <w:szCs w:val="18"/>
    </w:rPr>
  </w:style>
  <w:style w:type="paragraph" w:styleId="Nagwekspisutreci">
    <w:name w:val="TOC Heading"/>
    <w:basedOn w:val="Nagwek1"/>
    <w:next w:val="Normalny"/>
    <w:uiPriority w:val="39"/>
    <w:semiHidden/>
    <w:unhideWhenUsed/>
    <w:qFormat/>
    <w:pPr>
      <w:numPr>
        <w:numId w:val="19"/>
      </w:numPr>
      <w:ind w:left="426" w:hanging="426"/>
      <w:outlineLvl w:val="9"/>
    </w:pPr>
  </w:style>
  <w:style w:type="paragraph" w:styleId="Nagwek">
    <w:name w:val="header"/>
    <w:basedOn w:val="Normalny"/>
    <w:link w:val="NagwekZnak"/>
    <w:uiPriority w:val="99"/>
    <w:unhideWhenUsed/>
    <w:rsid w:val="00450C03"/>
    <w:pPr>
      <w:tabs>
        <w:tab w:val="center" w:pos="4536"/>
        <w:tab w:val="right" w:pos="9072"/>
      </w:tabs>
    </w:pPr>
  </w:style>
  <w:style w:type="character" w:customStyle="1" w:styleId="NagwekZnak">
    <w:name w:val="Nagłówek Znak"/>
    <w:basedOn w:val="Domylnaczcionkaakapitu"/>
    <w:link w:val="Nagwek"/>
    <w:uiPriority w:val="99"/>
    <w:rsid w:val="00450C03"/>
  </w:style>
  <w:style w:type="paragraph" w:styleId="Stopka">
    <w:name w:val="footer"/>
    <w:basedOn w:val="Normalny"/>
    <w:link w:val="StopkaZnak"/>
    <w:uiPriority w:val="99"/>
    <w:unhideWhenUsed/>
    <w:rsid w:val="00450C03"/>
    <w:pPr>
      <w:tabs>
        <w:tab w:val="center" w:pos="4536"/>
        <w:tab w:val="right" w:pos="9072"/>
      </w:tabs>
    </w:pPr>
  </w:style>
  <w:style w:type="character" w:customStyle="1" w:styleId="StopkaZnak">
    <w:name w:val="Stopka Znak"/>
    <w:basedOn w:val="Domylnaczcionkaakapitu"/>
    <w:link w:val="Stopka"/>
    <w:uiPriority w:val="99"/>
    <w:rsid w:val="00450C03"/>
  </w:style>
  <w:style w:type="paragraph" w:customStyle="1" w:styleId="Zawartotabeli">
    <w:name w:val="Zawartość tabeli"/>
    <w:basedOn w:val="Normalny"/>
    <w:link w:val="ZawartotabeliZnak"/>
    <w:qFormat/>
    <w:rsid w:val="00E52565"/>
    <w:pPr>
      <w:spacing w:after="0"/>
      <w:jc w:val="center"/>
    </w:pPr>
    <w:rPr>
      <w:sz w:val="18"/>
      <w:lang w:eastAsia="pl-PL"/>
    </w:rPr>
  </w:style>
  <w:style w:type="table" w:styleId="Tabela-Siatka">
    <w:name w:val="Table Grid"/>
    <w:basedOn w:val="Standardowy"/>
    <w:uiPriority w:val="39"/>
    <w:rsid w:val="00954D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atkatabelijasna1">
    <w:name w:val="Siatka tabeli — jasna1"/>
    <w:basedOn w:val="Standardowy"/>
    <w:uiPriority w:val="40"/>
    <w:rsid w:val="00954D7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Zwykatabela11">
    <w:name w:val="Zwykła tabela 11"/>
    <w:basedOn w:val="Standardowy"/>
    <w:uiPriority w:val="41"/>
    <w:rsid w:val="00954D7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LD">
    <w:name w:val="TabelaLD"/>
    <w:basedOn w:val="Standardowy"/>
    <w:uiPriority w:val="99"/>
    <w:rsid w:val="007E525A"/>
    <w:pPr>
      <w:jc w:val="center"/>
    </w:pPr>
    <w:rPr>
      <w:rFonts w:ascii="Times New Roman" w:hAnsi="Times New Roman"/>
      <w:sz w:val="18"/>
    </w:rPr>
    <w:tblPr>
      <w:tblBorders>
        <w:top w:val="single" w:sz="4" w:space="0" w:color="auto"/>
        <w:bottom w:val="single" w:sz="4" w:space="0" w:color="auto"/>
        <w:insideH w:val="single" w:sz="4" w:space="0" w:color="auto"/>
      </w:tblBorders>
      <w:tblCellMar>
        <w:top w:w="28" w:type="dxa"/>
        <w:bottom w:w="28" w:type="dxa"/>
      </w:tblCellMar>
    </w:tblPr>
    <w:tcPr>
      <w:vAlign w:val="center"/>
    </w:tcPr>
    <w:tblStylePr w:type="firstRow">
      <w:pPr>
        <w:jc w:val="center"/>
      </w:pPr>
      <w:rPr>
        <w:b/>
      </w:rPr>
    </w:tblStylePr>
  </w:style>
  <w:style w:type="paragraph" w:customStyle="1" w:styleId="KodwRred">
    <w:name w:val="Kod w R red"/>
    <w:basedOn w:val="Normalny"/>
    <w:next w:val="Normalny"/>
    <w:link w:val="KodwRredZnak"/>
    <w:uiPriority w:val="4"/>
    <w:qFormat/>
    <w:rsid w:val="00E32AFE"/>
    <w:pPr>
      <w:pBdr>
        <w:top w:val="single" w:sz="4" w:space="1" w:color="auto" w:shadow="1"/>
        <w:left w:val="single" w:sz="4" w:space="4" w:color="auto" w:shadow="1"/>
        <w:bottom w:val="single" w:sz="4" w:space="1" w:color="auto" w:shadow="1"/>
        <w:right w:val="single" w:sz="4" w:space="4" w:color="auto" w:shadow="1"/>
      </w:pBdr>
      <w:shd w:val="pct15" w:color="auto" w:fill="auto"/>
      <w:jc w:val="left"/>
    </w:pPr>
    <w:rPr>
      <w:rFonts w:ascii="Courier New" w:hAnsi="Courier New"/>
      <w:color w:val="FF0000"/>
      <w:sz w:val="20"/>
    </w:rPr>
  </w:style>
  <w:style w:type="paragraph" w:customStyle="1" w:styleId="KodwRblue">
    <w:name w:val="Kod w R blue"/>
    <w:basedOn w:val="KodwRred"/>
    <w:next w:val="Normalny"/>
    <w:link w:val="KodwRblueZnak"/>
    <w:uiPriority w:val="4"/>
    <w:qFormat/>
    <w:rsid w:val="00E32AFE"/>
    <w:rPr>
      <w:color w:val="14415C"/>
    </w:rPr>
  </w:style>
  <w:style w:type="paragraph" w:customStyle="1" w:styleId="Zawartotabeli10">
    <w:name w:val="Zawartość tabeli 10"/>
    <w:basedOn w:val="Zawartotabeli"/>
    <w:link w:val="Zawartotabeli10Znak"/>
    <w:uiPriority w:val="4"/>
    <w:qFormat/>
    <w:rsid w:val="00C755B9"/>
    <w:rPr>
      <w:szCs w:val="20"/>
    </w:rPr>
  </w:style>
  <w:style w:type="character" w:customStyle="1" w:styleId="ZawartotabeliZnak">
    <w:name w:val="Zawartość tabeli Znak"/>
    <w:link w:val="Zawartotabeli"/>
    <w:rsid w:val="00E52565"/>
    <w:rPr>
      <w:rFonts w:ascii="Times New Roman" w:hAnsi="Times New Roman"/>
      <w:sz w:val="18"/>
      <w:lang w:val="pl-PL" w:eastAsia="pl-PL"/>
    </w:rPr>
  </w:style>
  <w:style w:type="character" w:customStyle="1" w:styleId="Zawartotabeli10Znak">
    <w:name w:val="Zawartość tabeli 10 Znak"/>
    <w:link w:val="Zawartotabeli10"/>
    <w:uiPriority w:val="4"/>
    <w:rsid w:val="00C755B9"/>
    <w:rPr>
      <w:rFonts w:ascii="Times New Roman" w:hAnsi="Times New Roman"/>
      <w:sz w:val="20"/>
      <w:szCs w:val="20"/>
      <w:lang w:val="pl-PL" w:eastAsia="pl-PL"/>
    </w:rPr>
  </w:style>
  <w:style w:type="character" w:customStyle="1" w:styleId="Maszynowy">
    <w:name w:val="Maszynowy"/>
    <w:uiPriority w:val="5"/>
    <w:qFormat/>
    <w:rsid w:val="00182B95"/>
    <w:rPr>
      <w:rFonts w:ascii="Courier New" w:hAnsi="Courier New" w:cs="Courier New"/>
    </w:rPr>
  </w:style>
  <w:style w:type="paragraph" w:styleId="Tekstpodstawowy">
    <w:name w:val="Body Text"/>
    <w:basedOn w:val="Normalny"/>
    <w:link w:val="TekstpodstawowyZnak"/>
    <w:rsid w:val="00645CAE"/>
    <w:pPr>
      <w:widowControl w:val="0"/>
      <w:suppressAutoHyphens/>
    </w:pPr>
    <w:rPr>
      <w:rFonts w:eastAsia="SimSun"/>
      <w:kern w:val="1"/>
      <w:szCs w:val="24"/>
      <w:lang w:eastAsia="hi-IN" w:bidi="hi-IN"/>
    </w:rPr>
  </w:style>
  <w:style w:type="character" w:customStyle="1" w:styleId="TekstpodstawowyZnak">
    <w:name w:val="Tekst podstawowy Znak"/>
    <w:link w:val="Tekstpodstawowy"/>
    <w:rsid w:val="00645CAE"/>
    <w:rPr>
      <w:rFonts w:ascii="Times New Roman" w:eastAsia="SimSun" w:hAnsi="Times New Roman" w:cs="Times New Roman"/>
      <w:kern w:val="1"/>
      <w:sz w:val="24"/>
      <w:szCs w:val="24"/>
      <w:lang w:val="pl-PL" w:eastAsia="hi-IN" w:bidi="hi-IN"/>
    </w:rPr>
  </w:style>
  <w:style w:type="character" w:customStyle="1" w:styleId="KodwRredZnak">
    <w:name w:val="Kod w R red Znak"/>
    <w:link w:val="KodwRred"/>
    <w:uiPriority w:val="4"/>
    <w:rsid w:val="006C5A3D"/>
    <w:rPr>
      <w:rFonts w:ascii="Courier New" w:hAnsi="Courier New"/>
      <w:color w:val="FF0000"/>
      <w:sz w:val="20"/>
      <w:shd w:val="pct15" w:color="auto" w:fill="auto"/>
      <w:lang w:val="pl-PL"/>
    </w:rPr>
  </w:style>
  <w:style w:type="character" w:customStyle="1" w:styleId="KodwRblueZnak">
    <w:name w:val="Kod w R blue Znak"/>
    <w:link w:val="KodwRblue"/>
    <w:uiPriority w:val="4"/>
    <w:rsid w:val="006C5A3D"/>
    <w:rPr>
      <w:rFonts w:ascii="Courier New" w:hAnsi="Courier New"/>
      <w:color w:val="14415C"/>
      <w:sz w:val="20"/>
      <w:shd w:val="pct15" w:color="auto" w:fill="auto"/>
      <w:lang w:val="pl-PL"/>
    </w:rPr>
  </w:style>
  <w:style w:type="paragraph" w:customStyle="1" w:styleId="KodwRblack">
    <w:name w:val="Kod w R black"/>
    <w:basedOn w:val="KodwRred"/>
    <w:link w:val="KodwRblackZnak"/>
    <w:uiPriority w:val="4"/>
    <w:qFormat/>
    <w:rsid w:val="0064553C"/>
    <w:rPr>
      <w:color w:val="000000"/>
    </w:rPr>
  </w:style>
  <w:style w:type="character" w:customStyle="1" w:styleId="KodwRblackZnak">
    <w:name w:val="Kod w R black Znak"/>
    <w:link w:val="KodwRblack"/>
    <w:uiPriority w:val="4"/>
    <w:rsid w:val="0064553C"/>
    <w:rPr>
      <w:rFonts w:ascii="Courier New" w:hAnsi="Courier New"/>
      <w:color w:val="000000"/>
      <w:sz w:val="20"/>
      <w:shd w:val="pct15" w:color="auto" w:fill="auto"/>
      <w:lang w:val="pl-PL"/>
    </w:rPr>
  </w:style>
  <w:style w:type="paragraph" w:customStyle="1" w:styleId="Centered">
    <w:name w:val="Centered"/>
    <w:basedOn w:val="Normalny"/>
    <w:link w:val="CenteredZnak"/>
    <w:uiPriority w:val="12"/>
    <w:qFormat/>
    <w:rsid w:val="00DC2E79"/>
    <w:pPr>
      <w:jc w:val="center"/>
    </w:pPr>
  </w:style>
  <w:style w:type="character" w:customStyle="1" w:styleId="CenteredZnak">
    <w:name w:val="Centered Znak"/>
    <w:link w:val="Centered"/>
    <w:uiPriority w:val="12"/>
    <w:rsid w:val="00DC2E79"/>
    <w:rPr>
      <w:rFonts w:ascii="Times New Roman" w:hAnsi="Times New Roman"/>
      <w:sz w:val="24"/>
      <w:lang w:val="pl-PL"/>
    </w:rPr>
  </w:style>
  <w:style w:type="paragraph" w:customStyle="1" w:styleId="NormalBI">
    <w:name w:val="NormalBI"/>
    <w:basedOn w:val="Normalny"/>
    <w:uiPriority w:val="12"/>
    <w:qFormat/>
    <w:rsid w:val="004F3701"/>
    <w:rPr>
      <w:b/>
      <w:bCs/>
      <w:i/>
      <w:iCs/>
    </w:rPr>
  </w:style>
  <w:style w:type="paragraph" w:styleId="Tekstprzypisudolnego">
    <w:name w:val="footnote text"/>
    <w:basedOn w:val="Normalny"/>
    <w:link w:val="TekstprzypisudolnegoZnak"/>
    <w:uiPriority w:val="99"/>
    <w:semiHidden/>
    <w:unhideWhenUsed/>
    <w:rsid w:val="0044042E"/>
    <w:pPr>
      <w:spacing w:after="0"/>
    </w:pPr>
    <w:rPr>
      <w:sz w:val="20"/>
      <w:szCs w:val="20"/>
    </w:rPr>
  </w:style>
  <w:style w:type="character" w:customStyle="1" w:styleId="TekstprzypisudolnegoZnak">
    <w:name w:val="Tekst przypisu dolnego Znak"/>
    <w:link w:val="Tekstprzypisudolnego"/>
    <w:uiPriority w:val="99"/>
    <w:semiHidden/>
    <w:rsid w:val="0044042E"/>
    <w:rPr>
      <w:rFonts w:ascii="Times New Roman" w:hAnsi="Times New Roman"/>
      <w:sz w:val="20"/>
      <w:szCs w:val="20"/>
      <w:lang w:val="pl-PL"/>
    </w:rPr>
  </w:style>
  <w:style w:type="character" w:styleId="Odwoanieprzypisudolnego">
    <w:name w:val="footnote reference"/>
    <w:uiPriority w:val="99"/>
    <w:semiHidden/>
    <w:unhideWhenUsed/>
    <w:rsid w:val="0044042E"/>
    <w:rPr>
      <w:vertAlign w:val="superscript"/>
    </w:rPr>
  </w:style>
  <w:style w:type="character" w:styleId="Hipercze">
    <w:name w:val="Hyperlink"/>
    <w:uiPriority w:val="99"/>
    <w:unhideWhenUsed/>
    <w:rsid w:val="00DE4FDE"/>
    <w:rPr>
      <w:color w:val="6B9F25"/>
      <w:u w:val="single"/>
    </w:rPr>
  </w:style>
  <w:style w:type="character" w:customStyle="1" w:styleId="Nierozpoznanawzmianka1">
    <w:name w:val="Nierozpoznana wzmianka1"/>
    <w:uiPriority w:val="99"/>
    <w:semiHidden/>
    <w:unhideWhenUsed/>
    <w:rsid w:val="00DE4FDE"/>
    <w:rPr>
      <w:color w:val="605E5C"/>
      <w:shd w:val="clear" w:color="auto" w:fill="E1DFDD"/>
    </w:rPr>
  </w:style>
  <w:style w:type="paragraph" w:customStyle="1" w:styleId="Normalny1">
    <w:name w:val="Normalny1"/>
    <w:rsid w:val="0079739E"/>
    <w:pPr>
      <w:spacing w:before="100" w:beforeAutospacing="1" w:after="100" w:afterAutospacing="1"/>
      <w:jc w:val="both"/>
    </w:pPr>
    <w:rPr>
      <w:rFonts w:ascii="Times New Roman" w:hAnsi="Times New Roman"/>
      <w:sz w:val="24"/>
      <w:szCs w:val="24"/>
    </w:rPr>
  </w:style>
  <w:style w:type="table" w:customStyle="1" w:styleId="TableNormal">
    <w:name w:val="Table Normal"/>
    <w:semiHidden/>
    <w:rsid w:val="0079739E"/>
    <w:rPr>
      <w:rFonts w:ascii="Times New Roman" w:hAnsi="Times New Roman"/>
    </w:rPr>
    <w:tblPr>
      <w:tblCellMar>
        <w:top w:w="0" w:type="dxa"/>
        <w:left w:w="0" w:type="dxa"/>
        <w:bottom w:w="0" w:type="dxa"/>
        <w:right w:w="0" w:type="dxa"/>
      </w:tblCellMar>
    </w:tblPr>
  </w:style>
  <w:style w:type="paragraph" w:styleId="NormalnyWeb">
    <w:name w:val="Normal (Web)"/>
    <w:basedOn w:val="Normalny"/>
    <w:uiPriority w:val="99"/>
    <w:semiHidden/>
    <w:unhideWhenUsed/>
    <w:rsid w:val="00BC721A"/>
    <w:pPr>
      <w:spacing w:before="100" w:beforeAutospacing="1" w:after="100" w:afterAutospacing="1"/>
      <w:jc w:val="left"/>
    </w:pPr>
    <w:rPr>
      <w:szCs w:val="24"/>
      <w:lang w:eastAsia="pl-PL"/>
    </w:rPr>
  </w:style>
  <w:style w:type="paragraph" w:styleId="Bibliografia">
    <w:name w:val="Bibliography"/>
    <w:basedOn w:val="Normalny"/>
    <w:next w:val="Normalny"/>
    <w:uiPriority w:val="37"/>
    <w:unhideWhenUsed/>
    <w:rsid w:val="003059D2"/>
    <w:pPr>
      <w:tabs>
        <w:tab w:val="left" w:pos="624"/>
      </w:tabs>
      <w:spacing w:after="240"/>
      <w:ind w:left="624" w:hanging="624"/>
    </w:pPr>
  </w:style>
  <w:style w:type="character" w:styleId="Odwoaniedokomentarza">
    <w:name w:val="annotation reference"/>
    <w:uiPriority w:val="99"/>
    <w:semiHidden/>
    <w:unhideWhenUsed/>
    <w:rsid w:val="00201E1E"/>
    <w:rPr>
      <w:sz w:val="16"/>
      <w:szCs w:val="16"/>
    </w:rPr>
  </w:style>
  <w:style w:type="paragraph" w:styleId="Tekstkomentarza">
    <w:name w:val="annotation text"/>
    <w:basedOn w:val="Normalny"/>
    <w:link w:val="TekstkomentarzaZnak"/>
    <w:uiPriority w:val="99"/>
    <w:semiHidden/>
    <w:unhideWhenUsed/>
    <w:rsid w:val="00201E1E"/>
    <w:rPr>
      <w:sz w:val="20"/>
      <w:szCs w:val="20"/>
    </w:rPr>
  </w:style>
  <w:style w:type="character" w:customStyle="1" w:styleId="TekstkomentarzaZnak">
    <w:name w:val="Tekst komentarza Znak"/>
    <w:link w:val="Tekstkomentarza"/>
    <w:uiPriority w:val="99"/>
    <w:semiHidden/>
    <w:rsid w:val="00201E1E"/>
    <w:rPr>
      <w:rFonts w:ascii="Times New Roman" w:hAnsi="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201E1E"/>
    <w:rPr>
      <w:b/>
      <w:bCs/>
    </w:rPr>
  </w:style>
  <w:style w:type="character" w:customStyle="1" w:styleId="TematkomentarzaZnak">
    <w:name w:val="Temat komentarza Znak"/>
    <w:link w:val="Tematkomentarza"/>
    <w:uiPriority w:val="99"/>
    <w:semiHidden/>
    <w:rsid w:val="00201E1E"/>
    <w:rPr>
      <w:rFonts w:ascii="Times New Roman" w:hAnsi="Times New Roman"/>
      <w:b/>
      <w:bCs/>
      <w:sz w:val="20"/>
      <w:szCs w:val="20"/>
      <w:lang w:val="pl-PL"/>
    </w:rPr>
  </w:style>
  <w:style w:type="paragraph" w:styleId="Tekstdymka">
    <w:name w:val="Balloon Text"/>
    <w:basedOn w:val="Normalny"/>
    <w:link w:val="TekstdymkaZnak"/>
    <w:uiPriority w:val="99"/>
    <w:semiHidden/>
    <w:unhideWhenUsed/>
    <w:rsid w:val="00201E1E"/>
    <w:pPr>
      <w:spacing w:after="0"/>
    </w:pPr>
    <w:rPr>
      <w:rFonts w:ascii="Segoe UI" w:hAnsi="Segoe UI" w:cs="Segoe UI"/>
      <w:sz w:val="18"/>
      <w:szCs w:val="18"/>
    </w:rPr>
  </w:style>
  <w:style w:type="character" w:customStyle="1" w:styleId="TekstdymkaZnak">
    <w:name w:val="Tekst dymka Znak"/>
    <w:link w:val="Tekstdymka"/>
    <w:uiPriority w:val="99"/>
    <w:semiHidden/>
    <w:rsid w:val="00201E1E"/>
    <w:rPr>
      <w:rFonts w:ascii="Segoe UI" w:hAnsi="Segoe UI" w:cs="Segoe UI"/>
      <w:sz w:val="18"/>
      <w:szCs w:val="18"/>
      <w:lang w:val="pl-PL"/>
    </w:rPr>
  </w:style>
  <w:style w:type="table" w:customStyle="1" w:styleId="Tabela-Siatka1">
    <w:name w:val="Tabela - Siatka1"/>
    <w:basedOn w:val="Standardowy"/>
    <w:next w:val="Tabela-Siatka"/>
    <w:uiPriority w:val="39"/>
    <w:rsid w:val="004272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wiersza">
    <w:name w:val="line number"/>
    <w:basedOn w:val="Domylnaczcionkaakapitu"/>
    <w:uiPriority w:val="99"/>
    <w:semiHidden/>
    <w:unhideWhenUsed/>
    <w:rsid w:val="00EC4A4F"/>
  </w:style>
  <w:style w:type="paragraph" w:styleId="Poprawka">
    <w:name w:val="Revision"/>
    <w:hidden/>
    <w:uiPriority w:val="99"/>
    <w:semiHidden/>
    <w:rsid w:val="00357281"/>
    <w:rPr>
      <w:rFonts w:ascii="Times New Roman" w:hAnsi="Times New Roman"/>
      <w:sz w:val="24"/>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4783">
      <w:bodyDiv w:val="1"/>
      <w:marLeft w:val="0"/>
      <w:marRight w:val="0"/>
      <w:marTop w:val="0"/>
      <w:marBottom w:val="0"/>
      <w:divBdr>
        <w:top w:val="none" w:sz="0" w:space="0" w:color="auto"/>
        <w:left w:val="none" w:sz="0" w:space="0" w:color="auto"/>
        <w:bottom w:val="none" w:sz="0" w:space="0" w:color="auto"/>
        <w:right w:val="none" w:sz="0" w:space="0" w:color="auto"/>
      </w:divBdr>
    </w:div>
    <w:div w:id="8145571">
      <w:bodyDiv w:val="1"/>
      <w:marLeft w:val="0"/>
      <w:marRight w:val="0"/>
      <w:marTop w:val="0"/>
      <w:marBottom w:val="0"/>
      <w:divBdr>
        <w:top w:val="none" w:sz="0" w:space="0" w:color="auto"/>
        <w:left w:val="none" w:sz="0" w:space="0" w:color="auto"/>
        <w:bottom w:val="none" w:sz="0" w:space="0" w:color="auto"/>
        <w:right w:val="none" w:sz="0" w:space="0" w:color="auto"/>
      </w:divBdr>
    </w:div>
    <w:div w:id="21252692">
      <w:bodyDiv w:val="1"/>
      <w:marLeft w:val="0"/>
      <w:marRight w:val="0"/>
      <w:marTop w:val="0"/>
      <w:marBottom w:val="0"/>
      <w:divBdr>
        <w:top w:val="none" w:sz="0" w:space="0" w:color="auto"/>
        <w:left w:val="none" w:sz="0" w:space="0" w:color="auto"/>
        <w:bottom w:val="none" w:sz="0" w:space="0" w:color="auto"/>
        <w:right w:val="none" w:sz="0" w:space="0" w:color="auto"/>
      </w:divBdr>
    </w:div>
    <w:div w:id="129520970">
      <w:bodyDiv w:val="1"/>
      <w:marLeft w:val="0"/>
      <w:marRight w:val="0"/>
      <w:marTop w:val="0"/>
      <w:marBottom w:val="0"/>
      <w:divBdr>
        <w:top w:val="none" w:sz="0" w:space="0" w:color="auto"/>
        <w:left w:val="none" w:sz="0" w:space="0" w:color="auto"/>
        <w:bottom w:val="none" w:sz="0" w:space="0" w:color="auto"/>
        <w:right w:val="none" w:sz="0" w:space="0" w:color="auto"/>
      </w:divBdr>
    </w:div>
    <w:div w:id="138112628">
      <w:bodyDiv w:val="1"/>
      <w:marLeft w:val="0"/>
      <w:marRight w:val="0"/>
      <w:marTop w:val="0"/>
      <w:marBottom w:val="0"/>
      <w:divBdr>
        <w:top w:val="none" w:sz="0" w:space="0" w:color="auto"/>
        <w:left w:val="none" w:sz="0" w:space="0" w:color="auto"/>
        <w:bottom w:val="none" w:sz="0" w:space="0" w:color="auto"/>
        <w:right w:val="none" w:sz="0" w:space="0" w:color="auto"/>
      </w:divBdr>
    </w:div>
    <w:div w:id="140923332">
      <w:bodyDiv w:val="1"/>
      <w:marLeft w:val="0"/>
      <w:marRight w:val="0"/>
      <w:marTop w:val="0"/>
      <w:marBottom w:val="0"/>
      <w:divBdr>
        <w:top w:val="none" w:sz="0" w:space="0" w:color="auto"/>
        <w:left w:val="none" w:sz="0" w:space="0" w:color="auto"/>
        <w:bottom w:val="none" w:sz="0" w:space="0" w:color="auto"/>
        <w:right w:val="none" w:sz="0" w:space="0" w:color="auto"/>
      </w:divBdr>
    </w:div>
    <w:div w:id="148906352">
      <w:bodyDiv w:val="1"/>
      <w:marLeft w:val="0"/>
      <w:marRight w:val="0"/>
      <w:marTop w:val="0"/>
      <w:marBottom w:val="0"/>
      <w:divBdr>
        <w:top w:val="none" w:sz="0" w:space="0" w:color="auto"/>
        <w:left w:val="none" w:sz="0" w:space="0" w:color="auto"/>
        <w:bottom w:val="none" w:sz="0" w:space="0" w:color="auto"/>
        <w:right w:val="none" w:sz="0" w:space="0" w:color="auto"/>
      </w:divBdr>
    </w:div>
    <w:div w:id="174348922">
      <w:bodyDiv w:val="1"/>
      <w:marLeft w:val="0"/>
      <w:marRight w:val="0"/>
      <w:marTop w:val="0"/>
      <w:marBottom w:val="0"/>
      <w:divBdr>
        <w:top w:val="none" w:sz="0" w:space="0" w:color="auto"/>
        <w:left w:val="none" w:sz="0" w:space="0" w:color="auto"/>
        <w:bottom w:val="none" w:sz="0" w:space="0" w:color="auto"/>
        <w:right w:val="none" w:sz="0" w:space="0" w:color="auto"/>
      </w:divBdr>
    </w:div>
    <w:div w:id="181554287">
      <w:bodyDiv w:val="1"/>
      <w:marLeft w:val="0"/>
      <w:marRight w:val="0"/>
      <w:marTop w:val="0"/>
      <w:marBottom w:val="0"/>
      <w:divBdr>
        <w:top w:val="none" w:sz="0" w:space="0" w:color="auto"/>
        <w:left w:val="none" w:sz="0" w:space="0" w:color="auto"/>
        <w:bottom w:val="none" w:sz="0" w:space="0" w:color="auto"/>
        <w:right w:val="none" w:sz="0" w:space="0" w:color="auto"/>
      </w:divBdr>
    </w:div>
    <w:div w:id="199632531">
      <w:bodyDiv w:val="1"/>
      <w:marLeft w:val="0"/>
      <w:marRight w:val="0"/>
      <w:marTop w:val="0"/>
      <w:marBottom w:val="0"/>
      <w:divBdr>
        <w:top w:val="none" w:sz="0" w:space="0" w:color="auto"/>
        <w:left w:val="none" w:sz="0" w:space="0" w:color="auto"/>
        <w:bottom w:val="none" w:sz="0" w:space="0" w:color="auto"/>
        <w:right w:val="none" w:sz="0" w:space="0" w:color="auto"/>
      </w:divBdr>
    </w:div>
    <w:div w:id="202715647">
      <w:bodyDiv w:val="1"/>
      <w:marLeft w:val="0"/>
      <w:marRight w:val="0"/>
      <w:marTop w:val="0"/>
      <w:marBottom w:val="0"/>
      <w:divBdr>
        <w:top w:val="none" w:sz="0" w:space="0" w:color="auto"/>
        <w:left w:val="none" w:sz="0" w:space="0" w:color="auto"/>
        <w:bottom w:val="none" w:sz="0" w:space="0" w:color="auto"/>
        <w:right w:val="none" w:sz="0" w:space="0" w:color="auto"/>
      </w:divBdr>
    </w:div>
    <w:div w:id="220333639">
      <w:bodyDiv w:val="1"/>
      <w:marLeft w:val="0"/>
      <w:marRight w:val="0"/>
      <w:marTop w:val="0"/>
      <w:marBottom w:val="0"/>
      <w:divBdr>
        <w:top w:val="none" w:sz="0" w:space="0" w:color="auto"/>
        <w:left w:val="none" w:sz="0" w:space="0" w:color="auto"/>
        <w:bottom w:val="none" w:sz="0" w:space="0" w:color="auto"/>
        <w:right w:val="none" w:sz="0" w:space="0" w:color="auto"/>
      </w:divBdr>
    </w:div>
    <w:div w:id="229266417">
      <w:bodyDiv w:val="1"/>
      <w:marLeft w:val="0"/>
      <w:marRight w:val="0"/>
      <w:marTop w:val="0"/>
      <w:marBottom w:val="0"/>
      <w:divBdr>
        <w:top w:val="none" w:sz="0" w:space="0" w:color="auto"/>
        <w:left w:val="none" w:sz="0" w:space="0" w:color="auto"/>
        <w:bottom w:val="none" w:sz="0" w:space="0" w:color="auto"/>
        <w:right w:val="none" w:sz="0" w:space="0" w:color="auto"/>
      </w:divBdr>
    </w:div>
    <w:div w:id="231938703">
      <w:bodyDiv w:val="1"/>
      <w:marLeft w:val="0"/>
      <w:marRight w:val="0"/>
      <w:marTop w:val="0"/>
      <w:marBottom w:val="0"/>
      <w:divBdr>
        <w:top w:val="none" w:sz="0" w:space="0" w:color="auto"/>
        <w:left w:val="none" w:sz="0" w:space="0" w:color="auto"/>
        <w:bottom w:val="none" w:sz="0" w:space="0" w:color="auto"/>
        <w:right w:val="none" w:sz="0" w:space="0" w:color="auto"/>
      </w:divBdr>
    </w:div>
    <w:div w:id="235240033">
      <w:bodyDiv w:val="1"/>
      <w:marLeft w:val="0"/>
      <w:marRight w:val="0"/>
      <w:marTop w:val="0"/>
      <w:marBottom w:val="0"/>
      <w:divBdr>
        <w:top w:val="none" w:sz="0" w:space="0" w:color="auto"/>
        <w:left w:val="none" w:sz="0" w:space="0" w:color="auto"/>
        <w:bottom w:val="none" w:sz="0" w:space="0" w:color="auto"/>
        <w:right w:val="none" w:sz="0" w:space="0" w:color="auto"/>
      </w:divBdr>
    </w:div>
    <w:div w:id="298464404">
      <w:bodyDiv w:val="1"/>
      <w:marLeft w:val="0"/>
      <w:marRight w:val="0"/>
      <w:marTop w:val="0"/>
      <w:marBottom w:val="0"/>
      <w:divBdr>
        <w:top w:val="none" w:sz="0" w:space="0" w:color="auto"/>
        <w:left w:val="none" w:sz="0" w:space="0" w:color="auto"/>
        <w:bottom w:val="none" w:sz="0" w:space="0" w:color="auto"/>
        <w:right w:val="none" w:sz="0" w:space="0" w:color="auto"/>
      </w:divBdr>
    </w:div>
    <w:div w:id="305595504">
      <w:bodyDiv w:val="1"/>
      <w:marLeft w:val="0"/>
      <w:marRight w:val="0"/>
      <w:marTop w:val="0"/>
      <w:marBottom w:val="0"/>
      <w:divBdr>
        <w:top w:val="none" w:sz="0" w:space="0" w:color="auto"/>
        <w:left w:val="none" w:sz="0" w:space="0" w:color="auto"/>
        <w:bottom w:val="none" w:sz="0" w:space="0" w:color="auto"/>
        <w:right w:val="none" w:sz="0" w:space="0" w:color="auto"/>
      </w:divBdr>
    </w:div>
    <w:div w:id="315499624">
      <w:bodyDiv w:val="1"/>
      <w:marLeft w:val="0"/>
      <w:marRight w:val="0"/>
      <w:marTop w:val="0"/>
      <w:marBottom w:val="0"/>
      <w:divBdr>
        <w:top w:val="none" w:sz="0" w:space="0" w:color="auto"/>
        <w:left w:val="none" w:sz="0" w:space="0" w:color="auto"/>
        <w:bottom w:val="none" w:sz="0" w:space="0" w:color="auto"/>
        <w:right w:val="none" w:sz="0" w:space="0" w:color="auto"/>
      </w:divBdr>
    </w:div>
    <w:div w:id="369914450">
      <w:bodyDiv w:val="1"/>
      <w:marLeft w:val="0"/>
      <w:marRight w:val="0"/>
      <w:marTop w:val="0"/>
      <w:marBottom w:val="0"/>
      <w:divBdr>
        <w:top w:val="none" w:sz="0" w:space="0" w:color="auto"/>
        <w:left w:val="none" w:sz="0" w:space="0" w:color="auto"/>
        <w:bottom w:val="none" w:sz="0" w:space="0" w:color="auto"/>
        <w:right w:val="none" w:sz="0" w:space="0" w:color="auto"/>
      </w:divBdr>
      <w:divsChild>
        <w:div w:id="1330717035">
          <w:marLeft w:val="0"/>
          <w:marRight w:val="0"/>
          <w:marTop w:val="0"/>
          <w:marBottom w:val="0"/>
          <w:divBdr>
            <w:top w:val="none" w:sz="0" w:space="0" w:color="auto"/>
            <w:left w:val="none" w:sz="0" w:space="0" w:color="auto"/>
            <w:bottom w:val="none" w:sz="0" w:space="0" w:color="auto"/>
            <w:right w:val="none" w:sz="0" w:space="0" w:color="auto"/>
          </w:divBdr>
          <w:divsChild>
            <w:div w:id="175846939">
              <w:marLeft w:val="0"/>
              <w:marRight w:val="0"/>
              <w:marTop w:val="0"/>
              <w:marBottom w:val="0"/>
              <w:divBdr>
                <w:top w:val="none" w:sz="0" w:space="0" w:color="auto"/>
                <w:left w:val="none" w:sz="0" w:space="0" w:color="auto"/>
                <w:bottom w:val="none" w:sz="0" w:space="0" w:color="auto"/>
                <w:right w:val="none" w:sz="0" w:space="0" w:color="auto"/>
              </w:divBdr>
              <w:divsChild>
                <w:div w:id="1848514562">
                  <w:marLeft w:val="0"/>
                  <w:marRight w:val="0"/>
                  <w:marTop w:val="0"/>
                  <w:marBottom w:val="0"/>
                  <w:divBdr>
                    <w:top w:val="none" w:sz="0" w:space="0" w:color="auto"/>
                    <w:left w:val="none" w:sz="0" w:space="0" w:color="auto"/>
                    <w:bottom w:val="none" w:sz="0" w:space="0" w:color="auto"/>
                    <w:right w:val="none" w:sz="0" w:space="0" w:color="auto"/>
                  </w:divBdr>
                  <w:divsChild>
                    <w:div w:id="129895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080054">
      <w:bodyDiv w:val="1"/>
      <w:marLeft w:val="0"/>
      <w:marRight w:val="0"/>
      <w:marTop w:val="0"/>
      <w:marBottom w:val="0"/>
      <w:divBdr>
        <w:top w:val="none" w:sz="0" w:space="0" w:color="auto"/>
        <w:left w:val="none" w:sz="0" w:space="0" w:color="auto"/>
        <w:bottom w:val="none" w:sz="0" w:space="0" w:color="auto"/>
        <w:right w:val="none" w:sz="0" w:space="0" w:color="auto"/>
      </w:divBdr>
      <w:divsChild>
        <w:div w:id="1161894524">
          <w:marLeft w:val="0"/>
          <w:marRight w:val="0"/>
          <w:marTop w:val="0"/>
          <w:marBottom w:val="0"/>
          <w:divBdr>
            <w:top w:val="none" w:sz="0" w:space="0" w:color="auto"/>
            <w:left w:val="none" w:sz="0" w:space="0" w:color="auto"/>
            <w:bottom w:val="none" w:sz="0" w:space="0" w:color="auto"/>
            <w:right w:val="none" w:sz="0" w:space="0" w:color="auto"/>
          </w:divBdr>
          <w:divsChild>
            <w:div w:id="364329983">
              <w:marLeft w:val="0"/>
              <w:marRight w:val="0"/>
              <w:marTop w:val="0"/>
              <w:marBottom w:val="0"/>
              <w:divBdr>
                <w:top w:val="none" w:sz="0" w:space="0" w:color="auto"/>
                <w:left w:val="none" w:sz="0" w:space="0" w:color="auto"/>
                <w:bottom w:val="none" w:sz="0" w:space="0" w:color="auto"/>
                <w:right w:val="none" w:sz="0" w:space="0" w:color="auto"/>
              </w:divBdr>
              <w:divsChild>
                <w:div w:id="177743031">
                  <w:marLeft w:val="0"/>
                  <w:marRight w:val="0"/>
                  <w:marTop w:val="0"/>
                  <w:marBottom w:val="0"/>
                  <w:divBdr>
                    <w:top w:val="none" w:sz="0" w:space="0" w:color="auto"/>
                    <w:left w:val="none" w:sz="0" w:space="0" w:color="auto"/>
                    <w:bottom w:val="none" w:sz="0" w:space="0" w:color="auto"/>
                    <w:right w:val="none" w:sz="0" w:space="0" w:color="auto"/>
                  </w:divBdr>
                  <w:divsChild>
                    <w:div w:id="909777542">
                      <w:marLeft w:val="0"/>
                      <w:marRight w:val="0"/>
                      <w:marTop w:val="0"/>
                      <w:marBottom w:val="0"/>
                      <w:divBdr>
                        <w:top w:val="none" w:sz="0" w:space="0" w:color="auto"/>
                        <w:left w:val="none" w:sz="0" w:space="0" w:color="auto"/>
                        <w:bottom w:val="none" w:sz="0" w:space="0" w:color="auto"/>
                        <w:right w:val="none" w:sz="0" w:space="0" w:color="auto"/>
                      </w:divBdr>
                      <w:divsChild>
                        <w:div w:id="1418558067">
                          <w:marLeft w:val="0"/>
                          <w:marRight w:val="0"/>
                          <w:marTop w:val="0"/>
                          <w:marBottom w:val="0"/>
                          <w:divBdr>
                            <w:top w:val="none" w:sz="0" w:space="0" w:color="auto"/>
                            <w:left w:val="none" w:sz="0" w:space="0" w:color="auto"/>
                            <w:bottom w:val="none" w:sz="0" w:space="0" w:color="auto"/>
                            <w:right w:val="none" w:sz="0" w:space="0" w:color="auto"/>
                          </w:divBdr>
                          <w:divsChild>
                            <w:div w:id="216473124">
                              <w:marLeft w:val="0"/>
                              <w:marRight w:val="0"/>
                              <w:marTop w:val="0"/>
                              <w:marBottom w:val="0"/>
                              <w:divBdr>
                                <w:top w:val="none" w:sz="0" w:space="0" w:color="auto"/>
                                <w:left w:val="none" w:sz="0" w:space="0" w:color="auto"/>
                                <w:bottom w:val="none" w:sz="0" w:space="0" w:color="auto"/>
                                <w:right w:val="none" w:sz="0" w:space="0" w:color="auto"/>
                              </w:divBdr>
                              <w:divsChild>
                                <w:div w:id="260646378">
                                  <w:marLeft w:val="0"/>
                                  <w:marRight w:val="0"/>
                                  <w:marTop w:val="0"/>
                                  <w:marBottom w:val="0"/>
                                  <w:divBdr>
                                    <w:top w:val="none" w:sz="0" w:space="0" w:color="auto"/>
                                    <w:left w:val="none" w:sz="0" w:space="0" w:color="auto"/>
                                    <w:bottom w:val="none" w:sz="0" w:space="0" w:color="auto"/>
                                    <w:right w:val="none" w:sz="0" w:space="0" w:color="auto"/>
                                  </w:divBdr>
                                  <w:divsChild>
                                    <w:div w:id="1634364220">
                                      <w:marLeft w:val="0"/>
                                      <w:marRight w:val="0"/>
                                      <w:marTop w:val="0"/>
                                      <w:marBottom w:val="0"/>
                                      <w:divBdr>
                                        <w:top w:val="none" w:sz="0" w:space="0" w:color="auto"/>
                                        <w:left w:val="none" w:sz="0" w:space="0" w:color="auto"/>
                                        <w:bottom w:val="none" w:sz="0" w:space="0" w:color="auto"/>
                                        <w:right w:val="none" w:sz="0" w:space="0" w:color="auto"/>
                                      </w:divBdr>
                                      <w:divsChild>
                                        <w:div w:id="827214702">
                                          <w:marLeft w:val="0"/>
                                          <w:marRight w:val="0"/>
                                          <w:marTop w:val="0"/>
                                          <w:marBottom w:val="0"/>
                                          <w:divBdr>
                                            <w:top w:val="none" w:sz="0" w:space="0" w:color="auto"/>
                                            <w:left w:val="none" w:sz="0" w:space="0" w:color="auto"/>
                                            <w:bottom w:val="none" w:sz="0" w:space="0" w:color="auto"/>
                                            <w:right w:val="none" w:sz="0" w:space="0" w:color="auto"/>
                                          </w:divBdr>
                                          <w:divsChild>
                                            <w:div w:id="763497537">
                                              <w:marLeft w:val="0"/>
                                              <w:marRight w:val="0"/>
                                              <w:marTop w:val="0"/>
                                              <w:marBottom w:val="0"/>
                                              <w:divBdr>
                                                <w:top w:val="none" w:sz="0" w:space="0" w:color="auto"/>
                                                <w:left w:val="none" w:sz="0" w:space="0" w:color="auto"/>
                                                <w:bottom w:val="none" w:sz="0" w:space="0" w:color="auto"/>
                                                <w:right w:val="none" w:sz="0" w:space="0" w:color="auto"/>
                                              </w:divBdr>
                                              <w:divsChild>
                                                <w:div w:id="490756580">
                                                  <w:marLeft w:val="0"/>
                                                  <w:marRight w:val="0"/>
                                                  <w:marTop w:val="0"/>
                                                  <w:marBottom w:val="0"/>
                                                  <w:divBdr>
                                                    <w:top w:val="none" w:sz="0" w:space="0" w:color="auto"/>
                                                    <w:left w:val="none" w:sz="0" w:space="0" w:color="auto"/>
                                                    <w:bottom w:val="none" w:sz="0" w:space="0" w:color="auto"/>
                                                    <w:right w:val="none" w:sz="0" w:space="0" w:color="auto"/>
                                                  </w:divBdr>
                                                  <w:divsChild>
                                                    <w:div w:id="387652734">
                                                      <w:marLeft w:val="0"/>
                                                      <w:marRight w:val="0"/>
                                                      <w:marTop w:val="0"/>
                                                      <w:marBottom w:val="0"/>
                                                      <w:divBdr>
                                                        <w:top w:val="none" w:sz="0" w:space="0" w:color="auto"/>
                                                        <w:left w:val="none" w:sz="0" w:space="0" w:color="auto"/>
                                                        <w:bottom w:val="none" w:sz="0" w:space="0" w:color="auto"/>
                                                        <w:right w:val="none" w:sz="0" w:space="0" w:color="auto"/>
                                                      </w:divBdr>
                                                      <w:divsChild>
                                                        <w:div w:id="38633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915428">
                                              <w:marLeft w:val="0"/>
                                              <w:marRight w:val="0"/>
                                              <w:marTop w:val="0"/>
                                              <w:marBottom w:val="0"/>
                                              <w:divBdr>
                                                <w:top w:val="none" w:sz="0" w:space="0" w:color="auto"/>
                                                <w:left w:val="none" w:sz="0" w:space="0" w:color="auto"/>
                                                <w:bottom w:val="none" w:sz="0" w:space="0" w:color="auto"/>
                                                <w:right w:val="none" w:sz="0" w:space="0" w:color="auto"/>
                                              </w:divBdr>
                                              <w:divsChild>
                                                <w:div w:id="2101365494">
                                                  <w:marLeft w:val="0"/>
                                                  <w:marRight w:val="0"/>
                                                  <w:marTop w:val="0"/>
                                                  <w:marBottom w:val="0"/>
                                                  <w:divBdr>
                                                    <w:top w:val="none" w:sz="0" w:space="0" w:color="auto"/>
                                                    <w:left w:val="none" w:sz="0" w:space="0" w:color="auto"/>
                                                    <w:bottom w:val="none" w:sz="0" w:space="0" w:color="auto"/>
                                                    <w:right w:val="none" w:sz="0" w:space="0" w:color="auto"/>
                                                  </w:divBdr>
                                                  <w:divsChild>
                                                    <w:div w:id="1625772544">
                                                      <w:marLeft w:val="0"/>
                                                      <w:marRight w:val="0"/>
                                                      <w:marTop w:val="0"/>
                                                      <w:marBottom w:val="0"/>
                                                      <w:divBdr>
                                                        <w:top w:val="none" w:sz="0" w:space="0" w:color="auto"/>
                                                        <w:left w:val="none" w:sz="0" w:space="0" w:color="auto"/>
                                                        <w:bottom w:val="none" w:sz="0" w:space="0" w:color="auto"/>
                                                        <w:right w:val="none" w:sz="0" w:space="0" w:color="auto"/>
                                                      </w:divBdr>
                                                      <w:divsChild>
                                                        <w:div w:id="3773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5374177">
          <w:marLeft w:val="0"/>
          <w:marRight w:val="0"/>
          <w:marTop w:val="0"/>
          <w:marBottom w:val="0"/>
          <w:divBdr>
            <w:top w:val="none" w:sz="0" w:space="0" w:color="auto"/>
            <w:left w:val="none" w:sz="0" w:space="0" w:color="auto"/>
            <w:bottom w:val="none" w:sz="0" w:space="0" w:color="auto"/>
            <w:right w:val="none" w:sz="0" w:space="0" w:color="auto"/>
          </w:divBdr>
          <w:divsChild>
            <w:div w:id="1596939627">
              <w:marLeft w:val="0"/>
              <w:marRight w:val="0"/>
              <w:marTop w:val="0"/>
              <w:marBottom w:val="0"/>
              <w:divBdr>
                <w:top w:val="none" w:sz="0" w:space="0" w:color="auto"/>
                <w:left w:val="none" w:sz="0" w:space="0" w:color="auto"/>
                <w:bottom w:val="none" w:sz="0" w:space="0" w:color="auto"/>
                <w:right w:val="none" w:sz="0" w:space="0" w:color="auto"/>
              </w:divBdr>
              <w:divsChild>
                <w:div w:id="897593950">
                  <w:marLeft w:val="0"/>
                  <w:marRight w:val="0"/>
                  <w:marTop w:val="0"/>
                  <w:marBottom w:val="0"/>
                  <w:divBdr>
                    <w:top w:val="none" w:sz="0" w:space="0" w:color="auto"/>
                    <w:left w:val="none" w:sz="0" w:space="0" w:color="auto"/>
                    <w:bottom w:val="none" w:sz="0" w:space="0" w:color="auto"/>
                    <w:right w:val="none" w:sz="0" w:space="0" w:color="auto"/>
                  </w:divBdr>
                  <w:divsChild>
                    <w:div w:id="98186458">
                      <w:marLeft w:val="0"/>
                      <w:marRight w:val="0"/>
                      <w:marTop w:val="0"/>
                      <w:marBottom w:val="0"/>
                      <w:divBdr>
                        <w:top w:val="none" w:sz="0" w:space="0" w:color="auto"/>
                        <w:left w:val="none" w:sz="0" w:space="0" w:color="auto"/>
                        <w:bottom w:val="none" w:sz="0" w:space="0" w:color="auto"/>
                        <w:right w:val="none" w:sz="0" w:space="0" w:color="auto"/>
                      </w:divBdr>
                      <w:divsChild>
                        <w:div w:id="160506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125284">
                  <w:marLeft w:val="0"/>
                  <w:marRight w:val="0"/>
                  <w:marTop w:val="0"/>
                  <w:marBottom w:val="0"/>
                  <w:divBdr>
                    <w:top w:val="none" w:sz="0" w:space="0" w:color="auto"/>
                    <w:left w:val="none" w:sz="0" w:space="0" w:color="auto"/>
                    <w:bottom w:val="none" w:sz="0" w:space="0" w:color="auto"/>
                    <w:right w:val="none" w:sz="0" w:space="0" w:color="auto"/>
                  </w:divBdr>
                  <w:divsChild>
                    <w:div w:id="776951156">
                      <w:marLeft w:val="0"/>
                      <w:marRight w:val="0"/>
                      <w:marTop w:val="0"/>
                      <w:marBottom w:val="0"/>
                      <w:divBdr>
                        <w:top w:val="none" w:sz="0" w:space="0" w:color="auto"/>
                        <w:left w:val="none" w:sz="0" w:space="0" w:color="auto"/>
                        <w:bottom w:val="none" w:sz="0" w:space="0" w:color="auto"/>
                        <w:right w:val="none" w:sz="0" w:space="0" w:color="auto"/>
                      </w:divBdr>
                      <w:divsChild>
                        <w:div w:id="1559391991">
                          <w:marLeft w:val="0"/>
                          <w:marRight w:val="0"/>
                          <w:marTop w:val="0"/>
                          <w:marBottom w:val="0"/>
                          <w:divBdr>
                            <w:top w:val="none" w:sz="0" w:space="0" w:color="auto"/>
                            <w:left w:val="none" w:sz="0" w:space="0" w:color="auto"/>
                            <w:bottom w:val="none" w:sz="0" w:space="0" w:color="auto"/>
                            <w:right w:val="none" w:sz="0" w:space="0" w:color="auto"/>
                          </w:divBdr>
                          <w:divsChild>
                            <w:div w:id="1304654081">
                              <w:marLeft w:val="0"/>
                              <w:marRight w:val="0"/>
                              <w:marTop w:val="0"/>
                              <w:marBottom w:val="0"/>
                              <w:divBdr>
                                <w:top w:val="none" w:sz="0" w:space="0" w:color="auto"/>
                                <w:left w:val="none" w:sz="0" w:space="0" w:color="auto"/>
                                <w:bottom w:val="none" w:sz="0" w:space="0" w:color="auto"/>
                                <w:right w:val="none" w:sz="0" w:space="0" w:color="auto"/>
                              </w:divBdr>
                              <w:divsChild>
                                <w:div w:id="1101267029">
                                  <w:marLeft w:val="0"/>
                                  <w:marRight w:val="0"/>
                                  <w:marTop w:val="0"/>
                                  <w:marBottom w:val="0"/>
                                  <w:divBdr>
                                    <w:top w:val="none" w:sz="0" w:space="0" w:color="auto"/>
                                    <w:left w:val="none" w:sz="0" w:space="0" w:color="auto"/>
                                    <w:bottom w:val="none" w:sz="0" w:space="0" w:color="auto"/>
                                    <w:right w:val="none" w:sz="0" w:space="0" w:color="auto"/>
                                  </w:divBdr>
                                  <w:divsChild>
                                    <w:div w:id="307591625">
                                      <w:marLeft w:val="0"/>
                                      <w:marRight w:val="0"/>
                                      <w:marTop w:val="0"/>
                                      <w:marBottom w:val="0"/>
                                      <w:divBdr>
                                        <w:top w:val="none" w:sz="0" w:space="0" w:color="auto"/>
                                        <w:left w:val="none" w:sz="0" w:space="0" w:color="auto"/>
                                        <w:bottom w:val="none" w:sz="0" w:space="0" w:color="auto"/>
                                        <w:right w:val="none" w:sz="0" w:space="0" w:color="auto"/>
                                      </w:divBdr>
                                      <w:divsChild>
                                        <w:div w:id="1001662427">
                                          <w:marLeft w:val="0"/>
                                          <w:marRight w:val="0"/>
                                          <w:marTop w:val="0"/>
                                          <w:marBottom w:val="0"/>
                                          <w:divBdr>
                                            <w:top w:val="none" w:sz="0" w:space="0" w:color="auto"/>
                                            <w:left w:val="none" w:sz="0" w:space="0" w:color="auto"/>
                                            <w:bottom w:val="none" w:sz="0" w:space="0" w:color="auto"/>
                                            <w:right w:val="none" w:sz="0" w:space="0" w:color="auto"/>
                                          </w:divBdr>
                                          <w:divsChild>
                                            <w:div w:id="128059067">
                                              <w:marLeft w:val="0"/>
                                              <w:marRight w:val="0"/>
                                              <w:marTop w:val="0"/>
                                              <w:marBottom w:val="0"/>
                                              <w:divBdr>
                                                <w:top w:val="none" w:sz="0" w:space="0" w:color="auto"/>
                                                <w:left w:val="none" w:sz="0" w:space="0" w:color="auto"/>
                                                <w:bottom w:val="none" w:sz="0" w:space="0" w:color="auto"/>
                                                <w:right w:val="none" w:sz="0" w:space="0" w:color="auto"/>
                                              </w:divBdr>
                                              <w:divsChild>
                                                <w:div w:id="47738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4155103">
      <w:bodyDiv w:val="1"/>
      <w:marLeft w:val="0"/>
      <w:marRight w:val="0"/>
      <w:marTop w:val="0"/>
      <w:marBottom w:val="0"/>
      <w:divBdr>
        <w:top w:val="none" w:sz="0" w:space="0" w:color="auto"/>
        <w:left w:val="none" w:sz="0" w:space="0" w:color="auto"/>
        <w:bottom w:val="none" w:sz="0" w:space="0" w:color="auto"/>
        <w:right w:val="none" w:sz="0" w:space="0" w:color="auto"/>
      </w:divBdr>
    </w:div>
    <w:div w:id="484593905">
      <w:bodyDiv w:val="1"/>
      <w:marLeft w:val="0"/>
      <w:marRight w:val="0"/>
      <w:marTop w:val="0"/>
      <w:marBottom w:val="0"/>
      <w:divBdr>
        <w:top w:val="none" w:sz="0" w:space="0" w:color="auto"/>
        <w:left w:val="none" w:sz="0" w:space="0" w:color="auto"/>
        <w:bottom w:val="none" w:sz="0" w:space="0" w:color="auto"/>
        <w:right w:val="none" w:sz="0" w:space="0" w:color="auto"/>
      </w:divBdr>
    </w:div>
    <w:div w:id="520320890">
      <w:bodyDiv w:val="1"/>
      <w:marLeft w:val="0"/>
      <w:marRight w:val="0"/>
      <w:marTop w:val="0"/>
      <w:marBottom w:val="0"/>
      <w:divBdr>
        <w:top w:val="none" w:sz="0" w:space="0" w:color="auto"/>
        <w:left w:val="none" w:sz="0" w:space="0" w:color="auto"/>
        <w:bottom w:val="none" w:sz="0" w:space="0" w:color="auto"/>
        <w:right w:val="none" w:sz="0" w:space="0" w:color="auto"/>
      </w:divBdr>
    </w:div>
    <w:div w:id="528615137">
      <w:bodyDiv w:val="1"/>
      <w:marLeft w:val="0"/>
      <w:marRight w:val="0"/>
      <w:marTop w:val="0"/>
      <w:marBottom w:val="0"/>
      <w:divBdr>
        <w:top w:val="none" w:sz="0" w:space="0" w:color="auto"/>
        <w:left w:val="none" w:sz="0" w:space="0" w:color="auto"/>
        <w:bottom w:val="none" w:sz="0" w:space="0" w:color="auto"/>
        <w:right w:val="none" w:sz="0" w:space="0" w:color="auto"/>
      </w:divBdr>
    </w:div>
    <w:div w:id="541524184">
      <w:bodyDiv w:val="1"/>
      <w:marLeft w:val="0"/>
      <w:marRight w:val="0"/>
      <w:marTop w:val="0"/>
      <w:marBottom w:val="0"/>
      <w:divBdr>
        <w:top w:val="none" w:sz="0" w:space="0" w:color="auto"/>
        <w:left w:val="none" w:sz="0" w:space="0" w:color="auto"/>
        <w:bottom w:val="none" w:sz="0" w:space="0" w:color="auto"/>
        <w:right w:val="none" w:sz="0" w:space="0" w:color="auto"/>
      </w:divBdr>
    </w:div>
    <w:div w:id="543442263">
      <w:bodyDiv w:val="1"/>
      <w:marLeft w:val="0"/>
      <w:marRight w:val="0"/>
      <w:marTop w:val="0"/>
      <w:marBottom w:val="0"/>
      <w:divBdr>
        <w:top w:val="none" w:sz="0" w:space="0" w:color="auto"/>
        <w:left w:val="none" w:sz="0" w:space="0" w:color="auto"/>
        <w:bottom w:val="none" w:sz="0" w:space="0" w:color="auto"/>
        <w:right w:val="none" w:sz="0" w:space="0" w:color="auto"/>
      </w:divBdr>
      <w:divsChild>
        <w:div w:id="475418550">
          <w:marLeft w:val="0"/>
          <w:marRight w:val="0"/>
          <w:marTop w:val="0"/>
          <w:marBottom w:val="0"/>
          <w:divBdr>
            <w:top w:val="none" w:sz="0" w:space="0" w:color="auto"/>
            <w:left w:val="none" w:sz="0" w:space="0" w:color="auto"/>
            <w:bottom w:val="none" w:sz="0" w:space="0" w:color="auto"/>
            <w:right w:val="none" w:sz="0" w:space="0" w:color="auto"/>
          </w:divBdr>
        </w:div>
        <w:div w:id="520316632">
          <w:marLeft w:val="0"/>
          <w:marRight w:val="0"/>
          <w:marTop w:val="0"/>
          <w:marBottom w:val="0"/>
          <w:divBdr>
            <w:top w:val="none" w:sz="0" w:space="0" w:color="auto"/>
            <w:left w:val="none" w:sz="0" w:space="0" w:color="auto"/>
            <w:bottom w:val="none" w:sz="0" w:space="0" w:color="auto"/>
            <w:right w:val="none" w:sz="0" w:space="0" w:color="auto"/>
          </w:divBdr>
        </w:div>
      </w:divsChild>
    </w:div>
    <w:div w:id="545340252">
      <w:bodyDiv w:val="1"/>
      <w:marLeft w:val="0"/>
      <w:marRight w:val="0"/>
      <w:marTop w:val="0"/>
      <w:marBottom w:val="0"/>
      <w:divBdr>
        <w:top w:val="none" w:sz="0" w:space="0" w:color="auto"/>
        <w:left w:val="none" w:sz="0" w:space="0" w:color="auto"/>
        <w:bottom w:val="none" w:sz="0" w:space="0" w:color="auto"/>
        <w:right w:val="none" w:sz="0" w:space="0" w:color="auto"/>
      </w:divBdr>
      <w:divsChild>
        <w:div w:id="2099014761">
          <w:marLeft w:val="0"/>
          <w:marRight w:val="0"/>
          <w:marTop w:val="0"/>
          <w:marBottom w:val="0"/>
          <w:divBdr>
            <w:top w:val="none" w:sz="0" w:space="0" w:color="auto"/>
            <w:left w:val="none" w:sz="0" w:space="0" w:color="auto"/>
            <w:bottom w:val="none" w:sz="0" w:space="0" w:color="auto"/>
            <w:right w:val="none" w:sz="0" w:space="0" w:color="auto"/>
          </w:divBdr>
          <w:divsChild>
            <w:div w:id="1921327203">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642736010">
      <w:bodyDiv w:val="1"/>
      <w:marLeft w:val="0"/>
      <w:marRight w:val="0"/>
      <w:marTop w:val="0"/>
      <w:marBottom w:val="0"/>
      <w:divBdr>
        <w:top w:val="none" w:sz="0" w:space="0" w:color="auto"/>
        <w:left w:val="none" w:sz="0" w:space="0" w:color="auto"/>
        <w:bottom w:val="none" w:sz="0" w:space="0" w:color="auto"/>
        <w:right w:val="none" w:sz="0" w:space="0" w:color="auto"/>
      </w:divBdr>
    </w:div>
    <w:div w:id="703099205">
      <w:bodyDiv w:val="1"/>
      <w:marLeft w:val="0"/>
      <w:marRight w:val="0"/>
      <w:marTop w:val="0"/>
      <w:marBottom w:val="0"/>
      <w:divBdr>
        <w:top w:val="none" w:sz="0" w:space="0" w:color="auto"/>
        <w:left w:val="none" w:sz="0" w:space="0" w:color="auto"/>
        <w:bottom w:val="none" w:sz="0" w:space="0" w:color="auto"/>
        <w:right w:val="none" w:sz="0" w:space="0" w:color="auto"/>
      </w:divBdr>
    </w:div>
    <w:div w:id="733698285">
      <w:bodyDiv w:val="1"/>
      <w:marLeft w:val="0"/>
      <w:marRight w:val="0"/>
      <w:marTop w:val="0"/>
      <w:marBottom w:val="0"/>
      <w:divBdr>
        <w:top w:val="none" w:sz="0" w:space="0" w:color="auto"/>
        <w:left w:val="none" w:sz="0" w:space="0" w:color="auto"/>
        <w:bottom w:val="none" w:sz="0" w:space="0" w:color="auto"/>
        <w:right w:val="none" w:sz="0" w:space="0" w:color="auto"/>
      </w:divBdr>
    </w:div>
    <w:div w:id="770592474">
      <w:bodyDiv w:val="1"/>
      <w:marLeft w:val="0"/>
      <w:marRight w:val="0"/>
      <w:marTop w:val="0"/>
      <w:marBottom w:val="0"/>
      <w:divBdr>
        <w:top w:val="none" w:sz="0" w:space="0" w:color="auto"/>
        <w:left w:val="none" w:sz="0" w:space="0" w:color="auto"/>
        <w:bottom w:val="none" w:sz="0" w:space="0" w:color="auto"/>
        <w:right w:val="none" w:sz="0" w:space="0" w:color="auto"/>
      </w:divBdr>
    </w:div>
    <w:div w:id="836573701">
      <w:bodyDiv w:val="1"/>
      <w:marLeft w:val="0"/>
      <w:marRight w:val="0"/>
      <w:marTop w:val="0"/>
      <w:marBottom w:val="0"/>
      <w:divBdr>
        <w:top w:val="none" w:sz="0" w:space="0" w:color="auto"/>
        <w:left w:val="none" w:sz="0" w:space="0" w:color="auto"/>
        <w:bottom w:val="none" w:sz="0" w:space="0" w:color="auto"/>
        <w:right w:val="none" w:sz="0" w:space="0" w:color="auto"/>
      </w:divBdr>
    </w:div>
    <w:div w:id="840001866">
      <w:bodyDiv w:val="1"/>
      <w:marLeft w:val="0"/>
      <w:marRight w:val="0"/>
      <w:marTop w:val="0"/>
      <w:marBottom w:val="0"/>
      <w:divBdr>
        <w:top w:val="none" w:sz="0" w:space="0" w:color="auto"/>
        <w:left w:val="none" w:sz="0" w:space="0" w:color="auto"/>
        <w:bottom w:val="none" w:sz="0" w:space="0" w:color="auto"/>
        <w:right w:val="none" w:sz="0" w:space="0" w:color="auto"/>
      </w:divBdr>
    </w:div>
    <w:div w:id="846406147">
      <w:bodyDiv w:val="1"/>
      <w:marLeft w:val="0"/>
      <w:marRight w:val="0"/>
      <w:marTop w:val="0"/>
      <w:marBottom w:val="0"/>
      <w:divBdr>
        <w:top w:val="none" w:sz="0" w:space="0" w:color="auto"/>
        <w:left w:val="none" w:sz="0" w:space="0" w:color="auto"/>
        <w:bottom w:val="none" w:sz="0" w:space="0" w:color="auto"/>
        <w:right w:val="none" w:sz="0" w:space="0" w:color="auto"/>
      </w:divBdr>
      <w:divsChild>
        <w:div w:id="42676606">
          <w:marLeft w:val="0"/>
          <w:marRight w:val="0"/>
          <w:marTop w:val="0"/>
          <w:marBottom w:val="0"/>
          <w:divBdr>
            <w:top w:val="none" w:sz="0" w:space="0" w:color="auto"/>
            <w:left w:val="none" w:sz="0" w:space="0" w:color="auto"/>
            <w:bottom w:val="none" w:sz="0" w:space="0" w:color="auto"/>
            <w:right w:val="none" w:sz="0" w:space="0" w:color="auto"/>
          </w:divBdr>
        </w:div>
        <w:div w:id="1355232917">
          <w:marLeft w:val="0"/>
          <w:marRight w:val="0"/>
          <w:marTop w:val="0"/>
          <w:marBottom w:val="0"/>
          <w:divBdr>
            <w:top w:val="none" w:sz="0" w:space="0" w:color="auto"/>
            <w:left w:val="none" w:sz="0" w:space="0" w:color="auto"/>
            <w:bottom w:val="none" w:sz="0" w:space="0" w:color="auto"/>
            <w:right w:val="none" w:sz="0" w:space="0" w:color="auto"/>
          </w:divBdr>
        </w:div>
      </w:divsChild>
    </w:div>
    <w:div w:id="865556779">
      <w:bodyDiv w:val="1"/>
      <w:marLeft w:val="0"/>
      <w:marRight w:val="0"/>
      <w:marTop w:val="0"/>
      <w:marBottom w:val="0"/>
      <w:divBdr>
        <w:top w:val="none" w:sz="0" w:space="0" w:color="auto"/>
        <w:left w:val="none" w:sz="0" w:space="0" w:color="auto"/>
        <w:bottom w:val="none" w:sz="0" w:space="0" w:color="auto"/>
        <w:right w:val="none" w:sz="0" w:space="0" w:color="auto"/>
      </w:divBdr>
    </w:div>
    <w:div w:id="894777820">
      <w:bodyDiv w:val="1"/>
      <w:marLeft w:val="0"/>
      <w:marRight w:val="0"/>
      <w:marTop w:val="0"/>
      <w:marBottom w:val="0"/>
      <w:divBdr>
        <w:top w:val="none" w:sz="0" w:space="0" w:color="auto"/>
        <w:left w:val="none" w:sz="0" w:space="0" w:color="auto"/>
        <w:bottom w:val="none" w:sz="0" w:space="0" w:color="auto"/>
        <w:right w:val="none" w:sz="0" w:space="0" w:color="auto"/>
      </w:divBdr>
    </w:div>
    <w:div w:id="898517335">
      <w:bodyDiv w:val="1"/>
      <w:marLeft w:val="0"/>
      <w:marRight w:val="0"/>
      <w:marTop w:val="0"/>
      <w:marBottom w:val="0"/>
      <w:divBdr>
        <w:top w:val="none" w:sz="0" w:space="0" w:color="auto"/>
        <w:left w:val="none" w:sz="0" w:space="0" w:color="auto"/>
        <w:bottom w:val="none" w:sz="0" w:space="0" w:color="auto"/>
        <w:right w:val="none" w:sz="0" w:space="0" w:color="auto"/>
      </w:divBdr>
    </w:div>
    <w:div w:id="927730695">
      <w:bodyDiv w:val="1"/>
      <w:marLeft w:val="0"/>
      <w:marRight w:val="0"/>
      <w:marTop w:val="0"/>
      <w:marBottom w:val="0"/>
      <w:divBdr>
        <w:top w:val="none" w:sz="0" w:space="0" w:color="auto"/>
        <w:left w:val="none" w:sz="0" w:space="0" w:color="auto"/>
        <w:bottom w:val="none" w:sz="0" w:space="0" w:color="auto"/>
        <w:right w:val="none" w:sz="0" w:space="0" w:color="auto"/>
      </w:divBdr>
    </w:div>
    <w:div w:id="941381733">
      <w:bodyDiv w:val="1"/>
      <w:marLeft w:val="0"/>
      <w:marRight w:val="0"/>
      <w:marTop w:val="0"/>
      <w:marBottom w:val="0"/>
      <w:divBdr>
        <w:top w:val="none" w:sz="0" w:space="0" w:color="auto"/>
        <w:left w:val="none" w:sz="0" w:space="0" w:color="auto"/>
        <w:bottom w:val="none" w:sz="0" w:space="0" w:color="auto"/>
        <w:right w:val="none" w:sz="0" w:space="0" w:color="auto"/>
      </w:divBdr>
    </w:div>
    <w:div w:id="956134431">
      <w:bodyDiv w:val="1"/>
      <w:marLeft w:val="0"/>
      <w:marRight w:val="0"/>
      <w:marTop w:val="0"/>
      <w:marBottom w:val="0"/>
      <w:divBdr>
        <w:top w:val="none" w:sz="0" w:space="0" w:color="auto"/>
        <w:left w:val="none" w:sz="0" w:space="0" w:color="auto"/>
        <w:bottom w:val="none" w:sz="0" w:space="0" w:color="auto"/>
        <w:right w:val="none" w:sz="0" w:space="0" w:color="auto"/>
      </w:divBdr>
    </w:div>
    <w:div w:id="997225546">
      <w:bodyDiv w:val="1"/>
      <w:marLeft w:val="0"/>
      <w:marRight w:val="0"/>
      <w:marTop w:val="0"/>
      <w:marBottom w:val="0"/>
      <w:divBdr>
        <w:top w:val="none" w:sz="0" w:space="0" w:color="auto"/>
        <w:left w:val="none" w:sz="0" w:space="0" w:color="auto"/>
        <w:bottom w:val="none" w:sz="0" w:space="0" w:color="auto"/>
        <w:right w:val="none" w:sz="0" w:space="0" w:color="auto"/>
      </w:divBdr>
    </w:div>
    <w:div w:id="1020203106">
      <w:bodyDiv w:val="1"/>
      <w:marLeft w:val="0"/>
      <w:marRight w:val="0"/>
      <w:marTop w:val="0"/>
      <w:marBottom w:val="0"/>
      <w:divBdr>
        <w:top w:val="none" w:sz="0" w:space="0" w:color="auto"/>
        <w:left w:val="none" w:sz="0" w:space="0" w:color="auto"/>
        <w:bottom w:val="none" w:sz="0" w:space="0" w:color="auto"/>
        <w:right w:val="none" w:sz="0" w:space="0" w:color="auto"/>
      </w:divBdr>
    </w:div>
    <w:div w:id="1022634404">
      <w:bodyDiv w:val="1"/>
      <w:marLeft w:val="0"/>
      <w:marRight w:val="0"/>
      <w:marTop w:val="0"/>
      <w:marBottom w:val="0"/>
      <w:divBdr>
        <w:top w:val="none" w:sz="0" w:space="0" w:color="auto"/>
        <w:left w:val="none" w:sz="0" w:space="0" w:color="auto"/>
        <w:bottom w:val="none" w:sz="0" w:space="0" w:color="auto"/>
        <w:right w:val="none" w:sz="0" w:space="0" w:color="auto"/>
      </w:divBdr>
    </w:div>
    <w:div w:id="1084303918">
      <w:bodyDiv w:val="1"/>
      <w:marLeft w:val="0"/>
      <w:marRight w:val="0"/>
      <w:marTop w:val="0"/>
      <w:marBottom w:val="0"/>
      <w:divBdr>
        <w:top w:val="none" w:sz="0" w:space="0" w:color="auto"/>
        <w:left w:val="none" w:sz="0" w:space="0" w:color="auto"/>
        <w:bottom w:val="none" w:sz="0" w:space="0" w:color="auto"/>
        <w:right w:val="none" w:sz="0" w:space="0" w:color="auto"/>
      </w:divBdr>
    </w:div>
    <w:div w:id="1106077284">
      <w:bodyDiv w:val="1"/>
      <w:marLeft w:val="0"/>
      <w:marRight w:val="0"/>
      <w:marTop w:val="0"/>
      <w:marBottom w:val="0"/>
      <w:divBdr>
        <w:top w:val="none" w:sz="0" w:space="0" w:color="auto"/>
        <w:left w:val="none" w:sz="0" w:space="0" w:color="auto"/>
        <w:bottom w:val="none" w:sz="0" w:space="0" w:color="auto"/>
        <w:right w:val="none" w:sz="0" w:space="0" w:color="auto"/>
      </w:divBdr>
    </w:div>
    <w:div w:id="1119959606">
      <w:bodyDiv w:val="1"/>
      <w:marLeft w:val="0"/>
      <w:marRight w:val="0"/>
      <w:marTop w:val="0"/>
      <w:marBottom w:val="0"/>
      <w:divBdr>
        <w:top w:val="none" w:sz="0" w:space="0" w:color="auto"/>
        <w:left w:val="none" w:sz="0" w:space="0" w:color="auto"/>
        <w:bottom w:val="none" w:sz="0" w:space="0" w:color="auto"/>
        <w:right w:val="none" w:sz="0" w:space="0" w:color="auto"/>
      </w:divBdr>
    </w:div>
    <w:div w:id="1124352021">
      <w:bodyDiv w:val="1"/>
      <w:marLeft w:val="0"/>
      <w:marRight w:val="0"/>
      <w:marTop w:val="0"/>
      <w:marBottom w:val="0"/>
      <w:divBdr>
        <w:top w:val="none" w:sz="0" w:space="0" w:color="auto"/>
        <w:left w:val="none" w:sz="0" w:space="0" w:color="auto"/>
        <w:bottom w:val="none" w:sz="0" w:space="0" w:color="auto"/>
        <w:right w:val="none" w:sz="0" w:space="0" w:color="auto"/>
      </w:divBdr>
    </w:div>
    <w:div w:id="1127549629">
      <w:bodyDiv w:val="1"/>
      <w:marLeft w:val="0"/>
      <w:marRight w:val="0"/>
      <w:marTop w:val="0"/>
      <w:marBottom w:val="0"/>
      <w:divBdr>
        <w:top w:val="none" w:sz="0" w:space="0" w:color="auto"/>
        <w:left w:val="none" w:sz="0" w:space="0" w:color="auto"/>
        <w:bottom w:val="none" w:sz="0" w:space="0" w:color="auto"/>
        <w:right w:val="none" w:sz="0" w:space="0" w:color="auto"/>
      </w:divBdr>
    </w:div>
    <w:div w:id="1145774825">
      <w:bodyDiv w:val="1"/>
      <w:marLeft w:val="0"/>
      <w:marRight w:val="0"/>
      <w:marTop w:val="0"/>
      <w:marBottom w:val="0"/>
      <w:divBdr>
        <w:top w:val="none" w:sz="0" w:space="0" w:color="auto"/>
        <w:left w:val="none" w:sz="0" w:space="0" w:color="auto"/>
        <w:bottom w:val="none" w:sz="0" w:space="0" w:color="auto"/>
        <w:right w:val="none" w:sz="0" w:space="0" w:color="auto"/>
      </w:divBdr>
    </w:div>
    <w:div w:id="1172916281">
      <w:bodyDiv w:val="1"/>
      <w:marLeft w:val="0"/>
      <w:marRight w:val="0"/>
      <w:marTop w:val="0"/>
      <w:marBottom w:val="0"/>
      <w:divBdr>
        <w:top w:val="none" w:sz="0" w:space="0" w:color="auto"/>
        <w:left w:val="none" w:sz="0" w:space="0" w:color="auto"/>
        <w:bottom w:val="none" w:sz="0" w:space="0" w:color="auto"/>
        <w:right w:val="none" w:sz="0" w:space="0" w:color="auto"/>
      </w:divBdr>
    </w:div>
    <w:div w:id="1189878559">
      <w:bodyDiv w:val="1"/>
      <w:marLeft w:val="0"/>
      <w:marRight w:val="0"/>
      <w:marTop w:val="0"/>
      <w:marBottom w:val="0"/>
      <w:divBdr>
        <w:top w:val="none" w:sz="0" w:space="0" w:color="auto"/>
        <w:left w:val="none" w:sz="0" w:space="0" w:color="auto"/>
        <w:bottom w:val="none" w:sz="0" w:space="0" w:color="auto"/>
        <w:right w:val="none" w:sz="0" w:space="0" w:color="auto"/>
      </w:divBdr>
    </w:div>
    <w:div w:id="1197932671">
      <w:bodyDiv w:val="1"/>
      <w:marLeft w:val="0"/>
      <w:marRight w:val="0"/>
      <w:marTop w:val="0"/>
      <w:marBottom w:val="0"/>
      <w:divBdr>
        <w:top w:val="none" w:sz="0" w:space="0" w:color="auto"/>
        <w:left w:val="none" w:sz="0" w:space="0" w:color="auto"/>
        <w:bottom w:val="none" w:sz="0" w:space="0" w:color="auto"/>
        <w:right w:val="none" w:sz="0" w:space="0" w:color="auto"/>
      </w:divBdr>
    </w:div>
    <w:div w:id="1199662908">
      <w:bodyDiv w:val="1"/>
      <w:marLeft w:val="0"/>
      <w:marRight w:val="0"/>
      <w:marTop w:val="0"/>
      <w:marBottom w:val="0"/>
      <w:divBdr>
        <w:top w:val="none" w:sz="0" w:space="0" w:color="auto"/>
        <w:left w:val="none" w:sz="0" w:space="0" w:color="auto"/>
        <w:bottom w:val="none" w:sz="0" w:space="0" w:color="auto"/>
        <w:right w:val="none" w:sz="0" w:space="0" w:color="auto"/>
      </w:divBdr>
    </w:div>
    <w:div w:id="1244334247">
      <w:bodyDiv w:val="1"/>
      <w:marLeft w:val="0"/>
      <w:marRight w:val="0"/>
      <w:marTop w:val="0"/>
      <w:marBottom w:val="0"/>
      <w:divBdr>
        <w:top w:val="none" w:sz="0" w:space="0" w:color="auto"/>
        <w:left w:val="none" w:sz="0" w:space="0" w:color="auto"/>
        <w:bottom w:val="none" w:sz="0" w:space="0" w:color="auto"/>
        <w:right w:val="none" w:sz="0" w:space="0" w:color="auto"/>
      </w:divBdr>
    </w:div>
    <w:div w:id="1246764024">
      <w:bodyDiv w:val="1"/>
      <w:marLeft w:val="0"/>
      <w:marRight w:val="0"/>
      <w:marTop w:val="0"/>
      <w:marBottom w:val="0"/>
      <w:divBdr>
        <w:top w:val="none" w:sz="0" w:space="0" w:color="auto"/>
        <w:left w:val="none" w:sz="0" w:space="0" w:color="auto"/>
        <w:bottom w:val="none" w:sz="0" w:space="0" w:color="auto"/>
        <w:right w:val="none" w:sz="0" w:space="0" w:color="auto"/>
      </w:divBdr>
    </w:div>
    <w:div w:id="1263609590">
      <w:bodyDiv w:val="1"/>
      <w:marLeft w:val="0"/>
      <w:marRight w:val="0"/>
      <w:marTop w:val="0"/>
      <w:marBottom w:val="0"/>
      <w:divBdr>
        <w:top w:val="none" w:sz="0" w:space="0" w:color="auto"/>
        <w:left w:val="none" w:sz="0" w:space="0" w:color="auto"/>
        <w:bottom w:val="none" w:sz="0" w:space="0" w:color="auto"/>
        <w:right w:val="none" w:sz="0" w:space="0" w:color="auto"/>
      </w:divBdr>
    </w:div>
    <w:div w:id="1313362971">
      <w:bodyDiv w:val="1"/>
      <w:marLeft w:val="0"/>
      <w:marRight w:val="0"/>
      <w:marTop w:val="0"/>
      <w:marBottom w:val="0"/>
      <w:divBdr>
        <w:top w:val="none" w:sz="0" w:space="0" w:color="auto"/>
        <w:left w:val="none" w:sz="0" w:space="0" w:color="auto"/>
        <w:bottom w:val="none" w:sz="0" w:space="0" w:color="auto"/>
        <w:right w:val="none" w:sz="0" w:space="0" w:color="auto"/>
      </w:divBdr>
    </w:div>
    <w:div w:id="1318221985">
      <w:bodyDiv w:val="1"/>
      <w:marLeft w:val="0"/>
      <w:marRight w:val="0"/>
      <w:marTop w:val="0"/>
      <w:marBottom w:val="0"/>
      <w:divBdr>
        <w:top w:val="none" w:sz="0" w:space="0" w:color="auto"/>
        <w:left w:val="none" w:sz="0" w:space="0" w:color="auto"/>
        <w:bottom w:val="none" w:sz="0" w:space="0" w:color="auto"/>
        <w:right w:val="none" w:sz="0" w:space="0" w:color="auto"/>
      </w:divBdr>
    </w:div>
    <w:div w:id="1331636710">
      <w:bodyDiv w:val="1"/>
      <w:marLeft w:val="0"/>
      <w:marRight w:val="0"/>
      <w:marTop w:val="0"/>
      <w:marBottom w:val="0"/>
      <w:divBdr>
        <w:top w:val="none" w:sz="0" w:space="0" w:color="auto"/>
        <w:left w:val="none" w:sz="0" w:space="0" w:color="auto"/>
        <w:bottom w:val="none" w:sz="0" w:space="0" w:color="auto"/>
        <w:right w:val="none" w:sz="0" w:space="0" w:color="auto"/>
      </w:divBdr>
    </w:div>
    <w:div w:id="1413048246">
      <w:bodyDiv w:val="1"/>
      <w:marLeft w:val="0"/>
      <w:marRight w:val="0"/>
      <w:marTop w:val="0"/>
      <w:marBottom w:val="0"/>
      <w:divBdr>
        <w:top w:val="none" w:sz="0" w:space="0" w:color="auto"/>
        <w:left w:val="none" w:sz="0" w:space="0" w:color="auto"/>
        <w:bottom w:val="none" w:sz="0" w:space="0" w:color="auto"/>
        <w:right w:val="none" w:sz="0" w:space="0" w:color="auto"/>
      </w:divBdr>
    </w:div>
    <w:div w:id="1466046954">
      <w:bodyDiv w:val="1"/>
      <w:marLeft w:val="0"/>
      <w:marRight w:val="0"/>
      <w:marTop w:val="0"/>
      <w:marBottom w:val="0"/>
      <w:divBdr>
        <w:top w:val="none" w:sz="0" w:space="0" w:color="auto"/>
        <w:left w:val="none" w:sz="0" w:space="0" w:color="auto"/>
        <w:bottom w:val="none" w:sz="0" w:space="0" w:color="auto"/>
        <w:right w:val="none" w:sz="0" w:space="0" w:color="auto"/>
      </w:divBdr>
    </w:div>
    <w:div w:id="1469862444">
      <w:bodyDiv w:val="1"/>
      <w:marLeft w:val="0"/>
      <w:marRight w:val="0"/>
      <w:marTop w:val="0"/>
      <w:marBottom w:val="0"/>
      <w:divBdr>
        <w:top w:val="none" w:sz="0" w:space="0" w:color="auto"/>
        <w:left w:val="none" w:sz="0" w:space="0" w:color="auto"/>
        <w:bottom w:val="none" w:sz="0" w:space="0" w:color="auto"/>
        <w:right w:val="none" w:sz="0" w:space="0" w:color="auto"/>
      </w:divBdr>
    </w:div>
    <w:div w:id="1480419091">
      <w:bodyDiv w:val="1"/>
      <w:marLeft w:val="0"/>
      <w:marRight w:val="0"/>
      <w:marTop w:val="0"/>
      <w:marBottom w:val="0"/>
      <w:divBdr>
        <w:top w:val="none" w:sz="0" w:space="0" w:color="auto"/>
        <w:left w:val="none" w:sz="0" w:space="0" w:color="auto"/>
        <w:bottom w:val="none" w:sz="0" w:space="0" w:color="auto"/>
        <w:right w:val="none" w:sz="0" w:space="0" w:color="auto"/>
      </w:divBdr>
    </w:div>
    <w:div w:id="1539312683">
      <w:bodyDiv w:val="1"/>
      <w:marLeft w:val="0"/>
      <w:marRight w:val="0"/>
      <w:marTop w:val="0"/>
      <w:marBottom w:val="0"/>
      <w:divBdr>
        <w:top w:val="none" w:sz="0" w:space="0" w:color="auto"/>
        <w:left w:val="none" w:sz="0" w:space="0" w:color="auto"/>
        <w:bottom w:val="none" w:sz="0" w:space="0" w:color="auto"/>
        <w:right w:val="none" w:sz="0" w:space="0" w:color="auto"/>
      </w:divBdr>
    </w:div>
    <w:div w:id="1577126530">
      <w:bodyDiv w:val="1"/>
      <w:marLeft w:val="0"/>
      <w:marRight w:val="0"/>
      <w:marTop w:val="0"/>
      <w:marBottom w:val="0"/>
      <w:divBdr>
        <w:top w:val="none" w:sz="0" w:space="0" w:color="auto"/>
        <w:left w:val="none" w:sz="0" w:space="0" w:color="auto"/>
        <w:bottom w:val="none" w:sz="0" w:space="0" w:color="auto"/>
        <w:right w:val="none" w:sz="0" w:space="0" w:color="auto"/>
      </w:divBdr>
    </w:div>
    <w:div w:id="1603874332">
      <w:bodyDiv w:val="1"/>
      <w:marLeft w:val="0"/>
      <w:marRight w:val="0"/>
      <w:marTop w:val="0"/>
      <w:marBottom w:val="0"/>
      <w:divBdr>
        <w:top w:val="none" w:sz="0" w:space="0" w:color="auto"/>
        <w:left w:val="none" w:sz="0" w:space="0" w:color="auto"/>
        <w:bottom w:val="none" w:sz="0" w:space="0" w:color="auto"/>
        <w:right w:val="none" w:sz="0" w:space="0" w:color="auto"/>
      </w:divBdr>
    </w:div>
    <w:div w:id="1606232426">
      <w:bodyDiv w:val="1"/>
      <w:marLeft w:val="0"/>
      <w:marRight w:val="0"/>
      <w:marTop w:val="0"/>
      <w:marBottom w:val="0"/>
      <w:divBdr>
        <w:top w:val="none" w:sz="0" w:space="0" w:color="auto"/>
        <w:left w:val="none" w:sz="0" w:space="0" w:color="auto"/>
        <w:bottom w:val="none" w:sz="0" w:space="0" w:color="auto"/>
        <w:right w:val="none" w:sz="0" w:space="0" w:color="auto"/>
      </w:divBdr>
    </w:div>
    <w:div w:id="1614248659">
      <w:bodyDiv w:val="1"/>
      <w:marLeft w:val="0"/>
      <w:marRight w:val="0"/>
      <w:marTop w:val="0"/>
      <w:marBottom w:val="0"/>
      <w:divBdr>
        <w:top w:val="none" w:sz="0" w:space="0" w:color="auto"/>
        <w:left w:val="none" w:sz="0" w:space="0" w:color="auto"/>
        <w:bottom w:val="none" w:sz="0" w:space="0" w:color="auto"/>
        <w:right w:val="none" w:sz="0" w:space="0" w:color="auto"/>
      </w:divBdr>
    </w:div>
    <w:div w:id="1616012440">
      <w:bodyDiv w:val="1"/>
      <w:marLeft w:val="0"/>
      <w:marRight w:val="0"/>
      <w:marTop w:val="0"/>
      <w:marBottom w:val="0"/>
      <w:divBdr>
        <w:top w:val="none" w:sz="0" w:space="0" w:color="auto"/>
        <w:left w:val="none" w:sz="0" w:space="0" w:color="auto"/>
        <w:bottom w:val="none" w:sz="0" w:space="0" w:color="auto"/>
        <w:right w:val="none" w:sz="0" w:space="0" w:color="auto"/>
      </w:divBdr>
    </w:div>
    <w:div w:id="1648898639">
      <w:bodyDiv w:val="1"/>
      <w:marLeft w:val="0"/>
      <w:marRight w:val="0"/>
      <w:marTop w:val="0"/>
      <w:marBottom w:val="0"/>
      <w:divBdr>
        <w:top w:val="none" w:sz="0" w:space="0" w:color="auto"/>
        <w:left w:val="none" w:sz="0" w:space="0" w:color="auto"/>
        <w:bottom w:val="none" w:sz="0" w:space="0" w:color="auto"/>
        <w:right w:val="none" w:sz="0" w:space="0" w:color="auto"/>
      </w:divBdr>
    </w:div>
    <w:div w:id="1660310819">
      <w:bodyDiv w:val="1"/>
      <w:marLeft w:val="0"/>
      <w:marRight w:val="0"/>
      <w:marTop w:val="0"/>
      <w:marBottom w:val="0"/>
      <w:divBdr>
        <w:top w:val="none" w:sz="0" w:space="0" w:color="auto"/>
        <w:left w:val="none" w:sz="0" w:space="0" w:color="auto"/>
        <w:bottom w:val="none" w:sz="0" w:space="0" w:color="auto"/>
        <w:right w:val="none" w:sz="0" w:space="0" w:color="auto"/>
      </w:divBdr>
    </w:div>
    <w:div w:id="1678583122">
      <w:bodyDiv w:val="1"/>
      <w:marLeft w:val="0"/>
      <w:marRight w:val="0"/>
      <w:marTop w:val="0"/>
      <w:marBottom w:val="0"/>
      <w:divBdr>
        <w:top w:val="none" w:sz="0" w:space="0" w:color="auto"/>
        <w:left w:val="none" w:sz="0" w:space="0" w:color="auto"/>
        <w:bottom w:val="none" w:sz="0" w:space="0" w:color="auto"/>
        <w:right w:val="none" w:sz="0" w:space="0" w:color="auto"/>
      </w:divBdr>
      <w:divsChild>
        <w:div w:id="220023063">
          <w:marLeft w:val="0"/>
          <w:marRight w:val="0"/>
          <w:marTop w:val="0"/>
          <w:marBottom w:val="0"/>
          <w:divBdr>
            <w:top w:val="none" w:sz="0" w:space="0" w:color="auto"/>
            <w:left w:val="none" w:sz="0" w:space="0" w:color="auto"/>
            <w:bottom w:val="none" w:sz="0" w:space="0" w:color="auto"/>
            <w:right w:val="none" w:sz="0" w:space="0" w:color="auto"/>
          </w:divBdr>
          <w:divsChild>
            <w:div w:id="1407143525">
              <w:marLeft w:val="0"/>
              <w:marRight w:val="0"/>
              <w:marTop w:val="0"/>
              <w:marBottom w:val="0"/>
              <w:divBdr>
                <w:top w:val="none" w:sz="0" w:space="0" w:color="auto"/>
                <w:left w:val="none" w:sz="0" w:space="0" w:color="auto"/>
                <w:bottom w:val="none" w:sz="0" w:space="0" w:color="auto"/>
                <w:right w:val="none" w:sz="0" w:space="0" w:color="auto"/>
              </w:divBdr>
              <w:divsChild>
                <w:div w:id="294726144">
                  <w:marLeft w:val="0"/>
                  <w:marRight w:val="0"/>
                  <w:marTop w:val="0"/>
                  <w:marBottom w:val="0"/>
                  <w:divBdr>
                    <w:top w:val="none" w:sz="0" w:space="0" w:color="auto"/>
                    <w:left w:val="none" w:sz="0" w:space="0" w:color="auto"/>
                    <w:bottom w:val="none" w:sz="0" w:space="0" w:color="auto"/>
                    <w:right w:val="none" w:sz="0" w:space="0" w:color="auto"/>
                  </w:divBdr>
                  <w:divsChild>
                    <w:div w:id="87048370">
                      <w:marLeft w:val="0"/>
                      <w:marRight w:val="0"/>
                      <w:marTop w:val="0"/>
                      <w:marBottom w:val="0"/>
                      <w:divBdr>
                        <w:top w:val="none" w:sz="0" w:space="0" w:color="auto"/>
                        <w:left w:val="none" w:sz="0" w:space="0" w:color="auto"/>
                        <w:bottom w:val="none" w:sz="0" w:space="0" w:color="auto"/>
                        <w:right w:val="none" w:sz="0" w:space="0" w:color="auto"/>
                      </w:divBdr>
                      <w:divsChild>
                        <w:div w:id="436753984">
                          <w:marLeft w:val="0"/>
                          <w:marRight w:val="0"/>
                          <w:marTop w:val="0"/>
                          <w:marBottom w:val="0"/>
                          <w:divBdr>
                            <w:top w:val="none" w:sz="0" w:space="0" w:color="auto"/>
                            <w:left w:val="none" w:sz="0" w:space="0" w:color="auto"/>
                            <w:bottom w:val="none" w:sz="0" w:space="0" w:color="auto"/>
                            <w:right w:val="none" w:sz="0" w:space="0" w:color="auto"/>
                          </w:divBdr>
                          <w:divsChild>
                            <w:div w:id="69889209">
                              <w:marLeft w:val="0"/>
                              <w:marRight w:val="0"/>
                              <w:marTop w:val="0"/>
                              <w:marBottom w:val="0"/>
                              <w:divBdr>
                                <w:top w:val="none" w:sz="0" w:space="0" w:color="auto"/>
                                <w:left w:val="none" w:sz="0" w:space="0" w:color="auto"/>
                                <w:bottom w:val="none" w:sz="0" w:space="0" w:color="auto"/>
                                <w:right w:val="none" w:sz="0" w:space="0" w:color="auto"/>
                              </w:divBdr>
                              <w:divsChild>
                                <w:div w:id="1394310566">
                                  <w:marLeft w:val="0"/>
                                  <w:marRight w:val="0"/>
                                  <w:marTop w:val="0"/>
                                  <w:marBottom w:val="0"/>
                                  <w:divBdr>
                                    <w:top w:val="none" w:sz="0" w:space="0" w:color="auto"/>
                                    <w:left w:val="none" w:sz="0" w:space="0" w:color="auto"/>
                                    <w:bottom w:val="none" w:sz="0" w:space="0" w:color="auto"/>
                                    <w:right w:val="none" w:sz="0" w:space="0" w:color="auto"/>
                                  </w:divBdr>
                                  <w:divsChild>
                                    <w:div w:id="283394185">
                                      <w:marLeft w:val="0"/>
                                      <w:marRight w:val="0"/>
                                      <w:marTop w:val="0"/>
                                      <w:marBottom w:val="0"/>
                                      <w:divBdr>
                                        <w:top w:val="none" w:sz="0" w:space="0" w:color="auto"/>
                                        <w:left w:val="none" w:sz="0" w:space="0" w:color="auto"/>
                                        <w:bottom w:val="none" w:sz="0" w:space="0" w:color="auto"/>
                                        <w:right w:val="none" w:sz="0" w:space="0" w:color="auto"/>
                                      </w:divBdr>
                                      <w:divsChild>
                                        <w:div w:id="232784066">
                                          <w:marLeft w:val="0"/>
                                          <w:marRight w:val="0"/>
                                          <w:marTop w:val="0"/>
                                          <w:marBottom w:val="0"/>
                                          <w:divBdr>
                                            <w:top w:val="none" w:sz="0" w:space="0" w:color="auto"/>
                                            <w:left w:val="none" w:sz="0" w:space="0" w:color="auto"/>
                                            <w:bottom w:val="none" w:sz="0" w:space="0" w:color="auto"/>
                                            <w:right w:val="none" w:sz="0" w:space="0" w:color="auto"/>
                                          </w:divBdr>
                                          <w:divsChild>
                                            <w:div w:id="74592781">
                                              <w:marLeft w:val="0"/>
                                              <w:marRight w:val="0"/>
                                              <w:marTop w:val="0"/>
                                              <w:marBottom w:val="0"/>
                                              <w:divBdr>
                                                <w:top w:val="none" w:sz="0" w:space="0" w:color="auto"/>
                                                <w:left w:val="none" w:sz="0" w:space="0" w:color="auto"/>
                                                <w:bottom w:val="none" w:sz="0" w:space="0" w:color="auto"/>
                                                <w:right w:val="none" w:sz="0" w:space="0" w:color="auto"/>
                                              </w:divBdr>
                                              <w:divsChild>
                                                <w:div w:id="804666646">
                                                  <w:marLeft w:val="0"/>
                                                  <w:marRight w:val="0"/>
                                                  <w:marTop w:val="0"/>
                                                  <w:marBottom w:val="0"/>
                                                  <w:divBdr>
                                                    <w:top w:val="none" w:sz="0" w:space="0" w:color="auto"/>
                                                    <w:left w:val="none" w:sz="0" w:space="0" w:color="auto"/>
                                                    <w:bottom w:val="none" w:sz="0" w:space="0" w:color="auto"/>
                                                    <w:right w:val="none" w:sz="0" w:space="0" w:color="auto"/>
                                                  </w:divBdr>
                                                  <w:divsChild>
                                                    <w:div w:id="227497781">
                                                      <w:marLeft w:val="0"/>
                                                      <w:marRight w:val="0"/>
                                                      <w:marTop w:val="0"/>
                                                      <w:marBottom w:val="0"/>
                                                      <w:divBdr>
                                                        <w:top w:val="none" w:sz="0" w:space="0" w:color="auto"/>
                                                        <w:left w:val="none" w:sz="0" w:space="0" w:color="auto"/>
                                                        <w:bottom w:val="none" w:sz="0" w:space="0" w:color="auto"/>
                                                        <w:right w:val="none" w:sz="0" w:space="0" w:color="auto"/>
                                                      </w:divBdr>
                                                      <w:divsChild>
                                                        <w:div w:id="110083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45465">
                                              <w:marLeft w:val="0"/>
                                              <w:marRight w:val="0"/>
                                              <w:marTop w:val="0"/>
                                              <w:marBottom w:val="0"/>
                                              <w:divBdr>
                                                <w:top w:val="none" w:sz="0" w:space="0" w:color="auto"/>
                                                <w:left w:val="none" w:sz="0" w:space="0" w:color="auto"/>
                                                <w:bottom w:val="none" w:sz="0" w:space="0" w:color="auto"/>
                                                <w:right w:val="none" w:sz="0" w:space="0" w:color="auto"/>
                                              </w:divBdr>
                                              <w:divsChild>
                                                <w:div w:id="1937669340">
                                                  <w:marLeft w:val="0"/>
                                                  <w:marRight w:val="0"/>
                                                  <w:marTop w:val="0"/>
                                                  <w:marBottom w:val="0"/>
                                                  <w:divBdr>
                                                    <w:top w:val="none" w:sz="0" w:space="0" w:color="auto"/>
                                                    <w:left w:val="none" w:sz="0" w:space="0" w:color="auto"/>
                                                    <w:bottom w:val="none" w:sz="0" w:space="0" w:color="auto"/>
                                                    <w:right w:val="none" w:sz="0" w:space="0" w:color="auto"/>
                                                  </w:divBdr>
                                                  <w:divsChild>
                                                    <w:div w:id="49229977">
                                                      <w:marLeft w:val="0"/>
                                                      <w:marRight w:val="0"/>
                                                      <w:marTop w:val="0"/>
                                                      <w:marBottom w:val="0"/>
                                                      <w:divBdr>
                                                        <w:top w:val="none" w:sz="0" w:space="0" w:color="auto"/>
                                                        <w:left w:val="none" w:sz="0" w:space="0" w:color="auto"/>
                                                        <w:bottom w:val="none" w:sz="0" w:space="0" w:color="auto"/>
                                                        <w:right w:val="none" w:sz="0" w:space="0" w:color="auto"/>
                                                      </w:divBdr>
                                                      <w:divsChild>
                                                        <w:div w:id="11652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1642919">
          <w:marLeft w:val="0"/>
          <w:marRight w:val="0"/>
          <w:marTop w:val="0"/>
          <w:marBottom w:val="0"/>
          <w:divBdr>
            <w:top w:val="none" w:sz="0" w:space="0" w:color="auto"/>
            <w:left w:val="none" w:sz="0" w:space="0" w:color="auto"/>
            <w:bottom w:val="none" w:sz="0" w:space="0" w:color="auto"/>
            <w:right w:val="none" w:sz="0" w:space="0" w:color="auto"/>
          </w:divBdr>
          <w:divsChild>
            <w:div w:id="908421640">
              <w:marLeft w:val="0"/>
              <w:marRight w:val="0"/>
              <w:marTop w:val="0"/>
              <w:marBottom w:val="0"/>
              <w:divBdr>
                <w:top w:val="none" w:sz="0" w:space="0" w:color="auto"/>
                <w:left w:val="none" w:sz="0" w:space="0" w:color="auto"/>
                <w:bottom w:val="none" w:sz="0" w:space="0" w:color="auto"/>
                <w:right w:val="none" w:sz="0" w:space="0" w:color="auto"/>
              </w:divBdr>
              <w:divsChild>
                <w:div w:id="707267463">
                  <w:marLeft w:val="0"/>
                  <w:marRight w:val="0"/>
                  <w:marTop w:val="0"/>
                  <w:marBottom w:val="0"/>
                  <w:divBdr>
                    <w:top w:val="none" w:sz="0" w:space="0" w:color="auto"/>
                    <w:left w:val="none" w:sz="0" w:space="0" w:color="auto"/>
                    <w:bottom w:val="none" w:sz="0" w:space="0" w:color="auto"/>
                    <w:right w:val="none" w:sz="0" w:space="0" w:color="auto"/>
                  </w:divBdr>
                  <w:divsChild>
                    <w:div w:id="1603535553">
                      <w:marLeft w:val="0"/>
                      <w:marRight w:val="0"/>
                      <w:marTop w:val="0"/>
                      <w:marBottom w:val="0"/>
                      <w:divBdr>
                        <w:top w:val="none" w:sz="0" w:space="0" w:color="auto"/>
                        <w:left w:val="none" w:sz="0" w:space="0" w:color="auto"/>
                        <w:bottom w:val="none" w:sz="0" w:space="0" w:color="auto"/>
                        <w:right w:val="none" w:sz="0" w:space="0" w:color="auto"/>
                      </w:divBdr>
                      <w:divsChild>
                        <w:div w:id="176529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966870">
                  <w:marLeft w:val="0"/>
                  <w:marRight w:val="0"/>
                  <w:marTop w:val="0"/>
                  <w:marBottom w:val="0"/>
                  <w:divBdr>
                    <w:top w:val="none" w:sz="0" w:space="0" w:color="auto"/>
                    <w:left w:val="none" w:sz="0" w:space="0" w:color="auto"/>
                    <w:bottom w:val="none" w:sz="0" w:space="0" w:color="auto"/>
                    <w:right w:val="none" w:sz="0" w:space="0" w:color="auto"/>
                  </w:divBdr>
                  <w:divsChild>
                    <w:div w:id="782043158">
                      <w:marLeft w:val="0"/>
                      <w:marRight w:val="0"/>
                      <w:marTop w:val="0"/>
                      <w:marBottom w:val="0"/>
                      <w:divBdr>
                        <w:top w:val="none" w:sz="0" w:space="0" w:color="auto"/>
                        <w:left w:val="none" w:sz="0" w:space="0" w:color="auto"/>
                        <w:bottom w:val="none" w:sz="0" w:space="0" w:color="auto"/>
                        <w:right w:val="none" w:sz="0" w:space="0" w:color="auto"/>
                      </w:divBdr>
                      <w:divsChild>
                        <w:div w:id="1037968157">
                          <w:marLeft w:val="0"/>
                          <w:marRight w:val="0"/>
                          <w:marTop w:val="0"/>
                          <w:marBottom w:val="0"/>
                          <w:divBdr>
                            <w:top w:val="none" w:sz="0" w:space="0" w:color="auto"/>
                            <w:left w:val="none" w:sz="0" w:space="0" w:color="auto"/>
                            <w:bottom w:val="none" w:sz="0" w:space="0" w:color="auto"/>
                            <w:right w:val="none" w:sz="0" w:space="0" w:color="auto"/>
                          </w:divBdr>
                          <w:divsChild>
                            <w:div w:id="1171723614">
                              <w:marLeft w:val="0"/>
                              <w:marRight w:val="0"/>
                              <w:marTop w:val="0"/>
                              <w:marBottom w:val="0"/>
                              <w:divBdr>
                                <w:top w:val="none" w:sz="0" w:space="0" w:color="auto"/>
                                <w:left w:val="none" w:sz="0" w:space="0" w:color="auto"/>
                                <w:bottom w:val="none" w:sz="0" w:space="0" w:color="auto"/>
                                <w:right w:val="none" w:sz="0" w:space="0" w:color="auto"/>
                              </w:divBdr>
                              <w:divsChild>
                                <w:div w:id="258176804">
                                  <w:marLeft w:val="0"/>
                                  <w:marRight w:val="0"/>
                                  <w:marTop w:val="0"/>
                                  <w:marBottom w:val="0"/>
                                  <w:divBdr>
                                    <w:top w:val="none" w:sz="0" w:space="0" w:color="auto"/>
                                    <w:left w:val="none" w:sz="0" w:space="0" w:color="auto"/>
                                    <w:bottom w:val="none" w:sz="0" w:space="0" w:color="auto"/>
                                    <w:right w:val="none" w:sz="0" w:space="0" w:color="auto"/>
                                  </w:divBdr>
                                  <w:divsChild>
                                    <w:div w:id="1862280879">
                                      <w:marLeft w:val="0"/>
                                      <w:marRight w:val="0"/>
                                      <w:marTop w:val="0"/>
                                      <w:marBottom w:val="0"/>
                                      <w:divBdr>
                                        <w:top w:val="none" w:sz="0" w:space="0" w:color="auto"/>
                                        <w:left w:val="none" w:sz="0" w:space="0" w:color="auto"/>
                                        <w:bottom w:val="none" w:sz="0" w:space="0" w:color="auto"/>
                                        <w:right w:val="none" w:sz="0" w:space="0" w:color="auto"/>
                                      </w:divBdr>
                                      <w:divsChild>
                                        <w:div w:id="448428927">
                                          <w:marLeft w:val="0"/>
                                          <w:marRight w:val="0"/>
                                          <w:marTop w:val="0"/>
                                          <w:marBottom w:val="0"/>
                                          <w:divBdr>
                                            <w:top w:val="none" w:sz="0" w:space="0" w:color="auto"/>
                                            <w:left w:val="none" w:sz="0" w:space="0" w:color="auto"/>
                                            <w:bottom w:val="none" w:sz="0" w:space="0" w:color="auto"/>
                                            <w:right w:val="none" w:sz="0" w:space="0" w:color="auto"/>
                                          </w:divBdr>
                                          <w:divsChild>
                                            <w:div w:id="1187598462">
                                              <w:marLeft w:val="0"/>
                                              <w:marRight w:val="0"/>
                                              <w:marTop w:val="0"/>
                                              <w:marBottom w:val="0"/>
                                              <w:divBdr>
                                                <w:top w:val="none" w:sz="0" w:space="0" w:color="auto"/>
                                                <w:left w:val="none" w:sz="0" w:space="0" w:color="auto"/>
                                                <w:bottom w:val="none" w:sz="0" w:space="0" w:color="auto"/>
                                                <w:right w:val="none" w:sz="0" w:space="0" w:color="auto"/>
                                              </w:divBdr>
                                              <w:divsChild>
                                                <w:div w:id="12825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9653369">
      <w:bodyDiv w:val="1"/>
      <w:marLeft w:val="0"/>
      <w:marRight w:val="0"/>
      <w:marTop w:val="0"/>
      <w:marBottom w:val="0"/>
      <w:divBdr>
        <w:top w:val="none" w:sz="0" w:space="0" w:color="auto"/>
        <w:left w:val="none" w:sz="0" w:space="0" w:color="auto"/>
        <w:bottom w:val="none" w:sz="0" w:space="0" w:color="auto"/>
        <w:right w:val="none" w:sz="0" w:space="0" w:color="auto"/>
      </w:divBdr>
      <w:divsChild>
        <w:div w:id="121506509">
          <w:marLeft w:val="0"/>
          <w:marRight w:val="0"/>
          <w:marTop w:val="0"/>
          <w:marBottom w:val="0"/>
          <w:divBdr>
            <w:top w:val="none" w:sz="0" w:space="0" w:color="auto"/>
            <w:left w:val="none" w:sz="0" w:space="0" w:color="auto"/>
            <w:bottom w:val="none" w:sz="0" w:space="0" w:color="auto"/>
            <w:right w:val="none" w:sz="0" w:space="0" w:color="auto"/>
          </w:divBdr>
          <w:divsChild>
            <w:div w:id="1059326830">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690794502">
      <w:bodyDiv w:val="1"/>
      <w:marLeft w:val="0"/>
      <w:marRight w:val="0"/>
      <w:marTop w:val="0"/>
      <w:marBottom w:val="0"/>
      <w:divBdr>
        <w:top w:val="none" w:sz="0" w:space="0" w:color="auto"/>
        <w:left w:val="none" w:sz="0" w:space="0" w:color="auto"/>
        <w:bottom w:val="none" w:sz="0" w:space="0" w:color="auto"/>
        <w:right w:val="none" w:sz="0" w:space="0" w:color="auto"/>
      </w:divBdr>
    </w:div>
    <w:div w:id="1705327720">
      <w:bodyDiv w:val="1"/>
      <w:marLeft w:val="0"/>
      <w:marRight w:val="0"/>
      <w:marTop w:val="0"/>
      <w:marBottom w:val="0"/>
      <w:divBdr>
        <w:top w:val="none" w:sz="0" w:space="0" w:color="auto"/>
        <w:left w:val="none" w:sz="0" w:space="0" w:color="auto"/>
        <w:bottom w:val="none" w:sz="0" w:space="0" w:color="auto"/>
        <w:right w:val="none" w:sz="0" w:space="0" w:color="auto"/>
      </w:divBdr>
    </w:div>
    <w:div w:id="1729649693">
      <w:bodyDiv w:val="1"/>
      <w:marLeft w:val="0"/>
      <w:marRight w:val="0"/>
      <w:marTop w:val="0"/>
      <w:marBottom w:val="0"/>
      <w:divBdr>
        <w:top w:val="none" w:sz="0" w:space="0" w:color="auto"/>
        <w:left w:val="none" w:sz="0" w:space="0" w:color="auto"/>
        <w:bottom w:val="none" w:sz="0" w:space="0" w:color="auto"/>
        <w:right w:val="none" w:sz="0" w:space="0" w:color="auto"/>
      </w:divBdr>
      <w:divsChild>
        <w:div w:id="623467672">
          <w:marLeft w:val="0"/>
          <w:marRight w:val="0"/>
          <w:marTop w:val="0"/>
          <w:marBottom w:val="0"/>
          <w:divBdr>
            <w:top w:val="none" w:sz="0" w:space="0" w:color="auto"/>
            <w:left w:val="none" w:sz="0" w:space="0" w:color="auto"/>
            <w:bottom w:val="none" w:sz="0" w:space="0" w:color="auto"/>
            <w:right w:val="none" w:sz="0" w:space="0" w:color="auto"/>
          </w:divBdr>
          <w:divsChild>
            <w:div w:id="1151865074">
              <w:marLeft w:val="0"/>
              <w:marRight w:val="0"/>
              <w:marTop w:val="0"/>
              <w:marBottom w:val="0"/>
              <w:divBdr>
                <w:top w:val="none" w:sz="0" w:space="0" w:color="auto"/>
                <w:left w:val="none" w:sz="0" w:space="0" w:color="auto"/>
                <w:bottom w:val="none" w:sz="0" w:space="0" w:color="auto"/>
                <w:right w:val="none" w:sz="0" w:space="0" w:color="auto"/>
              </w:divBdr>
              <w:divsChild>
                <w:div w:id="2115709019">
                  <w:marLeft w:val="0"/>
                  <w:marRight w:val="0"/>
                  <w:marTop w:val="0"/>
                  <w:marBottom w:val="0"/>
                  <w:divBdr>
                    <w:top w:val="none" w:sz="0" w:space="0" w:color="auto"/>
                    <w:left w:val="none" w:sz="0" w:space="0" w:color="auto"/>
                    <w:bottom w:val="none" w:sz="0" w:space="0" w:color="auto"/>
                    <w:right w:val="none" w:sz="0" w:space="0" w:color="auto"/>
                  </w:divBdr>
                  <w:divsChild>
                    <w:div w:id="187206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104726">
      <w:bodyDiv w:val="1"/>
      <w:marLeft w:val="0"/>
      <w:marRight w:val="0"/>
      <w:marTop w:val="0"/>
      <w:marBottom w:val="0"/>
      <w:divBdr>
        <w:top w:val="none" w:sz="0" w:space="0" w:color="auto"/>
        <w:left w:val="none" w:sz="0" w:space="0" w:color="auto"/>
        <w:bottom w:val="none" w:sz="0" w:space="0" w:color="auto"/>
        <w:right w:val="none" w:sz="0" w:space="0" w:color="auto"/>
      </w:divBdr>
    </w:div>
    <w:div w:id="1755084623">
      <w:bodyDiv w:val="1"/>
      <w:marLeft w:val="0"/>
      <w:marRight w:val="0"/>
      <w:marTop w:val="0"/>
      <w:marBottom w:val="0"/>
      <w:divBdr>
        <w:top w:val="none" w:sz="0" w:space="0" w:color="auto"/>
        <w:left w:val="none" w:sz="0" w:space="0" w:color="auto"/>
        <w:bottom w:val="none" w:sz="0" w:space="0" w:color="auto"/>
        <w:right w:val="none" w:sz="0" w:space="0" w:color="auto"/>
      </w:divBdr>
    </w:div>
    <w:div w:id="1775321979">
      <w:bodyDiv w:val="1"/>
      <w:marLeft w:val="0"/>
      <w:marRight w:val="0"/>
      <w:marTop w:val="0"/>
      <w:marBottom w:val="0"/>
      <w:divBdr>
        <w:top w:val="none" w:sz="0" w:space="0" w:color="auto"/>
        <w:left w:val="none" w:sz="0" w:space="0" w:color="auto"/>
        <w:bottom w:val="none" w:sz="0" w:space="0" w:color="auto"/>
        <w:right w:val="none" w:sz="0" w:space="0" w:color="auto"/>
      </w:divBdr>
    </w:div>
    <w:div w:id="1789860252">
      <w:bodyDiv w:val="1"/>
      <w:marLeft w:val="0"/>
      <w:marRight w:val="0"/>
      <w:marTop w:val="0"/>
      <w:marBottom w:val="0"/>
      <w:divBdr>
        <w:top w:val="none" w:sz="0" w:space="0" w:color="auto"/>
        <w:left w:val="none" w:sz="0" w:space="0" w:color="auto"/>
        <w:bottom w:val="none" w:sz="0" w:space="0" w:color="auto"/>
        <w:right w:val="none" w:sz="0" w:space="0" w:color="auto"/>
      </w:divBdr>
    </w:div>
    <w:div w:id="1794133388">
      <w:bodyDiv w:val="1"/>
      <w:marLeft w:val="0"/>
      <w:marRight w:val="0"/>
      <w:marTop w:val="0"/>
      <w:marBottom w:val="0"/>
      <w:divBdr>
        <w:top w:val="none" w:sz="0" w:space="0" w:color="auto"/>
        <w:left w:val="none" w:sz="0" w:space="0" w:color="auto"/>
        <w:bottom w:val="none" w:sz="0" w:space="0" w:color="auto"/>
        <w:right w:val="none" w:sz="0" w:space="0" w:color="auto"/>
      </w:divBdr>
    </w:div>
    <w:div w:id="1805464991">
      <w:bodyDiv w:val="1"/>
      <w:marLeft w:val="0"/>
      <w:marRight w:val="0"/>
      <w:marTop w:val="0"/>
      <w:marBottom w:val="0"/>
      <w:divBdr>
        <w:top w:val="none" w:sz="0" w:space="0" w:color="auto"/>
        <w:left w:val="none" w:sz="0" w:space="0" w:color="auto"/>
        <w:bottom w:val="none" w:sz="0" w:space="0" w:color="auto"/>
        <w:right w:val="none" w:sz="0" w:space="0" w:color="auto"/>
      </w:divBdr>
    </w:div>
    <w:div w:id="1860896154">
      <w:bodyDiv w:val="1"/>
      <w:marLeft w:val="0"/>
      <w:marRight w:val="0"/>
      <w:marTop w:val="0"/>
      <w:marBottom w:val="0"/>
      <w:divBdr>
        <w:top w:val="none" w:sz="0" w:space="0" w:color="auto"/>
        <w:left w:val="none" w:sz="0" w:space="0" w:color="auto"/>
        <w:bottom w:val="none" w:sz="0" w:space="0" w:color="auto"/>
        <w:right w:val="none" w:sz="0" w:space="0" w:color="auto"/>
      </w:divBdr>
    </w:div>
    <w:div w:id="1908570097">
      <w:bodyDiv w:val="1"/>
      <w:marLeft w:val="0"/>
      <w:marRight w:val="0"/>
      <w:marTop w:val="0"/>
      <w:marBottom w:val="0"/>
      <w:divBdr>
        <w:top w:val="none" w:sz="0" w:space="0" w:color="auto"/>
        <w:left w:val="none" w:sz="0" w:space="0" w:color="auto"/>
        <w:bottom w:val="none" w:sz="0" w:space="0" w:color="auto"/>
        <w:right w:val="none" w:sz="0" w:space="0" w:color="auto"/>
      </w:divBdr>
    </w:div>
    <w:div w:id="1936090075">
      <w:bodyDiv w:val="1"/>
      <w:marLeft w:val="0"/>
      <w:marRight w:val="0"/>
      <w:marTop w:val="0"/>
      <w:marBottom w:val="0"/>
      <w:divBdr>
        <w:top w:val="none" w:sz="0" w:space="0" w:color="auto"/>
        <w:left w:val="none" w:sz="0" w:space="0" w:color="auto"/>
        <w:bottom w:val="none" w:sz="0" w:space="0" w:color="auto"/>
        <w:right w:val="none" w:sz="0" w:space="0" w:color="auto"/>
      </w:divBdr>
    </w:div>
    <w:div w:id="1959796509">
      <w:bodyDiv w:val="1"/>
      <w:marLeft w:val="0"/>
      <w:marRight w:val="0"/>
      <w:marTop w:val="0"/>
      <w:marBottom w:val="0"/>
      <w:divBdr>
        <w:top w:val="none" w:sz="0" w:space="0" w:color="auto"/>
        <w:left w:val="none" w:sz="0" w:space="0" w:color="auto"/>
        <w:bottom w:val="none" w:sz="0" w:space="0" w:color="auto"/>
        <w:right w:val="none" w:sz="0" w:space="0" w:color="auto"/>
      </w:divBdr>
    </w:div>
    <w:div w:id="1978954233">
      <w:bodyDiv w:val="1"/>
      <w:marLeft w:val="0"/>
      <w:marRight w:val="0"/>
      <w:marTop w:val="0"/>
      <w:marBottom w:val="0"/>
      <w:divBdr>
        <w:top w:val="none" w:sz="0" w:space="0" w:color="auto"/>
        <w:left w:val="none" w:sz="0" w:space="0" w:color="auto"/>
        <w:bottom w:val="none" w:sz="0" w:space="0" w:color="auto"/>
        <w:right w:val="none" w:sz="0" w:space="0" w:color="auto"/>
      </w:divBdr>
    </w:div>
    <w:div w:id="1991129137">
      <w:bodyDiv w:val="1"/>
      <w:marLeft w:val="0"/>
      <w:marRight w:val="0"/>
      <w:marTop w:val="0"/>
      <w:marBottom w:val="0"/>
      <w:divBdr>
        <w:top w:val="none" w:sz="0" w:space="0" w:color="auto"/>
        <w:left w:val="none" w:sz="0" w:space="0" w:color="auto"/>
        <w:bottom w:val="none" w:sz="0" w:space="0" w:color="auto"/>
        <w:right w:val="none" w:sz="0" w:space="0" w:color="auto"/>
      </w:divBdr>
    </w:div>
    <w:div w:id="2009478357">
      <w:bodyDiv w:val="1"/>
      <w:marLeft w:val="0"/>
      <w:marRight w:val="0"/>
      <w:marTop w:val="0"/>
      <w:marBottom w:val="0"/>
      <w:divBdr>
        <w:top w:val="none" w:sz="0" w:space="0" w:color="auto"/>
        <w:left w:val="none" w:sz="0" w:space="0" w:color="auto"/>
        <w:bottom w:val="none" w:sz="0" w:space="0" w:color="auto"/>
        <w:right w:val="none" w:sz="0" w:space="0" w:color="auto"/>
      </w:divBdr>
    </w:div>
    <w:div w:id="2022051589">
      <w:bodyDiv w:val="1"/>
      <w:marLeft w:val="0"/>
      <w:marRight w:val="0"/>
      <w:marTop w:val="0"/>
      <w:marBottom w:val="0"/>
      <w:divBdr>
        <w:top w:val="none" w:sz="0" w:space="0" w:color="auto"/>
        <w:left w:val="none" w:sz="0" w:space="0" w:color="auto"/>
        <w:bottom w:val="none" w:sz="0" w:space="0" w:color="auto"/>
        <w:right w:val="none" w:sz="0" w:space="0" w:color="auto"/>
      </w:divBdr>
    </w:div>
    <w:div w:id="2030570662">
      <w:bodyDiv w:val="1"/>
      <w:marLeft w:val="0"/>
      <w:marRight w:val="0"/>
      <w:marTop w:val="0"/>
      <w:marBottom w:val="0"/>
      <w:divBdr>
        <w:top w:val="none" w:sz="0" w:space="0" w:color="auto"/>
        <w:left w:val="none" w:sz="0" w:space="0" w:color="auto"/>
        <w:bottom w:val="none" w:sz="0" w:space="0" w:color="auto"/>
        <w:right w:val="none" w:sz="0" w:space="0" w:color="auto"/>
      </w:divBdr>
    </w:div>
    <w:div w:id="2058121806">
      <w:bodyDiv w:val="1"/>
      <w:marLeft w:val="0"/>
      <w:marRight w:val="0"/>
      <w:marTop w:val="0"/>
      <w:marBottom w:val="0"/>
      <w:divBdr>
        <w:top w:val="none" w:sz="0" w:space="0" w:color="auto"/>
        <w:left w:val="none" w:sz="0" w:space="0" w:color="auto"/>
        <w:bottom w:val="none" w:sz="0" w:space="0" w:color="auto"/>
        <w:right w:val="none" w:sz="0" w:space="0" w:color="auto"/>
      </w:divBdr>
      <w:divsChild>
        <w:div w:id="1235580919">
          <w:marLeft w:val="0"/>
          <w:marRight w:val="0"/>
          <w:marTop w:val="0"/>
          <w:marBottom w:val="0"/>
          <w:divBdr>
            <w:top w:val="none" w:sz="0" w:space="0" w:color="auto"/>
            <w:left w:val="none" w:sz="0" w:space="0" w:color="auto"/>
            <w:bottom w:val="none" w:sz="0" w:space="0" w:color="auto"/>
            <w:right w:val="none" w:sz="0" w:space="0" w:color="auto"/>
          </w:divBdr>
          <w:divsChild>
            <w:div w:id="602808371">
              <w:marLeft w:val="0"/>
              <w:marRight w:val="0"/>
              <w:marTop w:val="0"/>
              <w:marBottom w:val="0"/>
              <w:divBdr>
                <w:top w:val="none" w:sz="0" w:space="0" w:color="auto"/>
                <w:left w:val="none" w:sz="0" w:space="0" w:color="auto"/>
                <w:bottom w:val="none" w:sz="0" w:space="0" w:color="auto"/>
                <w:right w:val="none" w:sz="0" w:space="0" w:color="auto"/>
              </w:divBdr>
              <w:divsChild>
                <w:div w:id="595481246">
                  <w:marLeft w:val="0"/>
                  <w:marRight w:val="0"/>
                  <w:marTop w:val="0"/>
                  <w:marBottom w:val="0"/>
                  <w:divBdr>
                    <w:top w:val="none" w:sz="0" w:space="0" w:color="auto"/>
                    <w:left w:val="none" w:sz="0" w:space="0" w:color="auto"/>
                    <w:bottom w:val="none" w:sz="0" w:space="0" w:color="auto"/>
                    <w:right w:val="none" w:sz="0" w:space="0" w:color="auto"/>
                  </w:divBdr>
                  <w:divsChild>
                    <w:div w:id="113830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197492">
          <w:marLeft w:val="0"/>
          <w:marRight w:val="0"/>
          <w:marTop w:val="0"/>
          <w:marBottom w:val="0"/>
          <w:divBdr>
            <w:top w:val="none" w:sz="0" w:space="0" w:color="auto"/>
            <w:left w:val="none" w:sz="0" w:space="0" w:color="auto"/>
            <w:bottom w:val="none" w:sz="0" w:space="0" w:color="auto"/>
            <w:right w:val="none" w:sz="0" w:space="0" w:color="auto"/>
          </w:divBdr>
          <w:divsChild>
            <w:div w:id="1455708699">
              <w:marLeft w:val="0"/>
              <w:marRight w:val="0"/>
              <w:marTop w:val="0"/>
              <w:marBottom w:val="0"/>
              <w:divBdr>
                <w:top w:val="none" w:sz="0" w:space="0" w:color="auto"/>
                <w:left w:val="none" w:sz="0" w:space="0" w:color="auto"/>
                <w:bottom w:val="none" w:sz="0" w:space="0" w:color="auto"/>
                <w:right w:val="none" w:sz="0" w:space="0" w:color="auto"/>
              </w:divBdr>
              <w:divsChild>
                <w:div w:id="402946576">
                  <w:marLeft w:val="0"/>
                  <w:marRight w:val="0"/>
                  <w:marTop w:val="0"/>
                  <w:marBottom w:val="0"/>
                  <w:divBdr>
                    <w:top w:val="none" w:sz="0" w:space="0" w:color="auto"/>
                    <w:left w:val="none" w:sz="0" w:space="0" w:color="auto"/>
                    <w:bottom w:val="none" w:sz="0" w:space="0" w:color="auto"/>
                    <w:right w:val="none" w:sz="0" w:space="0" w:color="auto"/>
                  </w:divBdr>
                  <w:divsChild>
                    <w:div w:id="19747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33627">
      <w:bodyDiv w:val="1"/>
      <w:marLeft w:val="0"/>
      <w:marRight w:val="0"/>
      <w:marTop w:val="0"/>
      <w:marBottom w:val="0"/>
      <w:divBdr>
        <w:top w:val="none" w:sz="0" w:space="0" w:color="auto"/>
        <w:left w:val="none" w:sz="0" w:space="0" w:color="auto"/>
        <w:bottom w:val="none" w:sz="0" w:space="0" w:color="auto"/>
        <w:right w:val="none" w:sz="0" w:space="0" w:color="auto"/>
      </w:divBdr>
      <w:divsChild>
        <w:div w:id="318310595">
          <w:marLeft w:val="0"/>
          <w:marRight w:val="0"/>
          <w:marTop w:val="0"/>
          <w:marBottom w:val="0"/>
          <w:divBdr>
            <w:top w:val="none" w:sz="0" w:space="0" w:color="auto"/>
            <w:left w:val="none" w:sz="0" w:space="0" w:color="auto"/>
            <w:bottom w:val="none" w:sz="0" w:space="0" w:color="auto"/>
            <w:right w:val="none" w:sz="0" w:space="0" w:color="auto"/>
          </w:divBdr>
          <w:divsChild>
            <w:div w:id="1669168791">
              <w:marLeft w:val="0"/>
              <w:marRight w:val="0"/>
              <w:marTop w:val="0"/>
              <w:marBottom w:val="0"/>
              <w:divBdr>
                <w:top w:val="none" w:sz="0" w:space="0" w:color="auto"/>
                <w:left w:val="none" w:sz="0" w:space="0" w:color="auto"/>
                <w:bottom w:val="none" w:sz="0" w:space="0" w:color="auto"/>
                <w:right w:val="none" w:sz="0" w:space="0" w:color="auto"/>
              </w:divBdr>
              <w:divsChild>
                <w:div w:id="352876818">
                  <w:marLeft w:val="0"/>
                  <w:marRight w:val="0"/>
                  <w:marTop w:val="0"/>
                  <w:marBottom w:val="0"/>
                  <w:divBdr>
                    <w:top w:val="none" w:sz="0" w:space="0" w:color="auto"/>
                    <w:left w:val="none" w:sz="0" w:space="0" w:color="auto"/>
                    <w:bottom w:val="none" w:sz="0" w:space="0" w:color="auto"/>
                    <w:right w:val="none" w:sz="0" w:space="0" w:color="auto"/>
                  </w:divBdr>
                  <w:divsChild>
                    <w:div w:id="82346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073705">
          <w:marLeft w:val="0"/>
          <w:marRight w:val="0"/>
          <w:marTop w:val="0"/>
          <w:marBottom w:val="0"/>
          <w:divBdr>
            <w:top w:val="none" w:sz="0" w:space="0" w:color="auto"/>
            <w:left w:val="none" w:sz="0" w:space="0" w:color="auto"/>
            <w:bottom w:val="none" w:sz="0" w:space="0" w:color="auto"/>
            <w:right w:val="none" w:sz="0" w:space="0" w:color="auto"/>
          </w:divBdr>
          <w:divsChild>
            <w:div w:id="2080709388">
              <w:marLeft w:val="0"/>
              <w:marRight w:val="0"/>
              <w:marTop w:val="0"/>
              <w:marBottom w:val="0"/>
              <w:divBdr>
                <w:top w:val="none" w:sz="0" w:space="0" w:color="auto"/>
                <w:left w:val="none" w:sz="0" w:space="0" w:color="auto"/>
                <w:bottom w:val="none" w:sz="0" w:space="0" w:color="auto"/>
                <w:right w:val="none" w:sz="0" w:space="0" w:color="auto"/>
              </w:divBdr>
              <w:divsChild>
                <w:div w:id="947591219">
                  <w:marLeft w:val="0"/>
                  <w:marRight w:val="0"/>
                  <w:marTop w:val="0"/>
                  <w:marBottom w:val="0"/>
                  <w:divBdr>
                    <w:top w:val="none" w:sz="0" w:space="0" w:color="auto"/>
                    <w:left w:val="none" w:sz="0" w:space="0" w:color="auto"/>
                    <w:bottom w:val="none" w:sz="0" w:space="0" w:color="auto"/>
                    <w:right w:val="none" w:sz="0" w:space="0" w:color="auto"/>
                  </w:divBdr>
                  <w:divsChild>
                    <w:div w:id="100389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26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4AA14-52D5-47C6-A93D-DB8DEDF8F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25</Pages>
  <Words>29548</Words>
  <Characters>177292</Characters>
  <Application>Microsoft Office Word</Application>
  <DocSecurity>0</DocSecurity>
  <Lines>1477</Lines>
  <Paragraphs>412</Paragraphs>
  <ScaleCrop>false</ScaleCrop>
  <HeadingPairs>
    <vt:vector size="6" baseType="variant">
      <vt:variant>
        <vt:lpstr>Tytuł</vt:lpstr>
      </vt:variant>
      <vt:variant>
        <vt:i4>1</vt:i4>
      </vt:variant>
      <vt:variant>
        <vt:lpstr>Titolo</vt:lpstr>
      </vt:variant>
      <vt:variant>
        <vt:i4>1</vt:i4>
      </vt:variant>
      <vt:variant>
        <vt:lpstr>Titre</vt:lpstr>
      </vt:variant>
      <vt:variant>
        <vt:i4>1</vt:i4>
      </vt:variant>
    </vt:vector>
  </HeadingPairs>
  <TitlesOfParts>
    <vt:vector size="3" baseType="lpstr">
      <vt:lpstr>untitled</vt:lpstr>
      <vt:lpstr>untitled</vt:lpstr>
      <vt:lpstr/>
    </vt:vector>
  </TitlesOfParts>
  <Company/>
  <LinksUpToDate>false</LinksUpToDate>
  <CharactersWithSpaces>206428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cp:lastModifiedBy>Natalia SL</cp:lastModifiedBy>
  <cp:revision>6</cp:revision>
  <dcterms:created xsi:type="dcterms:W3CDTF">2026-05-17T21:01:00Z</dcterms:created>
  <dcterms:modified xsi:type="dcterms:W3CDTF">2026-07-18T19:02:00Z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id="C4knmqZ8"/&gt;&lt;style id="http://www.zotero.org/styles/sage-vancouver-brackets" hasBibliography="1" bibliographyStyleHasBeenSet="1"/&gt;&lt;prefs&gt;&lt;pref name="fieldType" value="Field"/&gt;&lt;/prefs&gt;&lt;/data&gt;</vt:lpwstr>
  </property>
  <property fmtid="{D5CDD505-2E9C-101B-9397-08002B2CF9AE}" pid="3" name="GrammarlyDocumentId">
    <vt:lpwstr>d8b62f8de7a6832bb2c6474f4c9ac20c5bc55b13ab6762ea5414e76a3d70ef15</vt:lpwstr>
  </property>
</Properties>
</file>