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A67D3" w14:textId="30135EE2" w:rsidR="00500BAD" w:rsidRDefault="00083DFB"/>
    <w:p w14:paraId="1467A0D5" w14:textId="77777777" w:rsidR="00083DFB" w:rsidRDefault="00083DFB" w:rsidP="00083DFB">
      <w:pPr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Supplementary Table S1</w:t>
      </w:r>
      <w:r>
        <w:rPr>
          <w:rFonts w:ascii="Times New Roman" w:hAnsi="Times New Roman" w:cs="Times New Roman" w:hint="eastAsia"/>
          <w:b/>
          <w:bCs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</w:rPr>
        <w:t>Distribution of frailty status at each assessment within the three trajectory groups</w:t>
      </w:r>
    </w:p>
    <w:tbl>
      <w:tblPr>
        <w:tblW w:w="10417" w:type="dxa"/>
        <w:tblInd w:w="-1003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blBorders>
        <w:shd w:val="clear" w:color="auto" w:fill="F8F8F8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0"/>
        <w:gridCol w:w="1350"/>
        <w:gridCol w:w="1477"/>
        <w:gridCol w:w="1462"/>
        <w:gridCol w:w="1494"/>
        <w:gridCol w:w="1584"/>
      </w:tblGrid>
      <w:tr w:rsidR="00083DFB" w14:paraId="34BBD479" w14:textId="77777777" w:rsidTr="00392643">
        <w:trPr>
          <w:trHeight w:hRule="exact" w:val="1020"/>
          <w:tblHeader/>
        </w:trPr>
        <w:tc>
          <w:tcPr>
            <w:tcW w:w="30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691DA6D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Trajectory group</w:t>
            </w:r>
          </w:p>
        </w:tc>
        <w:tc>
          <w:tcPr>
            <w:tcW w:w="13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47579A4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Frailty status</w:t>
            </w:r>
          </w:p>
        </w:tc>
        <w:tc>
          <w:tcPr>
            <w:tcW w:w="147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9C84D97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Baseline, n (%)</w:t>
            </w:r>
          </w:p>
        </w:tc>
        <w:tc>
          <w:tcPr>
            <w:tcW w:w="146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4555880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 months, n (%)</w:t>
            </w:r>
          </w:p>
        </w:tc>
        <w:tc>
          <w:tcPr>
            <w:tcW w:w="149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930D448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6 months, n (%)</w:t>
            </w:r>
          </w:p>
        </w:tc>
        <w:tc>
          <w:tcPr>
            <w:tcW w:w="158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14CA752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12 months, n (%)</w:t>
            </w:r>
          </w:p>
        </w:tc>
      </w:tr>
      <w:tr w:rsidR="00083DFB" w14:paraId="08ABC974" w14:textId="77777777" w:rsidTr="00392643">
        <w:trPr>
          <w:trHeight w:hRule="exact" w:val="1020"/>
        </w:trPr>
        <w:tc>
          <w:tcPr>
            <w:tcW w:w="30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4D2FE13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Low-decreasing (n = 197)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D69E9C1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Robust</w:t>
            </w:r>
          </w:p>
        </w:tc>
        <w:tc>
          <w:tcPr>
            <w:tcW w:w="14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3397C8F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55 (27.9)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F6C65E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93 (47.2)</w:t>
            </w:r>
          </w:p>
        </w:tc>
        <w:tc>
          <w:tcPr>
            <w:tcW w:w="14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C8EDED4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111 (56.3)</w:t>
            </w:r>
          </w:p>
        </w:tc>
        <w:tc>
          <w:tcPr>
            <w:tcW w:w="15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00771F7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156 (79.2)</w:t>
            </w:r>
          </w:p>
        </w:tc>
      </w:tr>
      <w:tr w:rsidR="00083DFB" w14:paraId="2F5CE95F" w14:textId="77777777" w:rsidTr="00392643">
        <w:trPr>
          <w:trHeight w:hRule="exact" w:val="1020"/>
        </w:trPr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15C2DE0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858AFD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Pre-frail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D5E66D4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90 (45.7)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99BB4CC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84 (42.6)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573D18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73 (37.1)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739CC3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41 (20.8)</w:t>
            </w:r>
          </w:p>
        </w:tc>
      </w:tr>
      <w:tr w:rsidR="00083DFB" w14:paraId="2CDBEC50" w14:textId="77777777" w:rsidTr="00392643">
        <w:trPr>
          <w:trHeight w:hRule="exact" w:val="1020"/>
        </w:trPr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A71B79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79D83D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Frail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0D76A02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52 (26.4)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30A8A39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20 (10.2)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66568BA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13 (6.6)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B6F6E00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 (0.0)</w:t>
            </w:r>
          </w:p>
        </w:tc>
      </w:tr>
      <w:tr w:rsidR="00083DFB" w14:paraId="1DF501FB" w14:textId="77777777" w:rsidTr="00392643">
        <w:trPr>
          <w:trHeight w:hRule="exact" w:val="1020"/>
        </w:trPr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C058BB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Moderate-stable (n = 60)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BCD8601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Robust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69AB9BE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 (6.7)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8D47EA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 (1.7)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B0B6ADE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 (5.0)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00F81D7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 (0.0)</w:t>
            </w:r>
          </w:p>
        </w:tc>
      </w:tr>
      <w:tr w:rsidR="00083DFB" w14:paraId="1466C7E2" w14:textId="77777777" w:rsidTr="00392643">
        <w:trPr>
          <w:trHeight w:hRule="exact" w:val="1020"/>
        </w:trPr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B59AAD0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9FAC2FC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Pre-frail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416F3B8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22 (36.7)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F90C032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32 (53.3)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F2A1CA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 (43.3)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D99E803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35 (58.3)</w:t>
            </w:r>
          </w:p>
        </w:tc>
      </w:tr>
      <w:tr w:rsidR="00083DFB" w14:paraId="2007EACC" w14:textId="77777777" w:rsidTr="00392643">
        <w:trPr>
          <w:trHeight w:hRule="exact" w:val="1020"/>
        </w:trPr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60EE844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4F15743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Frail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9AD8804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34 (56.7)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1480A20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27 (45.0)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3B92D18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31 (51.7)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2039F6D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25 (41.7)</w:t>
            </w:r>
          </w:p>
        </w:tc>
      </w:tr>
      <w:tr w:rsidR="00083DFB" w14:paraId="265C4BE7" w14:textId="77777777" w:rsidTr="00392643">
        <w:trPr>
          <w:trHeight w:hRule="exact" w:val="1020"/>
        </w:trPr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AC7518C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High-increasing (n = 36)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B9065F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Robust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DA4832E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 (5.6)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B495C71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 (8.3)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86C4813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 (8.3)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D15BF64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 (0.0)</w:t>
            </w:r>
          </w:p>
        </w:tc>
      </w:tr>
      <w:tr w:rsidR="00083DFB" w14:paraId="293A6B9A" w14:textId="77777777" w:rsidTr="00392643">
        <w:trPr>
          <w:trHeight w:hRule="exact" w:val="1020"/>
        </w:trPr>
        <w:tc>
          <w:tcPr>
            <w:tcW w:w="3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DD897F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94A974D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Pre-frail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D9B4421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8 (22.2)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8919A0D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 (8.3)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4CFCC80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 (0.0)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2E513EF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 (0.0)</w:t>
            </w:r>
          </w:p>
        </w:tc>
      </w:tr>
      <w:tr w:rsidR="00083DFB" w14:paraId="3D3B8D90" w14:textId="77777777" w:rsidTr="00392643">
        <w:trPr>
          <w:trHeight w:hRule="exact" w:val="1020"/>
        </w:trPr>
        <w:tc>
          <w:tcPr>
            <w:tcW w:w="30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13EBA21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E7763E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Frail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540353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26 (72.2)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B463D78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30 (83.3)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0B1112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33 (91.7)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3EC59BE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36 (100.0)</w:t>
            </w:r>
          </w:p>
        </w:tc>
      </w:tr>
    </w:tbl>
    <w:p w14:paraId="30B2B3DA" w14:textId="77777777" w:rsidR="00083DFB" w:rsidRDefault="00083DFB" w:rsidP="00083DFB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Note: FFP, Fried Frailty Phenotype. Robust was defined as a total FFP score of 0, pre-frail as a score of 1–2, and frail as a score of 3–5. Percentages were calculated within each trajectory group at each assessment. Percentages may not sum to exactly 100% because of rounding.</w:t>
      </w:r>
    </w:p>
    <w:p w14:paraId="52AA8EF5" w14:textId="77777777" w:rsidR="00083DFB" w:rsidRDefault="00083DFB" w:rsidP="00083DFB"/>
    <w:p w14:paraId="743B21E5" w14:textId="77777777" w:rsidR="00083DFB" w:rsidRDefault="00083DFB" w:rsidP="00083DFB"/>
    <w:p w14:paraId="722BC669" w14:textId="1B9046AE" w:rsidR="00083DFB" w:rsidRDefault="00083DFB"/>
    <w:p w14:paraId="08F437B0" w14:textId="1C091070" w:rsidR="00083DFB" w:rsidRDefault="00083DFB"/>
    <w:p w14:paraId="488000E9" w14:textId="77777777" w:rsidR="00083DFB" w:rsidRDefault="00083DFB" w:rsidP="00083DFB">
      <w:pPr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Supplementary Table S2 Sensitivity analysis excluding the SPPB-based locomotor domain from the multinomial logistic regression model</w:t>
      </w:r>
    </w:p>
    <w:tbl>
      <w:tblPr>
        <w:tblW w:w="10966" w:type="dxa"/>
        <w:tblInd w:w="-1136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blBorders>
        <w:shd w:val="clear" w:color="auto" w:fill="F8F8F8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2583"/>
        <w:gridCol w:w="1233"/>
        <w:gridCol w:w="2867"/>
        <w:gridCol w:w="1283"/>
      </w:tblGrid>
      <w:tr w:rsidR="00083DFB" w14:paraId="0A479C41" w14:textId="77777777" w:rsidTr="00392643">
        <w:trPr>
          <w:tblHeader/>
        </w:trPr>
        <w:tc>
          <w:tcPr>
            <w:tcW w:w="30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1AFD6D7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Predictor</w:t>
            </w:r>
          </w:p>
        </w:tc>
        <w:tc>
          <w:tcPr>
            <w:tcW w:w="25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1D1DB0A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Primary model OR (95% CI)</w:t>
            </w:r>
          </w:p>
        </w:tc>
        <w:tc>
          <w:tcPr>
            <w:tcW w:w="12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ACCB585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 value</w:t>
            </w:r>
          </w:p>
        </w:tc>
        <w:tc>
          <w:tcPr>
            <w:tcW w:w="286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A5C9393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Excluding SPPB OR (95% CI)</w:t>
            </w:r>
          </w:p>
        </w:tc>
        <w:tc>
          <w:tcPr>
            <w:tcW w:w="12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C963A4E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 value</w:t>
            </w:r>
          </w:p>
        </w:tc>
      </w:tr>
      <w:tr w:rsidR="00083DFB" w14:paraId="5CC43933" w14:textId="77777777" w:rsidTr="00392643">
        <w:tc>
          <w:tcPr>
            <w:tcW w:w="30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8421BE3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color w:val="000000"/>
                <w:sz w:val="24"/>
              </w:rPr>
              <w:t>Moderate-stable group vs Low-decreasing group</w:t>
            </w:r>
          </w:p>
        </w:tc>
        <w:tc>
          <w:tcPr>
            <w:tcW w:w="25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B34CF19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3F9C0D5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F67818C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0E1AD5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bookmarkEnd w:id="0"/>
      <w:tr w:rsidR="00083DFB" w14:paraId="0BD570F5" w14:textId="77777777" w:rsidTr="00392643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ED33BC1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Low/moderate social support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8A8605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1.906 (0.983–3.698)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E849B9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0.056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05182E3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2.003 (1.038–3.864)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2171D8D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0.038</w:t>
            </w:r>
          </w:p>
        </w:tc>
      </w:tr>
      <w:tr w:rsidR="00083DFB" w14:paraId="119E866D" w14:textId="77777777" w:rsidTr="00392643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65B2C77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Cognitive impairment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2C59351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2.632 (1.263–5.488)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0B16C35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0.010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9108A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2.522 (1.214–5.238)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40652AD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0.013</w:t>
            </w:r>
          </w:p>
        </w:tc>
      </w:tr>
      <w:tr w:rsidR="00083DFB" w14:paraId="47335446" w14:textId="77777777" w:rsidTr="00392643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997B355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Psychological impairment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BC76C0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3.671 (1.630–8.271)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C88A342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0.002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0EBFCD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3.786 (1.685–8.508)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84F59C2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0.001</w:t>
            </w:r>
          </w:p>
        </w:tc>
      </w:tr>
      <w:tr w:rsidR="00083DFB" w14:paraId="637D203B" w14:textId="77777777" w:rsidTr="00392643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734D162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High-increasing group vs Low-decreasing group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05148CF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9630D7C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809112E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EE50852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083DFB" w14:paraId="1B380243" w14:textId="77777777" w:rsidTr="00392643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24A6DBF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Normal/mild stroke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C610AF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0.271 (0.095–0.773)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1EE394A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0.015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B188F05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0.338 (0.126–0.905)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8338311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0.031</w:t>
            </w:r>
          </w:p>
        </w:tc>
      </w:tr>
      <w:tr w:rsidR="00083DFB" w14:paraId="1C9E8873" w14:textId="77777777" w:rsidTr="00392643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EBB8B12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High comorbidity burden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BD31D5D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3.801 (1.610–8.978)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D1A3ADF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0.002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2515EC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3.654 (1.559–8.561)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6AE6D28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0.003</w:t>
            </w:r>
          </w:p>
        </w:tc>
      </w:tr>
      <w:tr w:rsidR="00083DFB" w14:paraId="2B21BD14" w14:textId="77777777" w:rsidTr="00392643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8E5736E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Low/moderate social support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589F9A8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3.171 (1.310–7.672)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93B92CC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0.010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D7B841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2.903 (1.222–6.900)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6880483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0.016</w:t>
            </w:r>
          </w:p>
        </w:tc>
      </w:tr>
      <w:tr w:rsidR="00083DFB" w14:paraId="6A5A6231" w14:textId="77777777" w:rsidTr="00392643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85F778A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Cognitive impairment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179C9B8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4.506 (1.846–11.002)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83C507E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0.001</w:t>
            </w:r>
          </w:p>
        </w:tc>
        <w:tc>
          <w:tcPr>
            <w:tcW w:w="28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CE8B18A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4.600 (1.895–11.163)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5EFC4B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&lt;0.001</w:t>
            </w:r>
          </w:p>
        </w:tc>
      </w:tr>
      <w:tr w:rsidR="00083DFB" w14:paraId="268BE885" w14:textId="77777777" w:rsidTr="00392643">
        <w:tc>
          <w:tcPr>
            <w:tcW w:w="30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875D71B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Psychological impairment</w:t>
            </w:r>
          </w:p>
        </w:tc>
        <w:tc>
          <w:tcPr>
            <w:tcW w:w="25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BC9F076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3.161 (1.123–8.900)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D1ACDEA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0.029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85A44D4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2.897 (1.040–8.071)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A0F430C" w14:textId="77777777" w:rsidR="00083DFB" w:rsidRDefault="00083DFB" w:rsidP="00392643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0.042</w:t>
            </w:r>
          </w:p>
        </w:tc>
      </w:tr>
    </w:tbl>
    <w:p w14:paraId="606402E4" w14:textId="77777777" w:rsidR="00083DFB" w:rsidRDefault="00083DFB" w:rsidP="00083DFB">
      <w:pPr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Note: The low-decreasing trajectory group was used as the reference outcome category. The sensitivity model retained the same predictor variables and reference categories as the primary model, except that the SPPB-based locomotor domain was excluded. Reference categories were moderate/severe stroke, non-high comorbidity burden, high social support, and normal status for each intrinsic capacity domain. Normal/mild stroke included normal/near-normal and mild NIHSS categories; moderate/severe stroke included moderate and severe NIHSS categories.</w:t>
      </w:r>
    </w:p>
    <w:p w14:paraId="77CFD717" w14:textId="77777777" w:rsidR="00083DFB" w:rsidRDefault="00083DFB" w:rsidP="00083DFB">
      <w:pPr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Abbreviations: CI, confidence interval; NIHSS, National Institutes of Health Stroke Scale; OR, odds ratio; SPPB, Short Physical Performance Battery.</w:t>
      </w:r>
    </w:p>
    <w:p w14:paraId="22C866B1" w14:textId="77777777" w:rsidR="00083DFB" w:rsidRDefault="00083DFB"/>
    <w:sectPr w:rsidR="00083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BA"/>
    <w:rsid w:val="00083DFB"/>
    <w:rsid w:val="002458FD"/>
    <w:rsid w:val="007D76BA"/>
    <w:rsid w:val="00B3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31058"/>
  <w15:chartTrackingRefBased/>
  <w15:docId w15:val="{47884E65-6EEF-42A6-A8AF-94D71517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3DFB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 Rawat2</dc:creator>
  <cp:keywords/>
  <dc:description/>
  <cp:lastModifiedBy>Shubham Rawat2</cp:lastModifiedBy>
  <cp:revision>2</cp:revision>
  <dcterms:created xsi:type="dcterms:W3CDTF">2026-10-02T09:06:00Z</dcterms:created>
  <dcterms:modified xsi:type="dcterms:W3CDTF">2026-10-02T09:06:00Z</dcterms:modified>
</cp:coreProperties>
</file>