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2EE6F" w14:textId="77777777" w:rsidR="0069354C" w:rsidRPr="0069354C" w:rsidRDefault="0069354C" w:rsidP="0069354C">
      <w:pPr>
        <w:spacing w:line="259" w:lineRule="auto"/>
        <w:jc w:val="center"/>
        <w:rPr>
          <w:rFonts w:ascii="Times New Roman" w:eastAsia="Calibri" w:hAnsi="Times New Roman" w:cs="Times New Roman"/>
          <w:b/>
          <w:bCs/>
          <w:kern w:val="0"/>
          <w:sz w:val="18"/>
          <w:szCs w:val="18"/>
          <w:lang w:bidi="fa-IR"/>
          <w14:ligatures w14:val="none"/>
        </w:rPr>
      </w:pPr>
      <w:bookmarkStart w:id="0" w:name="_Hlk237647370"/>
      <w:r w:rsidRPr="0069354C">
        <w:rPr>
          <w:rFonts w:ascii="Times New Roman" w:eastAsia="Calibri" w:hAnsi="Times New Roman" w:cs="Times New Roman"/>
          <w:b/>
          <w:bCs/>
          <w:kern w:val="0"/>
          <w:lang w:bidi="fa-IR"/>
          <w14:ligatures w14:val="none"/>
        </w:rPr>
        <w:t>From Chronic Disease Burden to Cognitive Decline: A Systematic Review of Multimorbidity in Older Adults</w:t>
      </w:r>
    </w:p>
    <w:bookmarkEnd w:id="0"/>
    <w:p w14:paraId="74F5F220" w14:textId="3F5759A6" w:rsidR="0069354C" w:rsidRDefault="0069354C" w:rsidP="004503C7">
      <w:pPr>
        <w:rPr>
          <w:rFonts w:asciiTheme="majorBidi" w:hAnsiTheme="majorBidi" w:cstheme="majorBidi"/>
          <w:noProof/>
          <w:sz w:val="16"/>
          <w:szCs w:val="16"/>
        </w:rPr>
      </w:pPr>
    </w:p>
    <w:p w14:paraId="15170388" w14:textId="77777777" w:rsidR="0069354C" w:rsidRDefault="0069354C" w:rsidP="004503C7">
      <w:pPr>
        <w:rPr>
          <w:rFonts w:asciiTheme="majorBidi" w:hAnsiTheme="majorBidi" w:cstheme="majorBidi"/>
          <w:noProof/>
          <w:sz w:val="16"/>
          <w:szCs w:val="16"/>
        </w:rPr>
      </w:pPr>
    </w:p>
    <w:tbl>
      <w:tblPr>
        <w:tblStyle w:val="PlainTable1"/>
        <w:tblW w:w="15027" w:type="dxa"/>
        <w:tblInd w:w="-998" w:type="dxa"/>
        <w:tblLayout w:type="fixed"/>
        <w:tblLook w:val="04A0" w:firstRow="1" w:lastRow="0" w:firstColumn="1" w:lastColumn="0" w:noHBand="0" w:noVBand="1"/>
      </w:tblPr>
      <w:tblGrid>
        <w:gridCol w:w="851"/>
        <w:gridCol w:w="851"/>
        <w:gridCol w:w="1134"/>
        <w:gridCol w:w="1559"/>
        <w:gridCol w:w="1701"/>
        <w:gridCol w:w="1843"/>
        <w:gridCol w:w="1418"/>
        <w:gridCol w:w="1275"/>
        <w:gridCol w:w="3686"/>
        <w:gridCol w:w="709"/>
      </w:tblGrid>
      <w:tr w:rsidR="0069354C" w:rsidRPr="00B521CA" w14:paraId="2BDBC3DD" w14:textId="77777777" w:rsidTr="003261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tcBorders>
          </w:tcPr>
          <w:p w14:paraId="4D65481C" w14:textId="77777777" w:rsidR="0069354C" w:rsidRPr="00B521CA" w:rsidRDefault="0069354C" w:rsidP="0032614C">
            <w:pPr>
              <w:jc w:val="center"/>
              <w:rPr>
                <w:rFonts w:asciiTheme="majorBidi" w:hAnsiTheme="majorBidi" w:cstheme="majorBidi"/>
                <w:sz w:val="16"/>
                <w:szCs w:val="16"/>
              </w:rPr>
            </w:pPr>
            <w:bookmarkStart w:id="1" w:name="_Hlk237654353"/>
            <w:r w:rsidRPr="00273E30">
              <w:rPr>
                <w:rFonts w:asciiTheme="majorBidi" w:hAnsiTheme="majorBidi" w:cstheme="majorBidi"/>
                <w:sz w:val="16"/>
                <w:szCs w:val="16"/>
              </w:rPr>
              <w:t>Author, year</w:t>
            </w:r>
          </w:p>
        </w:tc>
        <w:tc>
          <w:tcPr>
            <w:tcW w:w="851" w:type="dxa"/>
            <w:tcBorders>
              <w:top w:val="single" w:sz="4" w:space="0" w:color="auto"/>
            </w:tcBorders>
          </w:tcPr>
          <w:p w14:paraId="418C3C7A" w14:textId="77777777" w:rsidR="0069354C" w:rsidRPr="00B521CA"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Country</w:t>
            </w:r>
          </w:p>
        </w:tc>
        <w:tc>
          <w:tcPr>
            <w:tcW w:w="1134" w:type="dxa"/>
            <w:tcBorders>
              <w:top w:val="single" w:sz="4" w:space="0" w:color="auto"/>
            </w:tcBorders>
          </w:tcPr>
          <w:p w14:paraId="3BF8FA26" w14:textId="77777777" w:rsidR="0069354C" w:rsidRPr="00B521CA"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Design</w:t>
            </w:r>
          </w:p>
        </w:tc>
        <w:tc>
          <w:tcPr>
            <w:tcW w:w="1559" w:type="dxa"/>
            <w:tcBorders>
              <w:top w:val="single" w:sz="4" w:space="0" w:color="auto"/>
            </w:tcBorders>
          </w:tcPr>
          <w:p w14:paraId="59A157DF" w14:textId="77777777" w:rsidR="0069354C" w:rsidRPr="00716EA3"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16"/>
                <w:szCs w:val="16"/>
              </w:rPr>
            </w:pPr>
            <w:r w:rsidRPr="00273E30">
              <w:rPr>
                <w:rFonts w:asciiTheme="majorBidi" w:hAnsiTheme="majorBidi" w:cstheme="majorBidi"/>
                <w:sz w:val="16"/>
                <w:szCs w:val="16"/>
              </w:rPr>
              <w:t>Sample</w:t>
            </w:r>
            <w:r>
              <w:rPr>
                <w:rFonts w:asciiTheme="majorBidi" w:hAnsiTheme="majorBidi" w:cstheme="majorBidi"/>
                <w:b w:val="0"/>
                <w:bCs w:val="0"/>
                <w:sz w:val="16"/>
                <w:szCs w:val="16"/>
              </w:rPr>
              <w:t xml:space="preserve"> / </w:t>
            </w:r>
            <w:r w:rsidRPr="00273E30">
              <w:rPr>
                <w:rFonts w:asciiTheme="majorBidi" w:hAnsiTheme="majorBidi" w:cstheme="majorBidi"/>
                <w:sz w:val="16"/>
                <w:szCs w:val="16"/>
              </w:rPr>
              <w:t>Age</w:t>
            </w:r>
            <w:r>
              <w:rPr>
                <w:rFonts w:asciiTheme="majorBidi" w:hAnsiTheme="majorBidi" w:cstheme="majorBidi"/>
                <w:b w:val="0"/>
                <w:bCs w:val="0"/>
                <w:sz w:val="16"/>
                <w:szCs w:val="16"/>
              </w:rPr>
              <w:t xml:space="preserve"> /</w:t>
            </w:r>
            <w:r>
              <w:rPr>
                <w:rFonts w:asciiTheme="majorBidi" w:hAnsiTheme="majorBidi" w:cstheme="majorBidi"/>
                <w:sz w:val="16"/>
                <w:szCs w:val="16"/>
              </w:rPr>
              <w:t xml:space="preserve"> </w:t>
            </w:r>
            <w:r w:rsidRPr="00273E30">
              <w:rPr>
                <w:rFonts w:asciiTheme="majorBidi" w:hAnsiTheme="majorBidi" w:cstheme="majorBidi"/>
                <w:sz w:val="16"/>
                <w:szCs w:val="16"/>
              </w:rPr>
              <w:t>Sex</w:t>
            </w:r>
          </w:p>
        </w:tc>
        <w:tc>
          <w:tcPr>
            <w:tcW w:w="1701" w:type="dxa"/>
            <w:tcBorders>
              <w:top w:val="single" w:sz="4" w:space="0" w:color="auto"/>
            </w:tcBorders>
          </w:tcPr>
          <w:p w14:paraId="1DB4FE93" w14:textId="77777777" w:rsidR="0069354C" w:rsidRPr="00273E30"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Multimorbidity definition</w:t>
            </w:r>
          </w:p>
        </w:tc>
        <w:tc>
          <w:tcPr>
            <w:tcW w:w="1843" w:type="dxa"/>
            <w:tcBorders>
              <w:top w:val="single" w:sz="4" w:space="0" w:color="auto"/>
            </w:tcBorders>
          </w:tcPr>
          <w:p w14:paraId="43970AD8" w14:textId="77777777" w:rsidR="0069354C" w:rsidRPr="00273E30"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Exposure measurement</w:t>
            </w:r>
          </w:p>
        </w:tc>
        <w:tc>
          <w:tcPr>
            <w:tcW w:w="1418" w:type="dxa"/>
            <w:tcBorders>
              <w:top w:val="single" w:sz="4" w:space="0" w:color="auto"/>
            </w:tcBorders>
          </w:tcPr>
          <w:p w14:paraId="1487D836" w14:textId="77777777" w:rsidR="0069354C" w:rsidRPr="00273E30"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Cognitive assessment</w:t>
            </w:r>
          </w:p>
        </w:tc>
        <w:tc>
          <w:tcPr>
            <w:tcW w:w="1275" w:type="dxa"/>
            <w:tcBorders>
              <w:top w:val="single" w:sz="4" w:space="0" w:color="auto"/>
            </w:tcBorders>
          </w:tcPr>
          <w:p w14:paraId="3A7E5DFE" w14:textId="77777777" w:rsidR="0069354C" w:rsidRPr="00273E30"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Cognitive outcome</w:t>
            </w:r>
          </w:p>
        </w:tc>
        <w:tc>
          <w:tcPr>
            <w:tcW w:w="3686" w:type="dxa"/>
            <w:tcBorders>
              <w:top w:val="single" w:sz="4" w:space="0" w:color="auto"/>
            </w:tcBorders>
          </w:tcPr>
          <w:p w14:paraId="1CE8B2F7" w14:textId="77777777" w:rsidR="0069354C" w:rsidRPr="00273E30"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Main finding</w:t>
            </w:r>
          </w:p>
        </w:tc>
        <w:tc>
          <w:tcPr>
            <w:tcW w:w="709" w:type="dxa"/>
            <w:tcBorders>
              <w:top w:val="single" w:sz="4" w:space="0" w:color="auto"/>
            </w:tcBorders>
          </w:tcPr>
          <w:p w14:paraId="26267178" w14:textId="77777777" w:rsidR="0069354C" w:rsidRPr="00273E30" w:rsidRDefault="0069354C" w:rsidP="0032614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JBI score</w:t>
            </w:r>
          </w:p>
        </w:tc>
      </w:tr>
      <w:tr w:rsidR="0069354C" w:rsidRPr="00B521CA" w14:paraId="5FFA1FC4"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28F5C2C3"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w:t>
            </w:r>
            <w:proofErr w:type="spellStart"/>
            <w:r w:rsidRPr="004503C7">
              <w:rPr>
                <w:rFonts w:asciiTheme="majorBidi" w:hAnsiTheme="majorBidi" w:cstheme="majorBidi"/>
                <w:sz w:val="16"/>
                <w:szCs w:val="16"/>
              </w:rPr>
              <w:t>AlHarkan</w:t>
            </w:r>
            <w:proofErr w:type="spellEnd"/>
            <w:r w:rsidRPr="004503C7">
              <w:rPr>
                <w:rFonts w:asciiTheme="majorBidi" w:hAnsiTheme="majorBidi" w:cstheme="majorBidi"/>
                <w:sz w:val="16"/>
                <w:szCs w:val="16"/>
              </w:rPr>
              <w:t xml:space="preserve"> et al., 2024)</w:t>
            </w:r>
          </w:p>
          <w:p w14:paraId="773D85A2" w14:textId="77777777" w:rsidR="0069354C" w:rsidRPr="00B521CA" w:rsidRDefault="0069354C" w:rsidP="0032614C">
            <w:pPr>
              <w:rPr>
                <w:rFonts w:asciiTheme="majorBidi" w:hAnsiTheme="majorBidi" w:cstheme="majorBidi"/>
                <w:b w:val="0"/>
                <w:bCs w:val="0"/>
                <w:sz w:val="16"/>
                <w:szCs w:val="16"/>
              </w:rPr>
            </w:pPr>
          </w:p>
        </w:tc>
        <w:tc>
          <w:tcPr>
            <w:tcW w:w="851" w:type="dxa"/>
          </w:tcPr>
          <w:p w14:paraId="0E3C8D0B"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Saudi Arabia</w:t>
            </w:r>
          </w:p>
        </w:tc>
        <w:tc>
          <w:tcPr>
            <w:tcW w:w="1134" w:type="dxa"/>
          </w:tcPr>
          <w:p w14:paraId="43FB95C5"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Cross-sectional study</w:t>
            </w:r>
          </w:p>
        </w:tc>
        <w:tc>
          <w:tcPr>
            <w:tcW w:w="1559" w:type="dxa"/>
          </w:tcPr>
          <w:p w14:paraId="25AD77F1" w14:textId="77777777"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273E30">
              <w:rPr>
                <w:rFonts w:asciiTheme="majorBidi" w:hAnsiTheme="majorBidi" w:cstheme="majorBidi"/>
                <w:sz w:val="16"/>
                <w:szCs w:val="16"/>
              </w:rPr>
              <w:t>n = 343</w:t>
            </w:r>
          </w:p>
          <w:p w14:paraId="0ADF1612" w14:textId="77777777"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2B5E68E3" w14:textId="77777777" w:rsidR="0069354C" w:rsidRPr="0071562D"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5FEA96B8"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≥60 years; mean age ≈65 years; 74.1% aged 60–75 and 21.9% aged 76–90</w:t>
            </w:r>
            <w:r>
              <w:rPr>
                <w:rFonts w:asciiTheme="majorBidi" w:hAnsiTheme="majorBidi" w:cstheme="majorBidi"/>
                <w:sz w:val="16"/>
                <w:szCs w:val="16"/>
                <w:lang w:bidi="fa-IR"/>
              </w:rPr>
              <w:t xml:space="preserve"> /</w:t>
            </w:r>
          </w:p>
          <w:p w14:paraId="45A4EAE8"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p>
          <w:p w14:paraId="62D4ACDB"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67.9% male; 32.1% female</w:t>
            </w:r>
          </w:p>
        </w:tc>
        <w:tc>
          <w:tcPr>
            <w:tcW w:w="1701" w:type="dxa"/>
          </w:tcPr>
          <w:p w14:paraId="13F840F4"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More than one chronic disease (≥2), excluding dementia; conditions assessed included diabetes, hypertension, coronary artery disease, stroke, depression, anxiety, and chronic pain</w:t>
            </w:r>
          </w:p>
        </w:tc>
        <w:tc>
          <w:tcPr>
            <w:tcW w:w="1843" w:type="dxa"/>
          </w:tcPr>
          <w:p w14:paraId="35E079A1"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Primarily self-reported medical history obtained through face-to-face interviews</w:t>
            </w:r>
          </w:p>
        </w:tc>
        <w:tc>
          <w:tcPr>
            <w:tcW w:w="1418" w:type="dxa"/>
          </w:tcPr>
          <w:p w14:paraId="7FA6D6AC"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Validated Arabic version of the St. Louis University Mental Status Examination (SLUMS)</w:t>
            </w:r>
          </w:p>
        </w:tc>
        <w:tc>
          <w:tcPr>
            <w:tcW w:w="1275" w:type="dxa"/>
          </w:tcPr>
          <w:p w14:paraId="3E8685BC"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Normal cognition, mild neurocognitive disorder/MCI, and dementia</w:t>
            </w:r>
          </w:p>
        </w:tc>
        <w:tc>
          <w:tcPr>
            <w:tcW w:w="3686" w:type="dxa"/>
          </w:tcPr>
          <w:p w14:paraId="49C563E0"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Greater chronic disease burden was associated with cognitive impairment in unadjusted analysis (crude OR 1.38, 95% CI 1.16–1.65; P&lt;0.001), but the association was attenuated and non-significant after adjustment (</w:t>
            </w:r>
            <w:proofErr w:type="spellStart"/>
            <w:r w:rsidRPr="00273E30">
              <w:rPr>
                <w:rFonts w:asciiTheme="majorBidi" w:hAnsiTheme="majorBidi" w:cstheme="majorBidi"/>
                <w:sz w:val="16"/>
                <w:szCs w:val="16"/>
                <w:lang w:bidi="fa-IR"/>
              </w:rPr>
              <w:t>aOR</w:t>
            </w:r>
            <w:proofErr w:type="spellEnd"/>
            <w:r w:rsidRPr="00273E30">
              <w:rPr>
                <w:rFonts w:asciiTheme="majorBidi" w:hAnsiTheme="majorBidi" w:cstheme="majorBidi"/>
                <w:sz w:val="16"/>
                <w:szCs w:val="16"/>
                <w:lang w:bidi="fa-IR"/>
              </w:rPr>
              <w:t xml:space="preserve"> 1.02, 95% CI 0.73–1.43; P=0.897). Female sex and diabetes remained independently associated with cognitive impairment.</w:t>
            </w:r>
          </w:p>
        </w:tc>
        <w:tc>
          <w:tcPr>
            <w:tcW w:w="709" w:type="dxa"/>
          </w:tcPr>
          <w:p w14:paraId="34955567" w14:textId="77777777" w:rsidR="0069354C" w:rsidRPr="00B521CA" w:rsidRDefault="0069354C" w:rsidP="0032614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273E30">
              <w:rPr>
                <w:rFonts w:asciiTheme="majorBidi" w:hAnsiTheme="majorBidi" w:cstheme="majorBidi"/>
                <w:sz w:val="16"/>
                <w:szCs w:val="16"/>
                <w:lang w:bidi="fa-IR"/>
              </w:rPr>
              <w:t>7/8</w:t>
            </w:r>
          </w:p>
        </w:tc>
      </w:tr>
      <w:tr w:rsidR="0069354C" w:rsidRPr="00B521CA" w14:paraId="6C1C02D9"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19A189C2"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(Ben Hassen et al., 2022)</w:t>
            </w:r>
          </w:p>
          <w:p w14:paraId="652E8C00" w14:textId="77777777" w:rsidR="0069354C" w:rsidRPr="00B521CA" w:rsidRDefault="0069354C" w:rsidP="0032614C">
            <w:pPr>
              <w:rPr>
                <w:rFonts w:asciiTheme="majorBidi" w:hAnsiTheme="majorBidi" w:cstheme="majorBidi"/>
                <w:b w:val="0"/>
                <w:bCs w:val="0"/>
                <w:sz w:val="16"/>
                <w:szCs w:val="16"/>
              </w:rPr>
            </w:pPr>
          </w:p>
        </w:tc>
        <w:tc>
          <w:tcPr>
            <w:tcW w:w="851" w:type="dxa"/>
          </w:tcPr>
          <w:p w14:paraId="45BDC280"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United Kingdom</w:t>
            </w:r>
          </w:p>
        </w:tc>
        <w:tc>
          <w:tcPr>
            <w:tcW w:w="1134" w:type="dxa"/>
          </w:tcPr>
          <w:p w14:paraId="1BDB94EC"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highlight w:val="yellow"/>
              </w:rPr>
            </w:pPr>
            <w:r w:rsidRPr="00716EA3">
              <w:rPr>
                <w:rFonts w:asciiTheme="majorBidi" w:hAnsiTheme="majorBidi" w:cstheme="majorBidi"/>
                <w:sz w:val="16"/>
                <w:szCs w:val="16"/>
              </w:rPr>
              <w:t>Prospective cohort study (Whitehall II)</w:t>
            </w:r>
          </w:p>
        </w:tc>
        <w:tc>
          <w:tcPr>
            <w:tcW w:w="1559" w:type="dxa"/>
          </w:tcPr>
          <w:p w14:paraId="51ECF534" w14:textId="77777777" w:rsidR="0069354C" w:rsidRDefault="0069354C" w:rsidP="0032614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n=10,095</w:t>
            </w:r>
          </w:p>
          <w:p w14:paraId="0A87B312" w14:textId="77777777" w:rsidR="0069354C" w:rsidRPr="00716EA3" w:rsidRDefault="0069354C" w:rsidP="0032614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12ED7197" w14:textId="77777777" w:rsidR="0069354C" w:rsidRDefault="0069354C" w:rsidP="0032614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 xml:space="preserve">Age 60: n=9,760; </w:t>
            </w:r>
          </w:p>
          <w:p w14:paraId="3A2B5C3D" w14:textId="77777777" w:rsidR="0069354C" w:rsidRDefault="0069354C" w:rsidP="0032614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 xml:space="preserve">age 65: n=9,482; </w:t>
            </w:r>
          </w:p>
          <w:p w14:paraId="2C7E5459" w14:textId="77777777" w:rsidR="0069354C" w:rsidRDefault="0069354C" w:rsidP="0032614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age 70: n=7,783</w:t>
            </w:r>
          </w:p>
          <w:p w14:paraId="0576990D"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tc>
        <w:tc>
          <w:tcPr>
            <w:tcW w:w="1701" w:type="dxa"/>
          </w:tcPr>
          <w:p w14:paraId="31DA3C79"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≥2 of 13 chronic conditions; severity also categorized as ≤1, 2, or ≥3 conditions</w:t>
            </w:r>
          </w:p>
        </w:tc>
        <w:tc>
          <w:tcPr>
            <w:tcW w:w="1843" w:type="dxa"/>
          </w:tcPr>
          <w:p w14:paraId="1C4EC301"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Clinical examinations plus linked NHS electronic health records</w:t>
            </w:r>
          </w:p>
        </w:tc>
        <w:tc>
          <w:tcPr>
            <w:tcW w:w="1418" w:type="dxa"/>
          </w:tcPr>
          <w:p w14:paraId="149BB710"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HES, Mental Health Services Data Set, and mortality registry using ICD-10 codes F00–F03, F05.1, G30, and G31</w:t>
            </w:r>
          </w:p>
        </w:tc>
        <w:tc>
          <w:tcPr>
            <w:tcW w:w="1275" w:type="dxa"/>
          </w:tcPr>
          <w:p w14:paraId="34CA8F0B"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Incident all-cause dementia</w:t>
            </w:r>
          </w:p>
        </w:tc>
        <w:tc>
          <w:tcPr>
            <w:tcW w:w="3686" w:type="dxa"/>
          </w:tcPr>
          <w:p w14:paraId="59DE759B"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Among participants assessed at ages ≥60, earlier onset and greater severity of multimorbidity were associated with higher subsequent dementia risk. At age 65, MM onset at 60–65 years was associated with HR 1.51 (1.16–1.97), whereas onset before 55 years was associated with HR 2.46 (1.80–3.36). At age 70, onset before 55 years was associated with HR 2.60 (1.84–3.67). Three or more chronic conditions were associated with HRs of 4.23, 2.43, and 1.65 at ages 60, 65, and 70, respectively.</w:t>
            </w:r>
          </w:p>
        </w:tc>
        <w:tc>
          <w:tcPr>
            <w:tcW w:w="709" w:type="dxa"/>
          </w:tcPr>
          <w:p w14:paraId="4652A8A1"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10/11</w:t>
            </w:r>
          </w:p>
        </w:tc>
      </w:tr>
      <w:tr w:rsidR="0069354C" w:rsidRPr="00B521CA" w14:paraId="3581FFA3"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9A64149"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 xml:space="preserve">(De </w:t>
            </w:r>
            <w:proofErr w:type="spellStart"/>
            <w:r w:rsidRPr="004503C7">
              <w:rPr>
                <w:rFonts w:asciiTheme="majorBidi" w:hAnsiTheme="majorBidi" w:cstheme="majorBidi"/>
                <w:sz w:val="16"/>
                <w:szCs w:val="16"/>
              </w:rPr>
              <w:t>Zoysa</w:t>
            </w:r>
            <w:proofErr w:type="spellEnd"/>
            <w:r w:rsidRPr="004503C7">
              <w:rPr>
                <w:rFonts w:asciiTheme="majorBidi" w:hAnsiTheme="majorBidi" w:cstheme="majorBidi"/>
                <w:sz w:val="16"/>
                <w:szCs w:val="16"/>
              </w:rPr>
              <w:t xml:space="preserve"> et al., 2025)</w:t>
            </w:r>
          </w:p>
          <w:p w14:paraId="4A234A23" w14:textId="77777777" w:rsidR="0069354C" w:rsidRPr="00B521CA" w:rsidRDefault="0069354C" w:rsidP="0032614C">
            <w:pPr>
              <w:rPr>
                <w:rFonts w:asciiTheme="majorBidi" w:hAnsiTheme="majorBidi" w:cstheme="majorBidi"/>
                <w:b w:val="0"/>
                <w:bCs w:val="0"/>
                <w:sz w:val="16"/>
                <w:szCs w:val="16"/>
              </w:rPr>
            </w:pPr>
          </w:p>
        </w:tc>
        <w:tc>
          <w:tcPr>
            <w:tcW w:w="851" w:type="dxa"/>
          </w:tcPr>
          <w:p w14:paraId="46DFF888" w14:textId="77777777" w:rsidR="0069354C" w:rsidRPr="00B521CA"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Sri Lanka</w:t>
            </w:r>
          </w:p>
        </w:tc>
        <w:tc>
          <w:tcPr>
            <w:tcW w:w="1134" w:type="dxa"/>
          </w:tcPr>
          <w:p w14:paraId="194E4EC1"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Multicenter cross-sectional study</w:t>
            </w:r>
          </w:p>
        </w:tc>
        <w:tc>
          <w:tcPr>
            <w:tcW w:w="1559" w:type="dxa"/>
          </w:tcPr>
          <w:p w14:paraId="6C2FF151" w14:textId="635FDB54"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lang w:bidi="fa-IR"/>
              </w:rPr>
            </w:pPr>
            <w:r w:rsidRPr="00716EA3">
              <w:rPr>
                <w:rFonts w:asciiTheme="majorBidi" w:hAnsiTheme="majorBidi" w:cstheme="majorBidi"/>
                <w:sz w:val="16"/>
                <w:szCs w:val="16"/>
              </w:rPr>
              <w:t>n = 704</w:t>
            </w:r>
          </w:p>
          <w:p w14:paraId="06499AE7" w14:textId="77777777"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50C847BD" w14:textId="77777777" w:rsidR="0069354C" w:rsidRPr="0071562D"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2E7503DD" w14:textId="77777777" w:rsidR="0069354C" w:rsidRDefault="0069354C" w:rsidP="0032614C">
            <w:pPr>
              <w:tabs>
                <w:tab w:val="right" w:pos="1550"/>
              </w:tabs>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≥65 years; mean 72.6 ± 5.5 years</w:t>
            </w:r>
          </w:p>
          <w:p w14:paraId="5A2205D5" w14:textId="77777777" w:rsidR="0069354C" w:rsidRDefault="0069354C" w:rsidP="0032614C">
            <w:pPr>
              <w:tabs>
                <w:tab w:val="right" w:pos="1550"/>
              </w:tabs>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6646A055" w14:textId="77777777" w:rsidR="0069354C" w:rsidRPr="00716EA3"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58.7% female</w:t>
            </w:r>
          </w:p>
        </w:tc>
        <w:tc>
          <w:tcPr>
            <w:tcW w:w="1701" w:type="dxa"/>
          </w:tcPr>
          <w:p w14:paraId="3E81C28F" w14:textId="77777777" w:rsidR="0069354C" w:rsidRDefault="0069354C" w:rsidP="0032614C">
            <w:pPr>
              <w:tabs>
                <w:tab w:val="right" w:pos="1550"/>
              </w:tabs>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Presence of ≥2 current chronic diseases</w:t>
            </w:r>
          </w:p>
          <w:p w14:paraId="1311AE16" w14:textId="77777777" w:rsidR="0069354C" w:rsidRDefault="0069354C" w:rsidP="0032614C">
            <w:pPr>
              <w:tabs>
                <w:tab w:val="right" w:pos="1550"/>
              </w:tabs>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28503612" w14:textId="77777777" w:rsidR="0069354C" w:rsidRPr="00716EA3" w:rsidRDefault="0069354C" w:rsidP="0032614C">
            <w:pPr>
              <w:tabs>
                <w:tab w:val="right" w:pos="1550"/>
              </w:tabs>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716EA3">
              <w:rPr>
                <w:rFonts w:asciiTheme="majorBidi" w:hAnsiTheme="majorBidi" w:cstheme="majorBidi"/>
                <w:sz w:val="16"/>
                <w:szCs w:val="16"/>
              </w:rPr>
              <w:t>Multimorbidity prevalence</w:t>
            </w:r>
            <w:r>
              <w:rPr>
                <w:rFonts w:asciiTheme="majorBidi" w:hAnsiTheme="majorBidi" w:cstheme="majorBidi"/>
                <w:sz w:val="16"/>
                <w:szCs w:val="16"/>
              </w:rPr>
              <w:t xml:space="preserve"> = </w:t>
            </w:r>
            <w:r w:rsidRPr="00716EA3">
              <w:rPr>
                <w:rFonts w:asciiTheme="majorBidi" w:hAnsiTheme="majorBidi" w:cstheme="majorBidi"/>
                <w:sz w:val="16"/>
                <w:szCs w:val="16"/>
              </w:rPr>
              <w:t>77.4%</w:t>
            </w:r>
          </w:p>
          <w:p w14:paraId="28370D3C" w14:textId="77777777" w:rsidR="0069354C" w:rsidRPr="00B521CA" w:rsidRDefault="0069354C" w:rsidP="0032614C">
            <w:pPr>
              <w:tabs>
                <w:tab w:val="right" w:pos="1550"/>
              </w:tabs>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843" w:type="dxa"/>
          </w:tcPr>
          <w:p w14:paraId="63036F37" w14:textId="77777777" w:rsidR="0069354C" w:rsidRPr="00B521CA" w:rsidRDefault="0069354C" w:rsidP="0032614C">
            <w:pPr>
              <w:tabs>
                <w:tab w:val="right" w:pos="1550"/>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w:t>
            </w:r>
          </w:p>
        </w:tc>
        <w:tc>
          <w:tcPr>
            <w:tcW w:w="1418" w:type="dxa"/>
          </w:tcPr>
          <w:p w14:paraId="15CE8892" w14:textId="77777777" w:rsidR="0069354C" w:rsidRPr="00B521CA" w:rsidRDefault="0069354C" w:rsidP="0032614C">
            <w:pPr>
              <w:tabs>
                <w:tab w:val="right" w:pos="1550"/>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Mini-Cog, content-validated version</w:t>
            </w:r>
          </w:p>
        </w:tc>
        <w:tc>
          <w:tcPr>
            <w:tcW w:w="1275" w:type="dxa"/>
          </w:tcPr>
          <w:p w14:paraId="2F59F89F" w14:textId="77777777" w:rsidR="0069354C" w:rsidRPr="00B521CA" w:rsidRDefault="0069354C" w:rsidP="0032614C">
            <w:pPr>
              <w:tabs>
                <w:tab w:val="right" w:pos="1550"/>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Cognitive function / Mini-Cog score</w:t>
            </w:r>
          </w:p>
        </w:tc>
        <w:tc>
          <w:tcPr>
            <w:tcW w:w="3686" w:type="dxa"/>
          </w:tcPr>
          <w:p w14:paraId="29A3AC5A" w14:textId="77777777" w:rsidR="0069354C" w:rsidRPr="00B521CA" w:rsidRDefault="0069354C" w:rsidP="0032614C">
            <w:pPr>
              <w:tabs>
                <w:tab w:val="right" w:pos="1550"/>
              </w:tabs>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Cognitive function did not differ significantly between participants with and without multimorbidity (Mini-Cog: 3.1 ± 1.6 vs. 3.4 ± 1.8; P=0.10).</w:t>
            </w:r>
          </w:p>
        </w:tc>
        <w:tc>
          <w:tcPr>
            <w:tcW w:w="709" w:type="dxa"/>
          </w:tcPr>
          <w:p w14:paraId="0717C234" w14:textId="77777777" w:rsidR="0069354C" w:rsidRPr="00B521CA" w:rsidRDefault="0069354C" w:rsidP="0032614C">
            <w:pPr>
              <w:tabs>
                <w:tab w:val="right" w:pos="1550"/>
              </w:tabs>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6/8</w:t>
            </w:r>
          </w:p>
        </w:tc>
      </w:tr>
      <w:tr w:rsidR="0069354C" w:rsidRPr="00B521CA" w14:paraId="556CC0EA"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5738D346"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(Dove et al., 2023)</w:t>
            </w:r>
          </w:p>
          <w:p w14:paraId="3A0E1413" w14:textId="77777777" w:rsidR="0069354C" w:rsidRPr="00B521CA" w:rsidRDefault="0069354C" w:rsidP="0032614C">
            <w:pPr>
              <w:rPr>
                <w:rFonts w:asciiTheme="majorBidi" w:hAnsiTheme="majorBidi" w:cstheme="majorBidi"/>
                <w:b w:val="0"/>
                <w:bCs w:val="0"/>
                <w:sz w:val="16"/>
                <w:szCs w:val="16"/>
              </w:rPr>
            </w:pPr>
          </w:p>
        </w:tc>
        <w:tc>
          <w:tcPr>
            <w:tcW w:w="851" w:type="dxa"/>
          </w:tcPr>
          <w:p w14:paraId="4924E91B"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Sweden</w:t>
            </w:r>
          </w:p>
        </w:tc>
        <w:tc>
          <w:tcPr>
            <w:tcW w:w="1134" w:type="dxa"/>
          </w:tcPr>
          <w:p w14:paraId="280F803C"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Population-based prospective cohort</w:t>
            </w:r>
          </w:p>
        </w:tc>
        <w:tc>
          <w:tcPr>
            <w:tcW w:w="1559" w:type="dxa"/>
          </w:tcPr>
          <w:p w14:paraId="75B745F3" w14:textId="77777777" w:rsidR="0069354C" w:rsidRDefault="0069354C" w:rsidP="0032614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n = 2,577</w:t>
            </w:r>
          </w:p>
          <w:p w14:paraId="13037869" w14:textId="77777777" w:rsidR="0069354C" w:rsidRPr="0071562D" w:rsidRDefault="0069354C" w:rsidP="0032614C">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072F14D0"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lastRenderedPageBreak/>
              <w:t>≥60 years; mean 72.4 ± 10.0; range 60–102</w:t>
            </w:r>
          </w:p>
        </w:tc>
        <w:tc>
          <w:tcPr>
            <w:tcW w:w="1701" w:type="dxa"/>
          </w:tcPr>
          <w:p w14:paraId="343E19AC"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lastRenderedPageBreak/>
              <w:t xml:space="preserve">Cardiometabolic multimorbidity: ≥2 of </w:t>
            </w:r>
            <w:r w:rsidRPr="00460741">
              <w:rPr>
                <w:rFonts w:asciiTheme="majorBidi" w:hAnsiTheme="majorBidi" w:cstheme="majorBidi"/>
                <w:sz w:val="16"/>
                <w:szCs w:val="16"/>
              </w:rPr>
              <w:lastRenderedPageBreak/>
              <w:t>type 2 diabetes, heart disease, and stroke</w:t>
            </w:r>
          </w:p>
        </w:tc>
        <w:tc>
          <w:tcPr>
            <w:tcW w:w="1843" w:type="dxa"/>
          </w:tcPr>
          <w:p w14:paraId="4D6BB878"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lastRenderedPageBreak/>
              <w:t xml:space="preserve">Clinical examinations, medical history, medications, laboratory </w:t>
            </w:r>
            <w:r w:rsidRPr="00460741">
              <w:rPr>
                <w:rFonts w:asciiTheme="majorBidi" w:hAnsiTheme="majorBidi" w:cstheme="majorBidi"/>
                <w:sz w:val="16"/>
                <w:szCs w:val="16"/>
              </w:rPr>
              <w:lastRenderedPageBreak/>
              <w:t>tests, and linked medical records</w:t>
            </w:r>
          </w:p>
        </w:tc>
        <w:tc>
          <w:tcPr>
            <w:tcW w:w="1418" w:type="dxa"/>
          </w:tcPr>
          <w:p w14:paraId="3890BD65"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lastRenderedPageBreak/>
              <w:t xml:space="preserve">Comprehensive neuropsychological battery; global </w:t>
            </w:r>
            <w:r w:rsidRPr="00460741">
              <w:rPr>
                <w:rFonts w:asciiTheme="majorBidi" w:hAnsiTheme="majorBidi" w:cstheme="majorBidi"/>
                <w:sz w:val="16"/>
                <w:szCs w:val="16"/>
              </w:rPr>
              <w:lastRenderedPageBreak/>
              <w:t>cognition; domain-specific testing; clinical CIND and dementia assessment</w:t>
            </w:r>
          </w:p>
        </w:tc>
        <w:tc>
          <w:tcPr>
            <w:tcW w:w="1275" w:type="dxa"/>
          </w:tcPr>
          <w:p w14:paraId="23BE9174"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lastRenderedPageBreak/>
              <w:t xml:space="preserve">Cognitive decline, incident CIND, </w:t>
            </w:r>
            <w:r w:rsidRPr="00460741">
              <w:rPr>
                <w:rFonts w:asciiTheme="majorBidi" w:hAnsiTheme="majorBidi" w:cstheme="majorBidi"/>
                <w:sz w:val="16"/>
                <w:szCs w:val="16"/>
              </w:rPr>
              <w:lastRenderedPageBreak/>
              <w:t>progression from CIND to dementia</w:t>
            </w:r>
          </w:p>
        </w:tc>
        <w:tc>
          <w:tcPr>
            <w:tcW w:w="3686" w:type="dxa"/>
          </w:tcPr>
          <w:p w14:paraId="60DEC6BC"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lastRenderedPageBreak/>
              <w:t xml:space="preserve">CMD multimorbidity was associated with faster global cognitive decline (β=−0.03 SD/year, 95% CI −0.04 to −0.02), higher risk of incident CIND (HR=1.73, 95% </w:t>
            </w:r>
            <w:r w:rsidRPr="00460741">
              <w:rPr>
                <w:rFonts w:asciiTheme="majorBidi" w:hAnsiTheme="majorBidi" w:cstheme="majorBidi"/>
                <w:sz w:val="16"/>
                <w:szCs w:val="16"/>
              </w:rPr>
              <w:lastRenderedPageBreak/>
              <w:t>CI 1.23–2.44), and higher risk of progression from CIND to dementia (HR=1.86, 95% CI 1.17–2.97). Dose-response associations were observed. Participants with all three CMDs developed dementia approximately 4.2 years earlier than CMD-free participants.</w:t>
            </w:r>
          </w:p>
        </w:tc>
        <w:tc>
          <w:tcPr>
            <w:tcW w:w="709" w:type="dxa"/>
          </w:tcPr>
          <w:p w14:paraId="5D7B11F5"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lastRenderedPageBreak/>
              <w:t>10/11</w:t>
            </w:r>
          </w:p>
        </w:tc>
      </w:tr>
      <w:tr w:rsidR="0069354C" w:rsidRPr="00B521CA" w14:paraId="1EF17CE5"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4831B3D7"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(Grande et al., 2021)</w:t>
            </w:r>
          </w:p>
          <w:p w14:paraId="35CD08FC" w14:textId="77777777" w:rsidR="0069354C" w:rsidRPr="00B521CA" w:rsidRDefault="0069354C" w:rsidP="0032614C">
            <w:pPr>
              <w:rPr>
                <w:rFonts w:asciiTheme="majorBidi" w:hAnsiTheme="majorBidi" w:cstheme="majorBidi"/>
                <w:b w:val="0"/>
                <w:bCs w:val="0"/>
                <w:sz w:val="16"/>
                <w:szCs w:val="16"/>
              </w:rPr>
            </w:pPr>
          </w:p>
        </w:tc>
        <w:tc>
          <w:tcPr>
            <w:tcW w:w="851" w:type="dxa"/>
          </w:tcPr>
          <w:p w14:paraId="15DE8923"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Sweden</w:t>
            </w:r>
          </w:p>
        </w:tc>
        <w:tc>
          <w:tcPr>
            <w:tcW w:w="1134" w:type="dxa"/>
          </w:tcPr>
          <w:p w14:paraId="153FB22C"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Population-based prospective cohort</w:t>
            </w:r>
          </w:p>
        </w:tc>
        <w:tc>
          <w:tcPr>
            <w:tcW w:w="1559" w:type="dxa"/>
          </w:tcPr>
          <w:p w14:paraId="47A30D23" w14:textId="77777777"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n=2,478 final analytic sample; 2,622 initially eligible multimorbid dementia-free participants</w:t>
            </w:r>
          </w:p>
          <w:p w14:paraId="553BD8AC" w14:textId="77777777"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73F419F8" w14:textId="77777777" w:rsidR="0069354C" w:rsidRPr="0071562D"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769536FA"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≥60 years; mean 75.0 ± 10.4</w:t>
            </w:r>
          </w:p>
        </w:tc>
        <w:tc>
          <w:tcPr>
            <w:tcW w:w="1701" w:type="dxa"/>
          </w:tcPr>
          <w:p w14:paraId="556B06A3"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≥2 chronic diseases; multimorbidity patterns derived from 35 chronic disease categories using fuzzy c-means clustering</w:t>
            </w:r>
          </w:p>
        </w:tc>
        <w:tc>
          <w:tcPr>
            <w:tcW w:w="1843" w:type="dxa"/>
          </w:tcPr>
          <w:p w14:paraId="05EA71C3"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Clinical examinations, medical history, self/proxy report, laboratory data, medications, and healthcare records</w:t>
            </w:r>
          </w:p>
        </w:tc>
        <w:tc>
          <w:tcPr>
            <w:tcW w:w="2693" w:type="dxa"/>
            <w:gridSpan w:val="2"/>
          </w:tcPr>
          <w:p w14:paraId="0E1AF174"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Incident clinical dementia diagnosed according to DSM-IV using a three-step physician/neurologist procedure</w:t>
            </w:r>
          </w:p>
        </w:tc>
        <w:tc>
          <w:tcPr>
            <w:tcW w:w="3686" w:type="dxa"/>
          </w:tcPr>
          <w:p w14:paraId="3AAD97AD"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Compared with unspecific multimorbidity, dementia risk was higher for neuropsychiatric (HR 1.66, 95% CI 1.13–2.42), cardiovascular (HR 1.61, 95% CI 1.17–2.29), and sensory impairment/cancer patterns (HR 1.32, 95% CI 1.10–1.71); respiratory/metabolic/musculoskeletal multimorbidity was not significantly associated with dementia (HR 0.97, 95% CI 0.73–1.29).</w:t>
            </w:r>
          </w:p>
        </w:tc>
        <w:tc>
          <w:tcPr>
            <w:tcW w:w="709" w:type="dxa"/>
          </w:tcPr>
          <w:p w14:paraId="30A0ABF4" w14:textId="77777777" w:rsidR="0069354C" w:rsidRPr="00B521CA" w:rsidRDefault="0069354C" w:rsidP="0032614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10/11</w:t>
            </w:r>
          </w:p>
        </w:tc>
      </w:tr>
      <w:tr w:rsidR="0069354C" w:rsidRPr="00B521CA" w14:paraId="79FD9021"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31511B15"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w:t>
            </w:r>
            <w:proofErr w:type="spellStart"/>
            <w:r w:rsidRPr="004503C7">
              <w:rPr>
                <w:rFonts w:asciiTheme="majorBidi" w:hAnsiTheme="majorBidi" w:cstheme="majorBidi"/>
                <w:sz w:val="16"/>
                <w:szCs w:val="16"/>
              </w:rPr>
              <w:t>Koyanagi</w:t>
            </w:r>
            <w:proofErr w:type="spellEnd"/>
            <w:r w:rsidRPr="004503C7">
              <w:rPr>
                <w:rFonts w:asciiTheme="majorBidi" w:hAnsiTheme="majorBidi" w:cstheme="majorBidi"/>
                <w:sz w:val="16"/>
                <w:szCs w:val="16"/>
              </w:rPr>
              <w:t xml:space="preserve"> et al., 2018)</w:t>
            </w:r>
          </w:p>
          <w:p w14:paraId="0F88CFD2" w14:textId="77777777" w:rsidR="0069354C" w:rsidRPr="00B521CA" w:rsidRDefault="0069354C" w:rsidP="0032614C">
            <w:pPr>
              <w:rPr>
                <w:rFonts w:asciiTheme="majorBidi" w:hAnsiTheme="majorBidi" w:cstheme="majorBidi"/>
                <w:b w:val="0"/>
                <w:bCs w:val="0"/>
                <w:sz w:val="16"/>
                <w:szCs w:val="16"/>
              </w:rPr>
            </w:pPr>
          </w:p>
        </w:tc>
        <w:tc>
          <w:tcPr>
            <w:tcW w:w="851" w:type="dxa"/>
          </w:tcPr>
          <w:p w14:paraId="0E9960F1"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China, Ghana, India, Mexico, Russia, and South Africa</w:t>
            </w:r>
          </w:p>
        </w:tc>
        <w:tc>
          <w:tcPr>
            <w:tcW w:w="1134" w:type="dxa"/>
          </w:tcPr>
          <w:p w14:paraId="2D28B320"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 xml:space="preserve">Nationally </w:t>
            </w:r>
            <w:r>
              <w:rPr>
                <w:rFonts w:asciiTheme="majorBidi" w:hAnsiTheme="majorBidi" w:cstheme="majorBidi"/>
                <w:sz w:val="16"/>
                <w:szCs w:val="16"/>
              </w:rPr>
              <w:t xml:space="preserve">representative </w:t>
            </w:r>
            <w:r w:rsidRPr="00460741">
              <w:rPr>
                <w:rFonts w:asciiTheme="majorBidi" w:hAnsiTheme="majorBidi" w:cstheme="majorBidi"/>
                <w:sz w:val="16"/>
                <w:szCs w:val="16"/>
              </w:rPr>
              <w:t>community-based cross-sectional study</w:t>
            </w:r>
          </w:p>
        </w:tc>
        <w:tc>
          <w:tcPr>
            <w:tcW w:w="1559" w:type="dxa"/>
          </w:tcPr>
          <w:p w14:paraId="0D6CA799"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 xml:space="preserve">n=32,715 </w:t>
            </w:r>
          </w:p>
          <w:p w14:paraId="1C664B50"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1B63EE6B"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aged ≥50 years</w:t>
            </w:r>
          </w:p>
          <w:p w14:paraId="63BE34BE"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12FA4DDE"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Participants aged ≥65 years; only age-stratified estimates from this subgroup should be used</w:t>
            </w:r>
          </w:p>
        </w:tc>
        <w:tc>
          <w:tcPr>
            <w:tcW w:w="1701" w:type="dxa"/>
          </w:tcPr>
          <w:p w14:paraId="278A0641"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≥2 of 10 chronic physical conditions</w:t>
            </w:r>
          </w:p>
        </w:tc>
        <w:tc>
          <w:tcPr>
            <w:tcW w:w="1843" w:type="dxa"/>
          </w:tcPr>
          <w:p w14:paraId="751EC5D3"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Self-reported diagnoses, symptom-based algorithms, interviewer observation, and objective blood pressure measurement, depending on condition</w:t>
            </w:r>
          </w:p>
        </w:tc>
        <w:tc>
          <w:tcPr>
            <w:tcW w:w="1418" w:type="dxa"/>
          </w:tcPr>
          <w:p w14:paraId="3898242B"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NIA-AA-based MCI algorithm using subjective memory concern, immediate/delayed recall, digit span, verbal fluency, and functional independence</w:t>
            </w:r>
          </w:p>
        </w:tc>
        <w:tc>
          <w:tcPr>
            <w:tcW w:w="1275" w:type="dxa"/>
          </w:tcPr>
          <w:p w14:paraId="3FB04A7B"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Mild cognitive impairment</w:t>
            </w:r>
          </w:p>
        </w:tc>
        <w:tc>
          <w:tcPr>
            <w:tcW w:w="3686" w:type="dxa"/>
          </w:tcPr>
          <w:p w14:paraId="692627C0"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Among participants aged ≥65 years, multimorbidity was associated with higher odds of MCI (adjusted OR 1.42, 95% CI 1.16–1.73). Compared with no chronic conditions, three conditions (OR 1.66, 95% CI 1.21–2.27) and ≥4 conditions (OR 1.85, 95% CI 1.36–2.50) were significantly associated with MCI, whereas one or two conditions were not.</w:t>
            </w:r>
          </w:p>
        </w:tc>
        <w:tc>
          <w:tcPr>
            <w:tcW w:w="709" w:type="dxa"/>
          </w:tcPr>
          <w:p w14:paraId="77CFCD22"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7/8</w:t>
            </w:r>
          </w:p>
        </w:tc>
      </w:tr>
      <w:tr w:rsidR="0069354C" w:rsidRPr="00B521CA" w14:paraId="2CAB7E14"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F8F28B8"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w:t>
            </w:r>
            <w:proofErr w:type="spellStart"/>
            <w:r w:rsidRPr="004503C7">
              <w:rPr>
                <w:rFonts w:asciiTheme="majorBidi" w:hAnsiTheme="majorBidi" w:cstheme="majorBidi"/>
                <w:sz w:val="16"/>
                <w:szCs w:val="16"/>
              </w:rPr>
              <w:t>Quiñones</w:t>
            </w:r>
            <w:proofErr w:type="spellEnd"/>
            <w:r w:rsidRPr="004503C7">
              <w:rPr>
                <w:rFonts w:asciiTheme="majorBidi" w:hAnsiTheme="majorBidi" w:cstheme="majorBidi"/>
                <w:sz w:val="16"/>
                <w:szCs w:val="16"/>
              </w:rPr>
              <w:t xml:space="preserve"> et al., 2022)</w:t>
            </w:r>
          </w:p>
          <w:p w14:paraId="0219CF86" w14:textId="77777777" w:rsidR="0069354C" w:rsidRPr="00B521CA" w:rsidRDefault="0069354C" w:rsidP="0032614C">
            <w:pPr>
              <w:rPr>
                <w:rFonts w:asciiTheme="majorBidi" w:hAnsiTheme="majorBidi" w:cstheme="majorBidi"/>
                <w:b w:val="0"/>
                <w:bCs w:val="0"/>
                <w:sz w:val="16"/>
                <w:szCs w:val="16"/>
              </w:rPr>
            </w:pPr>
          </w:p>
        </w:tc>
        <w:tc>
          <w:tcPr>
            <w:tcW w:w="851" w:type="dxa"/>
          </w:tcPr>
          <w:p w14:paraId="333AEF65"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United States</w:t>
            </w:r>
          </w:p>
        </w:tc>
        <w:tc>
          <w:tcPr>
            <w:tcW w:w="1134" w:type="dxa"/>
          </w:tcPr>
          <w:p w14:paraId="76FEB382"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Population-based longitudinal cohort study</w:t>
            </w:r>
          </w:p>
        </w:tc>
        <w:tc>
          <w:tcPr>
            <w:tcW w:w="1559" w:type="dxa"/>
          </w:tcPr>
          <w:p w14:paraId="24396D73" w14:textId="77777777"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n=10,548; 43,990 repeated observations</w:t>
            </w:r>
          </w:p>
          <w:p w14:paraId="4A28ABEB" w14:textId="77777777" w:rsidR="0069354C"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155839BB" w14:textId="77777777" w:rsidR="0069354C" w:rsidRPr="0071562D" w:rsidRDefault="0069354C" w:rsidP="0032614C">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74AB68DD"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60741">
              <w:rPr>
                <w:rFonts w:asciiTheme="majorBidi" w:hAnsiTheme="majorBidi" w:cstheme="majorBidi"/>
                <w:sz w:val="16"/>
                <w:szCs w:val="16"/>
              </w:rPr>
              <w:t>≥65 years; mean 77.0 ± 7.8 years</w:t>
            </w:r>
          </w:p>
        </w:tc>
        <w:tc>
          <w:tcPr>
            <w:tcW w:w="1701" w:type="dxa"/>
          </w:tcPr>
          <w:p w14:paraId="6EE2CD62"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≥2 chronic conditions; participants classified into mutually exclusive cardiovascular/metabolic multimorbidity profiles</w:t>
            </w:r>
          </w:p>
        </w:tc>
        <w:tc>
          <w:tcPr>
            <w:tcW w:w="1843" w:type="dxa"/>
          </w:tcPr>
          <w:p w14:paraId="0DEE2669"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Self- or proxy-reported physician-diagnosed conditions; depression assessed using PHQ-2</w:t>
            </w:r>
          </w:p>
        </w:tc>
        <w:tc>
          <w:tcPr>
            <w:tcW w:w="1418" w:type="dxa"/>
          </w:tcPr>
          <w:p w14:paraId="04443CBA"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Annual composite cognitive score based on immediate/delayed recall, orientation, and clock-drawing executive function test</w:t>
            </w:r>
          </w:p>
        </w:tc>
        <w:tc>
          <w:tcPr>
            <w:tcW w:w="1275" w:type="dxa"/>
          </w:tcPr>
          <w:p w14:paraId="48DA4FFC"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Global cognitive function score, range 0–33</w:t>
            </w:r>
          </w:p>
        </w:tc>
        <w:tc>
          <w:tcPr>
            <w:tcW w:w="3686" w:type="dxa"/>
          </w:tcPr>
          <w:p w14:paraId="7A3B5B06"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Compared with participants with none of the chronic diseases of interest, advanced cardiovascular multimorbidity (β=−0.28, 95% CI −0.54 to −0.01) and advanced cardiovascular-metabolic multimorbidity (β=−0.56, 95% CI −0.86 to −0.27) were associated with lower cognitive scores. Metabolic multimorbidity alone was not significantly associated (β=0.04, 95% CI −0.24 to 0.32).</w:t>
            </w:r>
          </w:p>
        </w:tc>
        <w:tc>
          <w:tcPr>
            <w:tcW w:w="709" w:type="dxa"/>
          </w:tcPr>
          <w:p w14:paraId="521FE546" w14:textId="77777777" w:rsidR="0069354C" w:rsidRPr="00B521CA" w:rsidRDefault="0069354C" w:rsidP="0032614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10/11</w:t>
            </w:r>
          </w:p>
        </w:tc>
      </w:tr>
      <w:tr w:rsidR="0069354C" w:rsidRPr="00B521CA" w14:paraId="21BED51F"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4A10A254"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lastRenderedPageBreak/>
              <w:t>(Ren et al., 2024)</w:t>
            </w:r>
          </w:p>
          <w:p w14:paraId="7B303AEB" w14:textId="77777777" w:rsidR="0069354C" w:rsidRPr="00B521CA" w:rsidRDefault="0069354C" w:rsidP="0032614C">
            <w:pPr>
              <w:rPr>
                <w:rFonts w:asciiTheme="majorBidi" w:hAnsiTheme="majorBidi" w:cstheme="majorBidi"/>
                <w:b w:val="0"/>
                <w:bCs w:val="0"/>
                <w:sz w:val="16"/>
                <w:szCs w:val="16"/>
              </w:rPr>
            </w:pPr>
          </w:p>
        </w:tc>
        <w:tc>
          <w:tcPr>
            <w:tcW w:w="851" w:type="dxa"/>
          </w:tcPr>
          <w:p w14:paraId="04513160"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China</w:t>
            </w:r>
          </w:p>
        </w:tc>
        <w:tc>
          <w:tcPr>
            <w:tcW w:w="1134" w:type="dxa"/>
          </w:tcPr>
          <w:p w14:paraId="39DFE7D9"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Population-based cross-sectional study</w:t>
            </w:r>
          </w:p>
        </w:tc>
        <w:tc>
          <w:tcPr>
            <w:tcW w:w="1559" w:type="dxa"/>
          </w:tcPr>
          <w:p w14:paraId="5DCE3D9B"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n=5,432 for dementia; n=4,968 for MCI; biomarker subsample n=1,412</w:t>
            </w:r>
          </w:p>
          <w:p w14:paraId="4C1E51FA"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p>
          <w:p w14:paraId="423BC886"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≥60 years; mean 70.71 ± 5.73</w:t>
            </w:r>
          </w:p>
        </w:tc>
        <w:tc>
          <w:tcPr>
            <w:tcW w:w="1701" w:type="dxa"/>
          </w:tcPr>
          <w:p w14:paraId="0A889B51"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≥2 of 23 chronic health conditions</w:t>
            </w:r>
          </w:p>
        </w:tc>
        <w:tc>
          <w:tcPr>
            <w:tcW w:w="1843" w:type="dxa"/>
          </w:tcPr>
          <w:p w14:paraId="35BB35B6"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Clinical/neurological examination, laboratory and instrumental tests, medication use, and self-reported medical history</w:t>
            </w:r>
          </w:p>
        </w:tc>
        <w:tc>
          <w:tcPr>
            <w:tcW w:w="1418" w:type="dxa"/>
          </w:tcPr>
          <w:p w14:paraId="6A08654D"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Chinese MMSE plus detailed neuropsychological battery assessing episodic memory, verbal fluency, attention, and executive function</w:t>
            </w:r>
          </w:p>
        </w:tc>
        <w:tc>
          <w:tcPr>
            <w:tcW w:w="1275" w:type="dxa"/>
          </w:tcPr>
          <w:p w14:paraId="5F23212C"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 xml:space="preserve">Dementia, AD, </w:t>
            </w:r>
            <w:proofErr w:type="spellStart"/>
            <w:r w:rsidRPr="00A26B38">
              <w:rPr>
                <w:rFonts w:asciiTheme="majorBidi" w:hAnsiTheme="majorBidi" w:cstheme="majorBidi"/>
                <w:sz w:val="16"/>
                <w:szCs w:val="16"/>
                <w:lang w:bidi="fa-IR"/>
              </w:rPr>
              <w:t>VaD</w:t>
            </w:r>
            <w:proofErr w:type="spellEnd"/>
            <w:r w:rsidRPr="00A26B38">
              <w:rPr>
                <w:rFonts w:asciiTheme="majorBidi" w:hAnsiTheme="majorBidi" w:cstheme="majorBidi"/>
                <w:sz w:val="16"/>
                <w:szCs w:val="16"/>
                <w:lang w:bidi="fa-IR"/>
              </w:rPr>
              <w:t xml:space="preserve">, MCI, aMCI, </w:t>
            </w:r>
            <w:proofErr w:type="spellStart"/>
            <w:r w:rsidRPr="00A26B38">
              <w:rPr>
                <w:rFonts w:asciiTheme="majorBidi" w:hAnsiTheme="majorBidi" w:cstheme="majorBidi"/>
                <w:sz w:val="16"/>
                <w:szCs w:val="16"/>
                <w:lang w:bidi="fa-IR"/>
              </w:rPr>
              <w:t>naMCI</w:t>
            </w:r>
            <w:proofErr w:type="spellEnd"/>
          </w:p>
        </w:tc>
        <w:tc>
          <w:tcPr>
            <w:tcW w:w="3686" w:type="dxa"/>
          </w:tcPr>
          <w:p w14:paraId="61BC8BE5"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 xml:space="preserve">Multimorbidity was associated with all-cause dementia (OR 1.45, 95% CI 1.09–1.93), </w:t>
            </w:r>
            <w:proofErr w:type="spellStart"/>
            <w:r w:rsidRPr="00A26B38">
              <w:rPr>
                <w:rFonts w:asciiTheme="majorBidi" w:hAnsiTheme="majorBidi" w:cstheme="majorBidi"/>
                <w:sz w:val="16"/>
                <w:szCs w:val="16"/>
                <w:lang w:bidi="fa-IR"/>
              </w:rPr>
              <w:t>VaD</w:t>
            </w:r>
            <w:proofErr w:type="spellEnd"/>
            <w:r w:rsidRPr="00A26B38">
              <w:rPr>
                <w:rFonts w:asciiTheme="majorBidi" w:hAnsiTheme="majorBidi" w:cstheme="majorBidi"/>
                <w:sz w:val="16"/>
                <w:szCs w:val="16"/>
                <w:lang w:bidi="fa-IR"/>
              </w:rPr>
              <w:t xml:space="preserve"> (OR 2.75, 1.55–4.88), and </w:t>
            </w:r>
            <w:proofErr w:type="spellStart"/>
            <w:r w:rsidRPr="00A26B38">
              <w:rPr>
                <w:rFonts w:asciiTheme="majorBidi" w:hAnsiTheme="majorBidi" w:cstheme="majorBidi"/>
                <w:sz w:val="16"/>
                <w:szCs w:val="16"/>
                <w:lang w:bidi="fa-IR"/>
              </w:rPr>
              <w:t>naMCI</w:t>
            </w:r>
            <w:proofErr w:type="spellEnd"/>
            <w:r w:rsidRPr="00A26B38">
              <w:rPr>
                <w:rFonts w:asciiTheme="majorBidi" w:hAnsiTheme="majorBidi" w:cstheme="majorBidi"/>
                <w:sz w:val="16"/>
                <w:szCs w:val="16"/>
                <w:lang w:bidi="fa-IR"/>
              </w:rPr>
              <w:t xml:space="preserve"> (OR 1.68, 1.23–2.30), but not AD, overall MCI, or aMCI. Greater chronic disease burden was associated with dementia, </w:t>
            </w:r>
            <w:proofErr w:type="spellStart"/>
            <w:r w:rsidRPr="00A26B38">
              <w:rPr>
                <w:rFonts w:asciiTheme="majorBidi" w:hAnsiTheme="majorBidi" w:cstheme="majorBidi"/>
                <w:sz w:val="16"/>
                <w:szCs w:val="16"/>
                <w:lang w:bidi="fa-IR"/>
              </w:rPr>
              <w:t>VaD</w:t>
            </w:r>
            <w:proofErr w:type="spellEnd"/>
            <w:r w:rsidRPr="00A26B38">
              <w:rPr>
                <w:rFonts w:asciiTheme="majorBidi" w:hAnsiTheme="majorBidi" w:cstheme="majorBidi"/>
                <w:sz w:val="16"/>
                <w:szCs w:val="16"/>
                <w:lang w:bidi="fa-IR"/>
              </w:rPr>
              <w:t xml:space="preserve">, and </w:t>
            </w:r>
            <w:proofErr w:type="spellStart"/>
            <w:r w:rsidRPr="00A26B38">
              <w:rPr>
                <w:rFonts w:asciiTheme="majorBidi" w:hAnsiTheme="majorBidi" w:cstheme="majorBidi"/>
                <w:sz w:val="16"/>
                <w:szCs w:val="16"/>
                <w:lang w:bidi="fa-IR"/>
              </w:rPr>
              <w:t>naMCI</w:t>
            </w:r>
            <w:proofErr w:type="spellEnd"/>
            <w:r w:rsidRPr="00A26B38">
              <w:rPr>
                <w:rFonts w:asciiTheme="majorBidi" w:hAnsiTheme="majorBidi" w:cstheme="majorBidi"/>
                <w:sz w:val="16"/>
                <w:szCs w:val="16"/>
                <w:lang w:bidi="fa-IR"/>
              </w:rPr>
              <w:t xml:space="preserve">. The metabolic cluster was particularly associated with </w:t>
            </w:r>
            <w:proofErr w:type="spellStart"/>
            <w:r w:rsidRPr="00A26B38">
              <w:rPr>
                <w:rFonts w:asciiTheme="majorBidi" w:hAnsiTheme="majorBidi" w:cstheme="majorBidi"/>
                <w:sz w:val="16"/>
                <w:szCs w:val="16"/>
                <w:lang w:bidi="fa-IR"/>
              </w:rPr>
              <w:t>VaD</w:t>
            </w:r>
            <w:proofErr w:type="spellEnd"/>
            <w:r w:rsidRPr="00A26B38">
              <w:rPr>
                <w:rFonts w:asciiTheme="majorBidi" w:hAnsiTheme="majorBidi" w:cstheme="majorBidi"/>
                <w:sz w:val="16"/>
                <w:szCs w:val="16"/>
                <w:lang w:bidi="fa-IR"/>
              </w:rPr>
              <w:t xml:space="preserve"> and </w:t>
            </w:r>
            <w:proofErr w:type="spellStart"/>
            <w:r w:rsidRPr="00A26B38">
              <w:rPr>
                <w:rFonts w:asciiTheme="majorBidi" w:hAnsiTheme="majorBidi" w:cstheme="majorBidi"/>
                <w:sz w:val="16"/>
                <w:szCs w:val="16"/>
                <w:lang w:bidi="fa-IR"/>
              </w:rPr>
              <w:t>naMCI</w:t>
            </w:r>
            <w:proofErr w:type="spellEnd"/>
            <w:r w:rsidRPr="00A26B38">
              <w:rPr>
                <w:rFonts w:asciiTheme="majorBidi" w:hAnsiTheme="majorBidi" w:cstheme="majorBidi"/>
                <w:sz w:val="16"/>
                <w:szCs w:val="16"/>
                <w:lang w:bidi="fa-IR"/>
              </w:rPr>
              <w:t>.</w:t>
            </w:r>
          </w:p>
        </w:tc>
        <w:tc>
          <w:tcPr>
            <w:tcW w:w="709" w:type="dxa"/>
          </w:tcPr>
          <w:p w14:paraId="194FB426"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A26B38">
              <w:rPr>
                <w:rFonts w:asciiTheme="majorBidi" w:hAnsiTheme="majorBidi" w:cstheme="majorBidi"/>
                <w:sz w:val="16"/>
                <w:szCs w:val="16"/>
                <w:lang w:bidi="fa-IR"/>
              </w:rPr>
              <w:t>8/8</w:t>
            </w:r>
          </w:p>
        </w:tc>
      </w:tr>
      <w:tr w:rsidR="0069354C" w:rsidRPr="00B521CA" w14:paraId="3B381C83"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102CC65"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(Tai et al., 2022)</w:t>
            </w:r>
          </w:p>
          <w:p w14:paraId="53681921" w14:textId="77777777" w:rsidR="0069354C" w:rsidRPr="00B521CA" w:rsidRDefault="0069354C" w:rsidP="0032614C">
            <w:pPr>
              <w:rPr>
                <w:rFonts w:asciiTheme="majorBidi" w:hAnsiTheme="majorBidi" w:cstheme="majorBidi"/>
                <w:b w:val="0"/>
                <w:bCs w:val="0"/>
                <w:sz w:val="16"/>
                <w:szCs w:val="16"/>
              </w:rPr>
            </w:pPr>
          </w:p>
        </w:tc>
        <w:tc>
          <w:tcPr>
            <w:tcW w:w="851" w:type="dxa"/>
          </w:tcPr>
          <w:p w14:paraId="5B98EA0B"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United Kingdom</w:t>
            </w:r>
          </w:p>
        </w:tc>
        <w:tc>
          <w:tcPr>
            <w:tcW w:w="1134" w:type="dxa"/>
          </w:tcPr>
          <w:p w14:paraId="145786C9"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Population-based prospective cohort study</w:t>
            </w:r>
          </w:p>
        </w:tc>
        <w:tc>
          <w:tcPr>
            <w:tcW w:w="1559" w:type="dxa"/>
          </w:tcPr>
          <w:p w14:paraId="7CDA77E0" w14:textId="77777777" w:rsidR="0069354C" w:rsidRDefault="0069354C" w:rsidP="0032614C">
            <w:pPr>
              <w:spacing w:line="48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n=203,038</w:t>
            </w:r>
          </w:p>
          <w:p w14:paraId="6435C8AE" w14:textId="77777777" w:rsidR="0069354C" w:rsidRDefault="0069354C" w:rsidP="0032614C">
            <w:pPr>
              <w:spacing w:line="48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7E60A23C" w14:textId="77777777" w:rsidR="0069354C" w:rsidRPr="00B521CA" w:rsidRDefault="0069354C" w:rsidP="0032614C">
            <w:pPr>
              <w:spacing w:line="48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≥60 years; mean 64.9 ± 3.0 years</w:t>
            </w:r>
          </w:p>
        </w:tc>
        <w:tc>
          <w:tcPr>
            <w:tcW w:w="1701" w:type="dxa"/>
          </w:tcPr>
          <w:p w14:paraId="5C3CCEA2" w14:textId="77777777" w:rsidR="0069354C" w:rsidRPr="00B521CA" w:rsidRDefault="0069354C" w:rsidP="0032614C">
            <w:pPr>
              <w:spacing w:line="48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Cardiometabolic multimorbidity defined as ≥2 of stroke, diabetes, and myocardial infarction</w:t>
            </w:r>
          </w:p>
        </w:tc>
        <w:tc>
          <w:tcPr>
            <w:tcW w:w="1843" w:type="dxa"/>
          </w:tcPr>
          <w:p w14:paraId="23CFF9FD" w14:textId="77777777" w:rsidR="0069354C" w:rsidRPr="00B521CA" w:rsidRDefault="0069354C" w:rsidP="0032614C">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Self-report and linked hospital inpatient records</w:t>
            </w:r>
          </w:p>
        </w:tc>
        <w:tc>
          <w:tcPr>
            <w:tcW w:w="1418" w:type="dxa"/>
          </w:tcPr>
          <w:p w14:paraId="7CB63047" w14:textId="77777777" w:rsidR="0069354C" w:rsidRPr="00B521CA" w:rsidRDefault="0069354C" w:rsidP="0032614C">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Pr>
                <w:rFonts w:asciiTheme="majorBidi" w:hAnsiTheme="majorBidi" w:cstheme="majorBidi"/>
                <w:sz w:val="16"/>
                <w:szCs w:val="16"/>
              </w:rPr>
              <w:t>-</w:t>
            </w:r>
          </w:p>
        </w:tc>
        <w:tc>
          <w:tcPr>
            <w:tcW w:w="1275" w:type="dxa"/>
          </w:tcPr>
          <w:p w14:paraId="74671E08" w14:textId="77777777" w:rsidR="0069354C" w:rsidRPr="00B521CA" w:rsidRDefault="0069354C" w:rsidP="0032614C">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Incident all-cause dementia identified through hospital and mortality records</w:t>
            </w:r>
          </w:p>
        </w:tc>
        <w:tc>
          <w:tcPr>
            <w:tcW w:w="3686" w:type="dxa"/>
          </w:tcPr>
          <w:p w14:paraId="32F81E0E" w14:textId="77777777" w:rsidR="0069354C" w:rsidRPr="00B521CA" w:rsidRDefault="0069354C" w:rsidP="0032614C">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Dementia risk increased with cardiometabolic disease burden: HR 1.94 (95% CI 1.80–2.08) for one condition, 3.46 (2.97–4.04) for two, and 5.55 (3.39–9.08) for all three. Stroke + diabetes showed the strongest association among two-condition combinations (HR 4.33, 3.28–5.73).</w:t>
            </w:r>
          </w:p>
        </w:tc>
        <w:tc>
          <w:tcPr>
            <w:tcW w:w="709" w:type="dxa"/>
          </w:tcPr>
          <w:p w14:paraId="73A5D061" w14:textId="77777777" w:rsidR="0069354C" w:rsidRPr="00B521CA" w:rsidRDefault="0069354C" w:rsidP="0032614C">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10/11</w:t>
            </w:r>
          </w:p>
        </w:tc>
      </w:tr>
      <w:tr w:rsidR="0069354C" w:rsidRPr="00B521CA" w14:paraId="13778C13"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72AAB06B"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(Valletta et al., 2023)</w:t>
            </w:r>
          </w:p>
          <w:p w14:paraId="193EE91E" w14:textId="77777777" w:rsidR="0069354C" w:rsidRPr="00B521CA" w:rsidRDefault="0069354C" w:rsidP="0032614C">
            <w:pPr>
              <w:rPr>
                <w:rFonts w:asciiTheme="majorBidi" w:hAnsiTheme="majorBidi" w:cstheme="majorBidi"/>
                <w:b w:val="0"/>
                <w:bCs w:val="0"/>
                <w:sz w:val="16"/>
                <w:szCs w:val="16"/>
              </w:rPr>
            </w:pPr>
          </w:p>
        </w:tc>
        <w:tc>
          <w:tcPr>
            <w:tcW w:w="851" w:type="dxa"/>
          </w:tcPr>
          <w:p w14:paraId="1D81DB46"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Sweden</w:t>
            </w:r>
          </w:p>
        </w:tc>
        <w:tc>
          <w:tcPr>
            <w:tcW w:w="1134" w:type="dxa"/>
          </w:tcPr>
          <w:p w14:paraId="19C5C8D3"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Population-based prospective longitudinal cohort</w:t>
            </w:r>
          </w:p>
        </w:tc>
        <w:tc>
          <w:tcPr>
            <w:tcW w:w="1559" w:type="dxa"/>
          </w:tcPr>
          <w:p w14:paraId="53B60990"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n=3,122 dementia-free participants; 2,693 with multimorbidity</w:t>
            </w:r>
          </w:p>
          <w:p w14:paraId="0999BB06"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69A88342"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≥60 years; mean 73.6 ± 10.7</w:t>
            </w:r>
          </w:p>
        </w:tc>
        <w:tc>
          <w:tcPr>
            <w:tcW w:w="1701" w:type="dxa"/>
          </w:tcPr>
          <w:p w14:paraId="00C07005"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Presence of ≥2 chronic diseases; 37 diseases with prevalence ≥2% were used to derive multimorbidity patterns</w:t>
            </w:r>
          </w:p>
        </w:tc>
        <w:tc>
          <w:tcPr>
            <w:tcW w:w="1843" w:type="dxa"/>
          </w:tcPr>
          <w:p w14:paraId="719618A6"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Physician examination, medical history, participant/proxy interview, laboratory/clinical data, medications, and ICD-10 coding</w:t>
            </w:r>
          </w:p>
        </w:tc>
        <w:tc>
          <w:tcPr>
            <w:tcW w:w="1418" w:type="dxa"/>
          </w:tcPr>
          <w:p w14:paraId="263C9849"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Neuropsychological battery covering executive function, episodic memory, visuospatial ability, language and perceptual speed; clinical DSM-IV dementia diagnosis</w:t>
            </w:r>
          </w:p>
        </w:tc>
        <w:tc>
          <w:tcPr>
            <w:tcW w:w="1275" w:type="dxa"/>
          </w:tcPr>
          <w:p w14:paraId="7DAAF0D2" w14:textId="77777777" w:rsidR="0069354C"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 xml:space="preserve">Normal cognition → CIND; </w:t>
            </w:r>
          </w:p>
          <w:p w14:paraId="21E5B35C" w14:textId="77777777" w:rsidR="0069354C"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 xml:space="preserve">CIND → normal cognition; </w:t>
            </w:r>
          </w:p>
          <w:p w14:paraId="041E88B2"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CIND → dementia; dementia and mortality transitions</w:t>
            </w:r>
          </w:p>
        </w:tc>
        <w:tc>
          <w:tcPr>
            <w:tcW w:w="3686" w:type="dxa"/>
          </w:tcPr>
          <w:p w14:paraId="226ED7F4"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Multimorbidity was associated with increased transition from normal cognition to CIND (HR 1.45, 95% CI 1.10–1.92) and from CIND to dementia (HR 2.59, 1.14–5.88), and with lower probability of reversion from CIND to normal cognition (HR 0.75, 0.57–0.99). Cardiovascular multimorbidity was associated with faster progression from CIND to dementia (HR 1.70, 1.15–2.52), whereas neuropsychiatric and sensory impairment/cancer patterns were associated with reduced CIND-to-normal reversion.</w:t>
            </w:r>
          </w:p>
        </w:tc>
        <w:tc>
          <w:tcPr>
            <w:tcW w:w="709" w:type="dxa"/>
          </w:tcPr>
          <w:p w14:paraId="115F6377"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A26B38">
              <w:rPr>
                <w:rFonts w:asciiTheme="majorBidi" w:hAnsiTheme="majorBidi" w:cstheme="majorBidi"/>
                <w:sz w:val="16"/>
                <w:szCs w:val="16"/>
              </w:rPr>
              <w:t>9/11</w:t>
            </w:r>
          </w:p>
        </w:tc>
      </w:tr>
      <w:tr w:rsidR="0069354C" w:rsidRPr="00B521CA" w14:paraId="1283AA83"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6C455F16"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w:t>
            </w:r>
            <w:proofErr w:type="spellStart"/>
            <w:r w:rsidRPr="004503C7">
              <w:rPr>
                <w:rFonts w:asciiTheme="majorBidi" w:hAnsiTheme="majorBidi" w:cstheme="majorBidi"/>
                <w:sz w:val="16"/>
                <w:szCs w:val="16"/>
              </w:rPr>
              <w:t>Vassilaki</w:t>
            </w:r>
            <w:proofErr w:type="spellEnd"/>
            <w:r w:rsidRPr="004503C7">
              <w:rPr>
                <w:rFonts w:asciiTheme="majorBidi" w:hAnsiTheme="majorBidi" w:cstheme="majorBidi"/>
                <w:sz w:val="16"/>
                <w:szCs w:val="16"/>
              </w:rPr>
              <w:t xml:space="preserve"> et al., 2015)</w:t>
            </w:r>
          </w:p>
          <w:p w14:paraId="3C5DB2F2" w14:textId="77777777" w:rsidR="0069354C" w:rsidRPr="00B521CA" w:rsidRDefault="0069354C" w:rsidP="0032614C">
            <w:pPr>
              <w:rPr>
                <w:rFonts w:asciiTheme="majorBidi" w:hAnsiTheme="majorBidi" w:cstheme="majorBidi"/>
                <w:b w:val="0"/>
                <w:bCs w:val="0"/>
                <w:sz w:val="16"/>
                <w:szCs w:val="16"/>
              </w:rPr>
            </w:pPr>
          </w:p>
        </w:tc>
        <w:tc>
          <w:tcPr>
            <w:tcW w:w="851" w:type="dxa"/>
          </w:tcPr>
          <w:p w14:paraId="71A6D3BD"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United States</w:t>
            </w:r>
          </w:p>
        </w:tc>
        <w:tc>
          <w:tcPr>
            <w:tcW w:w="1134" w:type="dxa"/>
          </w:tcPr>
          <w:p w14:paraId="2815F418"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Population-based prospective cohort</w:t>
            </w:r>
          </w:p>
        </w:tc>
        <w:tc>
          <w:tcPr>
            <w:tcW w:w="1559" w:type="dxa"/>
          </w:tcPr>
          <w:p w14:paraId="6D420F10"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n=2,176 cognitively normal participants</w:t>
            </w:r>
          </w:p>
          <w:p w14:paraId="1A48CA8E"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758F793B"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70–89 years; mean 78.5 ± 5.2</w:t>
            </w:r>
          </w:p>
        </w:tc>
        <w:tc>
          <w:tcPr>
            <w:tcW w:w="1701" w:type="dxa"/>
          </w:tcPr>
          <w:p w14:paraId="1C2ACFDC"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≥2 of 17 chronic conditions documented through the Rochester Epidemiology Project</w:t>
            </w:r>
          </w:p>
        </w:tc>
        <w:tc>
          <w:tcPr>
            <w:tcW w:w="1843" w:type="dxa"/>
          </w:tcPr>
          <w:p w14:paraId="3174F57A"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 xml:space="preserve">Medical-record ICD-9 ascertainment; ≥2 diagnostic codes separated by &gt;30 days </w:t>
            </w:r>
            <w:r w:rsidRPr="0063717D">
              <w:rPr>
                <w:rFonts w:asciiTheme="majorBidi" w:hAnsiTheme="majorBidi" w:cstheme="majorBidi"/>
                <w:sz w:val="16"/>
                <w:szCs w:val="16"/>
              </w:rPr>
              <w:lastRenderedPageBreak/>
              <w:t>within the preceding 5 years</w:t>
            </w:r>
          </w:p>
        </w:tc>
        <w:tc>
          <w:tcPr>
            <w:tcW w:w="1418" w:type="dxa"/>
          </w:tcPr>
          <w:p w14:paraId="6EFA18E4"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lastRenderedPageBreak/>
              <w:t>Physician and coordinator assessment plus 9-test neuropsychologic</w:t>
            </w:r>
            <w:r w:rsidRPr="0063717D">
              <w:rPr>
                <w:rFonts w:asciiTheme="majorBidi" w:hAnsiTheme="majorBidi" w:cstheme="majorBidi"/>
                <w:sz w:val="16"/>
                <w:szCs w:val="16"/>
              </w:rPr>
              <w:lastRenderedPageBreak/>
              <w:t>al battery covering memory, executive function, language, and visuospatial skills; consensus diagnosis</w:t>
            </w:r>
          </w:p>
        </w:tc>
        <w:tc>
          <w:tcPr>
            <w:tcW w:w="1275" w:type="dxa"/>
          </w:tcPr>
          <w:p w14:paraId="0B99DF4A"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lastRenderedPageBreak/>
              <w:t>Incident MCI or dementia</w:t>
            </w:r>
          </w:p>
        </w:tc>
        <w:tc>
          <w:tcPr>
            <w:tcW w:w="3686" w:type="dxa"/>
          </w:tcPr>
          <w:p w14:paraId="2917C21F"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 xml:space="preserve">Baseline multimorbidity was associated with increased risk of incident MCI/dementia (HR 1.38, 95% CI 1.05–1.82). The association was primarily driven by higher disease burden: ≥4 conditions were associated with increased risk (HR 1.61, 95% CI 1.21–2.13), </w:t>
            </w:r>
            <w:r w:rsidRPr="0063717D">
              <w:rPr>
                <w:rFonts w:asciiTheme="majorBidi" w:hAnsiTheme="majorBidi" w:cstheme="majorBidi"/>
                <w:sz w:val="16"/>
                <w:szCs w:val="16"/>
              </w:rPr>
              <w:lastRenderedPageBreak/>
              <w:t>whereas 2–3 conditions were not (HR 1.03, 95% CI 0.76–1.39).</w:t>
            </w:r>
          </w:p>
        </w:tc>
        <w:tc>
          <w:tcPr>
            <w:tcW w:w="709" w:type="dxa"/>
          </w:tcPr>
          <w:p w14:paraId="0F7EE77F" w14:textId="77777777" w:rsidR="0069354C" w:rsidRPr="00B521CA" w:rsidRDefault="0069354C" w:rsidP="0032614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lastRenderedPageBreak/>
              <w:t>9/11</w:t>
            </w:r>
          </w:p>
        </w:tc>
      </w:tr>
      <w:tr w:rsidR="0069354C" w:rsidRPr="00B521CA" w14:paraId="5452D546"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60311FFB" w14:textId="77777777" w:rsidR="0069354C" w:rsidRPr="004503C7" w:rsidRDefault="0069354C" w:rsidP="0032614C">
            <w:pPr>
              <w:rPr>
                <w:rFonts w:asciiTheme="majorBidi" w:hAnsiTheme="majorBidi" w:cstheme="majorBidi"/>
                <w:sz w:val="16"/>
                <w:szCs w:val="16"/>
                <w:lang w:bidi="fa-IR"/>
              </w:rPr>
            </w:pPr>
            <w:r w:rsidRPr="004503C7">
              <w:rPr>
                <w:rFonts w:asciiTheme="majorBidi" w:hAnsiTheme="majorBidi" w:cstheme="majorBidi"/>
                <w:sz w:val="16"/>
                <w:szCs w:val="16"/>
                <w:lang w:bidi="fa-IR"/>
              </w:rPr>
              <w:t>(M. Wang et al., 2026)</w:t>
            </w:r>
          </w:p>
          <w:p w14:paraId="57A4C975" w14:textId="77777777" w:rsidR="0069354C" w:rsidRPr="00B521CA" w:rsidRDefault="0069354C" w:rsidP="0032614C">
            <w:pPr>
              <w:rPr>
                <w:rFonts w:asciiTheme="majorBidi" w:hAnsiTheme="majorBidi" w:cstheme="majorBidi"/>
                <w:b w:val="0"/>
                <w:bCs w:val="0"/>
                <w:sz w:val="16"/>
                <w:szCs w:val="16"/>
                <w:lang w:bidi="fa-IR"/>
              </w:rPr>
            </w:pPr>
          </w:p>
        </w:tc>
        <w:tc>
          <w:tcPr>
            <w:tcW w:w="851" w:type="dxa"/>
          </w:tcPr>
          <w:p w14:paraId="67D16F35"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China</w:t>
            </w:r>
          </w:p>
        </w:tc>
        <w:tc>
          <w:tcPr>
            <w:tcW w:w="1134" w:type="dxa"/>
          </w:tcPr>
          <w:p w14:paraId="68A43F0F"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Multicenter, population-based cross-sectional study</w:t>
            </w:r>
          </w:p>
        </w:tc>
        <w:tc>
          <w:tcPr>
            <w:tcW w:w="1559" w:type="dxa"/>
          </w:tcPr>
          <w:p w14:paraId="0014177E"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n=2,902</w:t>
            </w:r>
          </w:p>
          <w:p w14:paraId="1DD5E59D"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31D66B4A"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≥65 years; mean 73.84 ± 7.36</w:t>
            </w:r>
          </w:p>
        </w:tc>
        <w:tc>
          <w:tcPr>
            <w:tcW w:w="1701" w:type="dxa"/>
          </w:tcPr>
          <w:p w14:paraId="09DEC04A"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4503C7">
              <w:rPr>
                <w:rFonts w:asciiTheme="majorBidi" w:hAnsiTheme="majorBidi" w:cstheme="majorBidi"/>
                <w:sz w:val="16"/>
                <w:szCs w:val="16"/>
              </w:rPr>
              <w:t>Chinese Multimorbidity Weighted Index (CMWI), a validated weighted index reflecting multimorbidity burden across chronic conditions.</w:t>
            </w:r>
          </w:p>
        </w:tc>
        <w:tc>
          <w:tcPr>
            <w:tcW w:w="1843" w:type="dxa"/>
          </w:tcPr>
          <w:p w14:paraId="41839885"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Continuous weighted multimorbidity burden</w:t>
            </w:r>
          </w:p>
        </w:tc>
        <w:tc>
          <w:tcPr>
            <w:tcW w:w="1418" w:type="dxa"/>
          </w:tcPr>
          <w:p w14:paraId="707F04A6"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Mini-Mental State Examination (MMSE); cognitive impairment was defined using the 23/24 cutoff.</w:t>
            </w:r>
          </w:p>
        </w:tc>
        <w:tc>
          <w:tcPr>
            <w:tcW w:w="1275" w:type="dxa"/>
          </w:tcPr>
          <w:p w14:paraId="53E24871"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MMSE-defined cognitive impairment</w:t>
            </w:r>
          </w:p>
        </w:tc>
        <w:tc>
          <w:tcPr>
            <w:tcW w:w="3686" w:type="dxa"/>
          </w:tcPr>
          <w:p w14:paraId="2B0205DF"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Higher multimorbidity burden was associated with cognitive impairment (adjusted OR 1.152 per one-unit increase in CMWI, 95% CI 1.105–1.197).</w:t>
            </w:r>
          </w:p>
        </w:tc>
        <w:tc>
          <w:tcPr>
            <w:tcW w:w="709" w:type="dxa"/>
          </w:tcPr>
          <w:p w14:paraId="07A8084B"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lang w:bidi="fa-IR"/>
              </w:rPr>
            </w:pPr>
            <w:r w:rsidRPr="00DB40CF">
              <w:rPr>
                <w:rFonts w:asciiTheme="majorBidi" w:hAnsiTheme="majorBidi" w:cstheme="majorBidi"/>
                <w:sz w:val="16"/>
                <w:szCs w:val="16"/>
              </w:rPr>
              <w:t>7/8</w:t>
            </w:r>
          </w:p>
        </w:tc>
      </w:tr>
      <w:tr w:rsidR="0069354C" w:rsidRPr="00B521CA" w14:paraId="7316024A"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08CCC8D5"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(S. Wang et al., 2024)</w:t>
            </w:r>
          </w:p>
          <w:p w14:paraId="33414429" w14:textId="77777777" w:rsidR="0069354C" w:rsidRPr="00B521CA" w:rsidRDefault="0069354C" w:rsidP="0032614C">
            <w:pPr>
              <w:rPr>
                <w:rFonts w:asciiTheme="majorBidi" w:hAnsiTheme="majorBidi" w:cstheme="majorBidi"/>
                <w:b w:val="0"/>
                <w:bCs w:val="0"/>
                <w:sz w:val="16"/>
                <w:szCs w:val="16"/>
              </w:rPr>
            </w:pPr>
          </w:p>
        </w:tc>
        <w:tc>
          <w:tcPr>
            <w:tcW w:w="851" w:type="dxa"/>
          </w:tcPr>
          <w:p w14:paraId="69E095E2"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China</w:t>
            </w:r>
          </w:p>
        </w:tc>
        <w:tc>
          <w:tcPr>
            <w:tcW w:w="1134" w:type="dxa"/>
          </w:tcPr>
          <w:p w14:paraId="67E2F9C2"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Longitudinal population-based study</w:t>
            </w:r>
          </w:p>
        </w:tc>
        <w:tc>
          <w:tcPr>
            <w:tcW w:w="1559" w:type="dxa"/>
          </w:tcPr>
          <w:p w14:paraId="09946E95"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n=14,093</w:t>
            </w:r>
          </w:p>
          <w:p w14:paraId="1E62FB36"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564BF91E"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≥65 years</w:t>
            </w:r>
          </w:p>
          <w:p w14:paraId="3BA0DE13"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tc>
        <w:tc>
          <w:tcPr>
            <w:tcW w:w="1701" w:type="dxa"/>
          </w:tcPr>
          <w:p w14:paraId="25744124"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≥2 of 14 chronic conditions</w:t>
            </w:r>
          </w:p>
        </w:tc>
        <w:tc>
          <w:tcPr>
            <w:tcW w:w="1843" w:type="dxa"/>
          </w:tcPr>
          <w:p w14:paraId="77F3CB6E"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Mainly self-reported conditions, supplemented by objective/functional measures for hypertension and sensory impairments</w:t>
            </w:r>
          </w:p>
        </w:tc>
        <w:tc>
          <w:tcPr>
            <w:tcW w:w="1418" w:type="dxa"/>
          </w:tcPr>
          <w:p w14:paraId="5ED0347E"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Chinese-adapted MMSE</w:t>
            </w:r>
          </w:p>
        </w:tc>
        <w:tc>
          <w:tcPr>
            <w:tcW w:w="1275" w:type="dxa"/>
          </w:tcPr>
          <w:p w14:paraId="747AB796"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Continuous MMSE score, MMSE-defined cognitive impairment/MCI, and self/proxy-reported physician-diagnosed dementia</w:t>
            </w:r>
          </w:p>
        </w:tc>
        <w:tc>
          <w:tcPr>
            <w:tcW w:w="3686" w:type="dxa"/>
          </w:tcPr>
          <w:p w14:paraId="22E1F253"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Increasing chronic disease burden was associated with lower MMSE scores (P for trend&lt;0.001). Cancer-inflammatory, cardiometabolic and sensory patterns were associated with lower cognition, with the sensory pattern showing the largest MMSE decrement. Newly developing (β=−0.95) and severe trajectories (β=−2.55) were associated with lower MMSE scores. Severe multimorbidity trajectory was strongly associated with dementia (OR=7.13, 95% CI 3.03–15.39).</w:t>
            </w:r>
          </w:p>
        </w:tc>
        <w:tc>
          <w:tcPr>
            <w:tcW w:w="709" w:type="dxa"/>
          </w:tcPr>
          <w:p w14:paraId="511A254E" w14:textId="77777777" w:rsidR="0069354C" w:rsidRPr="00B521CA" w:rsidRDefault="0069354C" w:rsidP="0032614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63717D">
              <w:rPr>
                <w:rFonts w:asciiTheme="majorBidi" w:hAnsiTheme="majorBidi" w:cstheme="majorBidi"/>
                <w:sz w:val="16"/>
                <w:szCs w:val="16"/>
              </w:rPr>
              <w:t>7/11</w:t>
            </w:r>
          </w:p>
        </w:tc>
      </w:tr>
      <w:tr w:rsidR="0069354C" w:rsidRPr="00B521CA" w14:paraId="4AA88E61"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2E62D2BC"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(S. Wang et al., 2025)</w:t>
            </w:r>
          </w:p>
          <w:p w14:paraId="203B47E5" w14:textId="77777777" w:rsidR="0069354C" w:rsidRPr="00B521CA" w:rsidRDefault="0069354C" w:rsidP="0032614C">
            <w:pPr>
              <w:rPr>
                <w:rFonts w:asciiTheme="majorBidi" w:hAnsiTheme="majorBidi" w:cstheme="majorBidi"/>
                <w:b w:val="0"/>
                <w:bCs w:val="0"/>
                <w:sz w:val="16"/>
                <w:szCs w:val="16"/>
              </w:rPr>
            </w:pPr>
          </w:p>
        </w:tc>
        <w:tc>
          <w:tcPr>
            <w:tcW w:w="851" w:type="dxa"/>
          </w:tcPr>
          <w:p w14:paraId="1D41EE9D"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United States</w:t>
            </w:r>
          </w:p>
        </w:tc>
        <w:tc>
          <w:tcPr>
            <w:tcW w:w="1134" w:type="dxa"/>
          </w:tcPr>
          <w:p w14:paraId="056BCF63"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Prospective population-based cohort</w:t>
            </w:r>
          </w:p>
        </w:tc>
        <w:tc>
          <w:tcPr>
            <w:tcW w:w="1559" w:type="dxa"/>
          </w:tcPr>
          <w:p w14:paraId="13FFADFC"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n=7,522</w:t>
            </w:r>
          </w:p>
          <w:p w14:paraId="52C245AF"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01F819B4"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≥65 years; mean 75.3 ± 7.1</w:t>
            </w:r>
          </w:p>
        </w:tc>
        <w:tc>
          <w:tcPr>
            <w:tcW w:w="1701" w:type="dxa"/>
          </w:tcPr>
          <w:p w14:paraId="25FEBAAD"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≥2 of 12 somatic, psychiatric, and sensory chronic conditions</w:t>
            </w:r>
          </w:p>
        </w:tc>
        <w:tc>
          <w:tcPr>
            <w:tcW w:w="1843" w:type="dxa"/>
          </w:tcPr>
          <w:p w14:paraId="384C3FBD"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 xml:space="preserve">Mainly self-reported physician-diagnosed diseases; PHQ-2 and GAD-2 for depressive/anxiety </w:t>
            </w:r>
            <w:r w:rsidRPr="00DB40CF">
              <w:rPr>
                <w:rFonts w:asciiTheme="majorBidi" w:hAnsiTheme="majorBidi" w:cstheme="majorBidi"/>
                <w:sz w:val="16"/>
                <w:szCs w:val="16"/>
              </w:rPr>
              <w:lastRenderedPageBreak/>
              <w:t>symptoms; functional questions for vision/hearing impairment</w:t>
            </w:r>
          </w:p>
        </w:tc>
        <w:tc>
          <w:tcPr>
            <w:tcW w:w="1418" w:type="dxa"/>
          </w:tcPr>
          <w:p w14:paraId="60360BAD"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lastRenderedPageBreak/>
              <w:t xml:space="preserve">NHATS cognitive classification using self/proxy diagnosis, AD8, and testing of </w:t>
            </w:r>
            <w:r w:rsidRPr="00DB40CF">
              <w:rPr>
                <w:rFonts w:asciiTheme="majorBidi" w:hAnsiTheme="majorBidi" w:cstheme="majorBidi"/>
                <w:sz w:val="16"/>
                <w:szCs w:val="16"/>
              </w:rPr>
              <w:lastRenderedPageBreak/>
              <w:t>memory, orientation, and executive function</w:t>
            </w:r>
          </w:p>
        </w:tc>
        <w:tc>
          <w:tcPr>
            <w:tcW w:w="1275" w:type="dxa"/>
          </w:tcPr>
          <w:p w14:paraId="146AD9C5"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lastRenderedPageBreak/>
              <w:t xml:space="preserve">Incident cognitive impairment occurring before physical frailty </w:t>
            </w:r>
            <w:r w:rsidRPr="00DB40CF">
              <w:rPr>
                <w:rFonts w:asciiTheme="majorBidi" w:hAnsiTheme="majorBidi" w:cstheme="majorBidi"/>
                <w:sz w:val="16"/>
                <w:szCs w:val="16"/>
              </w:rPr>
              <w:lastRenderedPageBreak/>
              <w:t>(CI-first); secondary composite frailty–CI co-occurrence</w:t>
            </w:r>
          </w:p>
        </w:tc>
        <w:tc>
          <w:tcPr>
            <w:tcW w:w="3686" w:type="dxa"/>
          </w:tcPr>
          <w:p w14:paraId="62311FF3"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lastRenderedPageBreak/>
              <w:t xml:space="preserve">None of the cardiometabolic (SHR 0.91, 95% CI 0.78–1.07), osteoarticular (0.85, 0.69–1.06), or psychiatric/multisystem (0.97, 0.78–1.20) patterns significantly increased risk of CI-first. The cancer-dominated pattern was associated with a lower CI-first </w:t>
            </w:r>
            <w:r w:rsidRPr="00DB40CF">
              <w:rPr>
                <w:rFonts w:asciiTheme="majorBidi" w:hAnsiTheme="majorBidi" w:cstheme="majorBidi"/>
                <w:sz w:val="16"/>
                <w:szCs w:val="16"/>
              </w:rPr>
              <w:lastRenderedPageBreak/>
              <w:t>hazard (SHR 0.78, 0.63–0.96), which should be interpreted in the context of competing frailty.</w:t>
            </w:r>
          </w:p>
        </w:tc>
        <w:tc>
          <w:tcPr>
            <w:tcW w:w="709" w:type="dxa"/>
          </w:tcPr>
          <w:p w14:paraId="11A38EC3"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lastRenderedPageBreak/>
              <w:t>10/11</w:t>
            </w:r>
          </w:p>
        </w:tc>
      </w:tr>
      <w:tr w:rsidR="0069354C" w:rsidRPr="00B521CA" w14:paraId="6C0F7291"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3F6AFA47"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(Z. Wang, Hu, Wang, &amp; Sun, 2026)</w:t>
            </w:r>
          </w:p>
          <w:p w14:paraId="061043DF" w14:textId="77777777" w:rsidR="0069354C" w:rsidRPr="00B521CA" w:rsidRDefault="0069354C" w:rsidP="0032614C">
            <w:pPr>
              <w:rPr>
                <w:rFonts w:asciiTheme="majorBidi" w:hAnsiTheme="majorBidi" w:cstheme="majorBidi"/>
                <w:b w:val="0"/>
                <w:bCs w:val="0"/>
                <w:sz w:val="16"/>
                <w:szCs w:val="16"/>
              </w:rPr>
            </w:pPr>
          </w:p>
        </w:tc>
        <w:tc>
          <w:tcPr>
            <w:tcW w:w="851" w:type="dxa"/>
          </w:tcPr>
          <w:p w14:paraId="39087FD4"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United States</w:t>
            </w:r>
          </w:p>
        </w:tc>
        <w:tc>
          <w:tcPr>
            <w:tcW w:w="1134" w:type="dxa"/>
          </w:tcPr>
          <w:p w14:paraId="161CBC3D"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Nationally representative cross-sectional study</w:t>
            </w:r>
          </w:p>
        </w:tc>
        <w:tc>
          <w:tcPr>
            <w:tcW w:w="1559" w:type="dxa"/>
          </w:tcPr>
          <w:p w14:paraId="676E29EE"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n=2,492</w:t>
            </w:r>
          </w:p>
          <w:p w14:paraId="084B6B07"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50559DAB"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≥60 years; median 68 years (IQR 11)</w:t>
            </w:r>
          </w:p>
        </w:tc>
        <w:tc>
          <w:tcPr>
            <w:tcW w:w="1701" w:type="dxa"/>
          </w:tcPr>
          <w:p w14:paraId="7F8E96D0"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CMM defined as ≥2 of cardiovascular disease, type 2 diabetes, and stroke</w:t>
            </w:r>
          </w:p>
        </w:tc>
        <w:tc>
          <w:tcPr>
            <w:tcW w:w="1843" w:type="dxa"/>
          </w:tcPr>
          <w:p w14:paraId="1C3CA6C5"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Clinical history/self-report, medication use, and objective laboratory criteria depending on cardiometabolic condition</w:t>
            </w:r>
          </w:p>
        </w:tc>
        <w:tc>
          <w:tcPr>
            <w:tcW w:w="1418" w:type="dxa"/>
          </w:tcPr>
          <w:p w14:paraId="5DD69B1F"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CERAD word learning/delayed recall, Animal Fluency Test, and Digit Symbol Substitution Test</w:t>
            </w:r>
          </w:p>
        </w:tc>
        <w:tc>
          <w:tcPr>
            <w:tcW w:w="1275" w:type="dxa"/>
          </w:tcPr>
          <w:p w14:paraId="0D09E003"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Memory, verbal fluency/cognitive flexibility, processing speed/working memory</w:t>
            </w:r>
          </w:p>
        </w:tc>
        <w:tc>
          <w:tcPr>
            <w:tcW w:w="3686" w:type="dxa"/>
          </w:tcPr>
          <w:p w14:paraId="4EE38E35"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After full adjustment, CMM was associated with substantially poorer DSST performance (β=−6.57, 95% CI −8.44 to −4.70), whereas associations with CERAD (β=−0.52, 95% CI −1.66 to 0.62) and AFT (β=−0.62, 95% CI −1.64 to 0.40) were not statistically significant.</w:t>
            </w:r>
          </w:p>
        </w:tc>
        <w:tc>
          <w:tcPr>
            <w:tcW w:w="709" w:type="dxa"/>
          </w:tcPr>
          <w:p w14:paraId="0AD36D29" w14:textId="77777777" w:rsidR="0069354C" w:rsidRPr="00B521CA" w:rsidRDefault="0069354C" w:rsidP="0032614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4503C7">
              <w:rPr>
                <w:rFonts w:asciiTheme="majorBidi" w:hAnsiTheme="majorBidi" w:cstheme="majorBidi"/>
                <w:sz w:val="16"/>
                <w:szCs w:val="16"/>
              </w:rPr>
              <w:t>8/8</w:t>
            </w:r>
          </w:p>
        </w:tc>
      </w:tr>
      <w:tr w:rsidR="0069354C" w:rsidRPr="00B521CA" w14:paraId="424E801E" w14:textId="77777777" w:rsidTr="0032614C">
        <w:tc>
          <w:tcPr>
            <w:cnfStyle w:val="001000000000" w:firstRow="0" w:lastRow="0" w:firstColumn="1" w:lastColumn="0" w:oddVBand="0" w:evenVBand="0" w:oddHBand="0" w:evenHBand="0" w:firstRowFirstColumn="0" w:firstRowLastColumn="0" w:lastRowFirstColumn="0" w:lastRowLastColumn="0"/>
            <w:tcW w:w="851" w:type="dxa"/>
          </w:tcPr>
          <w:p w14:paraId="27AB191E"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(Xing et al., 2024)</w:t>
            </w:r>
          </w:p>
          <w:p w14:paraId="69EF51DD" w14:textId="77777777" w:rsidR="0069354C" w:rsidRPr="00B521CA" w:rsidRDefault="0069354C" w:rsidP="0032614C">
            <w:pPr>
              <w:rPr>
                <w:rFonts w:asciiTheme="majorBidi" w:hAnsiTheme="majorBidi" w:cstheme="majorBidi"/>
                <w:b w:val="0"/>
                <w:bCs w:val="0"/>
                <w:sz w:val="16"/>
                <w:szCs w:val="16"/>
              </w:rPr>
            </w:pPr>
          </w:p>
        </w:tc>
        <w:tc>
          <w:tcPr>
            <w:tcW w:w="851" w:type="dxa"/>
          </w:tcPr>
          <w:p w14:paraId="1D246D72" w14:textId="77777777" w:rsidR="0069354C" w:rsidRPr="00B521CA" w:rsidRDefault="0069354C" w:rsidP="0032614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China</w:t>
            </w:r>
          </w:p>
        </w:tc>
        <w:tc>
          <w:tcPr>
            <w:tcW w:w="1134" w:type="dxa"/>
          </w:tcPr>
          <w:p w14:paraId="19875FF2" w14:textId="77777777" w:rsidR="0069354C" w:rsidRPr="00B521CA" w:rsidRDefault="0069354C" w:rsidP="0032614C">
            <w:pPr>
              <w:jc w:val="lowKashida"/>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Nationwide community-based longitudinal cohort</w:t>
            </w:r>
          </w:p>
        </w:tc>
        <w:tc>
          <w:tcPr>
            <w:tcW w:w="1559" w:type="dxa"/>
          </w:tcPr>
          <w:p w14:paraId="79787CDC"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n=6,116; 16,906 observations</w:t>
            </w:r>
          </w:p>
          <w:p w14:paraId="1E5AFBBC" w14:textId="77777777" w:rsidR="0069354C"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p>
          <w:p w14:paraId="23781FDC"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≥65 years; mean 79.13 ± 9.58; 46.5% aged ≥80</w:t>
            </w:r>
          </w:p>
        </w:tc>
        <w:tc>
          <w:tcPr>
            <w:tcW w:w="1701" w:type="dxa"/>
          </w:tcPr>
          <w:p w14:paraId="526AF61D" w14:textId="77777777" w:rsidR="0069354C" w:rsidRPr="00B521CA" w:rsidRDefault="0069354C" w:rsidP="0032614C">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Number of coexisting conditions among 13 chronic diseases; multimorbidity ≥2 conditions</w:t>
            </w:r>
          </w:p>
        </w:tc>
        <w:tc>
          <w:tcPr>
            <w:tcW w:w="1843" w:type="dxa"/>
          </w:tcPr>
          <w:p w14:paraId="6C70A367"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Mainly self-reported physician diagnoses, supplemented by BP measurements and symptom scales for anxiety/depression</w:t>
            </w:r>
          </w:p>
        </w:tc>
        <w:tc>
          <w:tcPr>
            <w:tcW w:w="1418" w:type="dxa"/>
          </w:tcPr>
          <w:p w14:paraId="3839A3B3"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Validated Chinese MMSE</w:t>
            </w:r>
          </w:p>
        </w:tc>
        <w:tc>
          <w:tcPr>
            <w:tcW w:w="1275" w:type="dxa"/>
          </w:tcPr>
          <w:p w14:paraId="1649D87B"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Incident MMSE-defined cognitive impairment (MMSE &lt;24)</w:t>
            </w:r>
          </w:p>
        </w:tc>
        <w:tc>
          <w:tcPr>
            <w:tcW w:w="3686" w:type="dxa"/>
          </w:tcPr>
          <w:p w14:paraId="2A02A0FB" w14:textId="77777777" w:rsidR="0069354C" w:rsidRPr="00B521CA" w:rsidRDefault="0069354C" w:rsidP="0032614C">
            <w:pPr>
              <w:spacing w:line="36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Heavy multimorbidity (≥3 conditions) was associated with incident cognitive impairment (RR 1.39, 95% CI 1.22–1.59). Two and ≥3 cardiometabolic conditions were associated with RRs of 1.41 (1.22–1.63) and 1.52 (1.30–1.78), respectively.</w:t>
            </w:r>
          </w:p>
        </w:tc>
        <w:tc>
          <w:tcPr>
            <w:tcW w:w="709" w:type="dxa"/>
          </w:tcPr>
          <w:p w14:paraId="41E67CCC" w14:textId="77777777" w:rsidR="0069354C" w:rsidRPr="00B521CA" w:rsidRDefault="0069354C" w:rsidP="0032614C">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9/11</w:t>
            </w:r>
          </w:p>
        </w:tc>
      </w:tr>
      <w:tr w:rsidR="0069354C" w:rsidRPr="00B521CA" w14:paraId="12210951" w14:textId="77777777" w:rsidTr="003261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895C8DA" w14:textId="77777777" w:rsidR="0069354C" w:rsidRPr="004503C7" w:rsidRDefault="0069354C" w:rsidP="0032614C">
            <w:pPr>
              <w:rPr>
                <w:rFonts w:asciiTheme="majorBidi" w:hAnsiTheme="majorBidi" w:cstheme="majorBidi"/>
                <w:sz w:val="16"/>
                <w:szCs w:val="16"/>
              </w:rPr>
            </w:pPr>
            <w:r w:rsidRPr="004503C7">
              <w:rPr>
                <w:rFonts w:asciiTheme="majorBidi" w:hAnsiTheme="majorBidi" w:cstheme="majorBidi"/>
                <w:sz w:val="16"/>
                <w:szCs w:val="16"/>
              </w:rPr>
              <w:t>(Zhang et al., 2024)</w:t>
            </w:r>
          </w:p>
          <w:p w14:paraId="054737C1" w14:textId="77777777" w:rsidR="0069354C" w:rsidRPr="00B521CA" w:rsidRDefault="0069354C" w:rsidP="0032614C">
            <w:pPr>
              <w:rPr>
                <w:rFonts w:asciiTheme="majorBidi" w:hAnsiTheme="majorBidi" w:cstheme="majorBidi"/>
                <w:b w:val="0"/>
                <w:bCs w:val="0"/>
                <w:sz w:val="16"/>
                <w:szCs w:val="16"/>
              </w:rPr>
            </w:pPr>
          </w:p>
        </w:tc>
        <w:tc>
          <w:tcPr>
            <w:tcW w:w="851" w:type="dxa"/>
          </w:tcPr>
          <w:p w14:paraId="18329173" w14:textId="77777777" w:rsidR="0069354C" w:rsidRPr="00B521CA" w:rsidRDefault="0069354C" w:rsidP="0032614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China</w:t>
            </w:r>
          </w:p>
        </w:tc>
        <w:tc>
          <w:tcPr>
            <w:tcW w:w="1134" w:type="dxa"/>
          </w:tcPr>
          <w:p w14:paraId="6702B44E" w14:textId="77777777" w:rsidR="0069354C" w:rsidRPr="00B521CA" w:rsidRDefault="0069354C" w:rsidP="0032614C">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Cross-sectional study with propensity score matching</w:t>
            </w:r>
          </w:p>
        </w:tc>
        <w:tc>
          <w:tcPr>
            <w:tcW w:w="1559" w:type="dxa"/>
          </w:tcPr>
          <w:p w14:paraId="6DCBF1C5"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n=14,175 overall; n=8,392 after PSM</w:t>
            </w:r>
          </w:p>
          <w:p w14:paraId="4406FFD0" w14:textId="77777777" w:rsidR="0069354C"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p>
          <w:p w14:paraId="5B90A21B"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≥60 years; mean 71.26 ± 7.19</w:t>
            </w:r>
          </w:p>
        </w:tc>
        <w:tc>
          <w:tcPr>
            <w:tcW w:w="1701" w:type="dxa"/>
          </w:tcPr>
          <w:p w14:paraId="56A7D3F4" w14:textId="77777777" w:rsidR="0069354C" w:rsidRPr="00B521CA" w:rsidRDefault="0069354C" w:rsidP="0032614C">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≥2 of 17 chronic diseases</w:t>
            </w:r>
          </w:p>
        </w:tc>
        <w:tc>
          <w:tcPr>
            <w:tcW w:w="1843" w:type="dxa"/>
          </w:tcPr>
          <w:p w14:paraId="7F7B11ED"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Primarily self-reported chronic disease information</w:t>
            </w:r>
          </w:p>
        </w:tc>
        <w:tc>
          <w:tcPr>
            <w:tcW w:w="1418" w:type="dxa"/>
          </w:tcPr>
          <w:p w14:paraId="2F6BAC95"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MMSE with education-specific cutoffs (&lt;17 illiterate, &lt;20 elementary school, &lt;24 junior high school or above)</w:t>
            </w:r>
          </w:p>
        </w:tc>
        <w:tc>
          <w:tcPr>
            <w:tcW w:w="1275" w:type="dxa"/>
          </w:tcPr>
          <w:p w14:paraId="50C890CB"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Cross-sectional MMSE-defined cognitive impairment</w:t>
            </w:r>
          </w:p>
        </w:tc>
        <w:tc>
          <w:tcPr>
            <w:tcW w:w="3686" w:type="dxa"/>
          </w:tcPr>
          <w:p w14:paraId="39678C38" w14:textId="77777777" w:rsidR="0069354C" w:rsidRPr="00B521CA" w:rsidRDefault="0069354C" w:rsidP="0032614C">
            <w:pPr>
              <w:spacing w:line="36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After 1:1 propensity-score matching and multivariable adjustment, multimorbidity was associated with higher odds of cognitive impairment (OR 1.392, 95% CI 1.271–1.525).</w:t>
            </w:r>
          </w:p>
        </w:tc>
        <w:tc>
          <w:tcPr>
            <w:tcW w:w="709" w:type="dxa"/>
          </w:tcPr>
          <w:p w14:paraId="547B1D54" w14:textId="77777777" w:rsidR="0069354C" w:rsidRPr="00B521CA" w:rsidRDefault="0069354C" w:rsidP="0032614C">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6"/>
                <w:szCs w:val="16"/>
              </w:rPr>
            </w:pPr>
            <w:r w:rsidRPr="00DB40CF">
              <w:rPr>
                <w:rFonts w:asciiTheme="majorBidi" w:hAnsiTheme="majorBidi" w:cstheme="majorBidi"/>
                <w:sz w:val="16"/>
                <w:szCs w:val="16"/>
              </w:rPr>
              <w:t>7/8</w:t>
            </w:r>
          </w:p>
        </w:tc>
      </w:tr>
      <w:bookmarkEnd w:id="1"/>
    </w:tbl>
    <w:p w14:paraId="0C64CDF0" w14:textId="77777777" w:rsidR="0069354C" w:rsidRDefault="0069354C" w:rsidP="004503C7">
      <w:pPr>
        <w:rPr>
          <w:rFonts w:asciiTheme="majorBidi" w:hAnsiTheme="majorBidi" w:cstheme="majorBidi"/>
          <w:noProof/>
          <w:sz w:val="16"/>
          <w:szCs w:val="16"/>
        </w:rPr>
      </w:pPr>
    </w:p>
    <w:p w14:paraId="6F8E2443" w14:textId="363D2DC9" w:rsidR="00D44E58" w:rsidRPr="00765512" w:rsidRDefault="00512C96" w:rsidP="004503C7">
      <w:pPr>
        <w:rPr>
          <w:rFonts w:asciiTheme="majorBidi" w:hAnsiTheme="majorBidi" w:cstheme="majorBidi"/>
        </w:rPr>
      </w:pPr>
      <w:r w:rsidRPr="00F07DE9">
        <w:rPr>
          <w:rFonts w:asciiTheme="majorBidi" w:hAnsiTheme="majorBidi" w:cstheme="majorBidi"/>
          <w:noProof/>
          <w:sz w:val="16"/>
          <w:szCs w:val="16"/>
        </w:rPr>
        <w:fldChar w:fldCharType="begin"/>
      </w:r>
      <w:r w:rsidRPr="00F07DE9">
        <w:rPr>
          <w:rFonts w:asciiTheme="majorBidi" w:hAnsiTheme="majorBidi" w:cstheme="majorBidi"/>
          <w:sz w:val="16"/>
          <w:szCs w:val="16"/>
        </w:rPr>
        <w:instrText xml:space="preserve"> ADDIN EN.REFLIST </w:instrText>
      </w:r>
      <w:r w:rsidR="00C61C1E">
        <w:rPr>
          <w:rFonts w:asciiTheme="majorBidi" w:hAnsiTheme="majorBidi" w:cstheme="majorBidi"/>
          <w:noProof/>
          <w:sz w:val="16"/>
          <w:szCs w:val="16"/>
        </w:rPr>
        <w:fldChar w:fldCharType="separate"/>
      </w:r>
      <w:r w:rsidRPr="00F07DE9">
        <w:rPr>
          <w:rFonts w:asciiTheme="majorBidi" w:hAnsiTheme="majorBidi" w:cstheme="majorBidi"/>
          <w:sz w:val="16"/>
          <w:szCs w:val="16"/>
        </w:rPr>
        <w:fldChar w:fldCharType="end"/>
      </w:r>
    </w:p>
    <w:sectPr w:rsidR="00D44E58" w:rsidRPr="00765512" w:rsidSect="0076551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74358"/>
    <w:multiLevelType w:val="hybridMultilevel"/>
    <w:tmpl w:val="B82C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A0F66"/>
    <w:multiLevelType w:val="hybridMultilevel"/>
    <w:tmpl w:val="900CC2A2"/>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35473"/>
    <w:multiLevelType w:val="multilevel"/>
    <w:tmpl w:val="EDF6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ED28A1"/>
    <w:multiLevelType w:val="hybridMultilevel"/>
    <w:tmpl w:val="9694294C"/>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3D0F4A"/>
    <w:multiLevelType w:val="hybridMultilevel"/>
    <w:tmpl w:val="7B8C1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F50E6F"/>
    <w:multiLevelType w:val="hybridMultilevel"/>
    <w:tmpl w:val="695A1480"/>
    <w:lvl w:ilvl="0" w:tplc="F4A4D4C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9B11C2"/>
    <w:multiLevelType w:val="hybridMultilevel"/>
    <w:tmpl w:val="5D9C9EDE"/>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CA762F"/>
    <w:multiLevelType w:val="hybridMultilevel"/>
    <w:tmpl w:val="01AA58E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E6F605C"/>
    <w:multiLevelType w:val="hybridMultilevel"/>
    <w:tmpl w:val="1BB2D3BA"/>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ED77B97"/>
    <w:multiLevelType w:val="hybridMultilevel"/>
    <w:tmpl w:val="437C51AA"/>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90B1D"/>
    <w:multiLevelType w:val="hybridMultilevel"/>
    <w:tmpl w:val="73144558"/>
    <w:lvl w:ilvl="0" w:tplc="698EDE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945BE9"/>
    <w:multiLevelType w:val="hybridMultilevel"/>
    <w:tmpl w:val="3E2CA5EE"/>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B80610"/>
    <w:multiLevelType w:val="hybridMultilevel"/>
    <w:tmpl w:val="61F0B67C"/>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861B3B"/>
    <w:multiLevelType w:val="hybridMultilevel"/>
    <w:tmpl w:val="BE4A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EB6279"/>
    <w:multiLevelType w:val="hybridMultilevel"/>
    <w:tmpl w:val="80A6F8B8"/>
    <w:lvl w:ilvl="0" w:tplc="9C5875BE">
      <w:start w:val="1"/>
      <w:numFmt w:val="bullet"/>
      <w:lvlText w:val=""/>
      <w:lvlJc w:val="left"/>
      <w:pPr>
        <w:ind w:left="360" w:hanging="360"/>
      </w:pPr>
      <w:rPr>
        <w:rFonts w:ascii="Symbol" w:hAnsi="Symbol" w:hint="default"/>
      </w:rPr>
    </w:lvl>
    <w:lvl w:ilvl="1" w:tplc="9C5875BE">
      <w:start w:val="1"/>
      <w:numFmt w:val="bullet"/>
      <w:lvlText w:val=""/>
      <w:lvlJc w:val="left"/>
      <w:pPr>
        <w:ind w:left="36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243EB8"/>
    <w:multiLevelType w:val="hybridMultilevel"/>
    <w:tmpl w:val="FD1CB05C"/>
    <w:lvl w:ilvl="0" w:tplc="9C5875B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C495432"/>
    <w:multiLevelType w:val="hybridMultilevel"/>
    <w:tmpl w:val="72C0B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D42AD2"/>
    <w:multiLevelType w:val="multilevel"/>
    <w:tmpl w:val="F2D2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2"/>
  </w:num>
  <w:num w:numId="3">
    <w:abstractNumId w:val="16"/>
  </w:num>
  <w:num w:numId="4">
    <w:abstractNumId w:val="5"/>
  </w:num>
  <w:num w:numId="5">
    <w:abstractNumId w:val="0"/>
  </w:num>
  <w:num w:numId="6">
    <w:abstractNumId w:val="10"/>
  </w:num>
  <w:num w:numId="7">
    <w:abstractNumId w:val="13"/>
  </w:num>
  <w:num w:numId="8">
    <w:abstractNumId w:val="7"/>
  </w:num>
  <w:num w:numId="9">
    <w:abstractNumId w:val="3"/>
  </w:num>
  <w:num w:numId="10">
    <w:abstractNumId w:val="6"/>
  </w:num>
  <w:num w:numId="11">
    <w:abstractNumId w:val="11"/>
  </w:num>
  <w:num w:numId="12">
    <w:abstractNumId w:val="8"/>
  </w:num>
  <w:num w:numId="13">
    <w:abstractNumId w:val="9"/>
  </w:num>
  <w:num w:numId="14">
    <w:abstractNumId w:val="12"/>
  </w:num>
  <w:num w:numId="15">
    <w:abstractNumId w:val="1"/>
  </w:num>
  <w:num w:numId="16">
    <w:abstractNumId w:val="15"/>
  </w:num>
  <w:num w:numId="17">
    <w:abstractNumId w:val="14"/>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evzf9fp8xdfzhezavnxras8pw2txrertf59&quot;&gt;My EndNote Library&lt;record-ids&gt;&lt;item&gt;9143&lt;/item&gt;&lt;item&gt;9197&lt;/item&gt;&lt;item&gt;9198&lt;/item&gt;&lt;item&gt;9199&lt;/item&gt;&lt;item&gt;9217&lt;/item&gt;&lt;item&gt;9407&lt;/item&gt;&lt;item&gt;9408&lt;/item&gt;&lt;/record-ids&gt;&lt;/item&gt;&lt;/Libraries&gt;"/>
  </w:docVars>
  <w:rsids>
    <w:rsidRoot w:val="00113E4D"/>
    <w:rsid w:val="00025A53"/>
    <w:rsid w:val="00056ED5"/>
    <w:rsid w:val="00071721"/>
    <w:rsid w:val="00082F3E"/>
    <w:rsid w:val="0009059C"/>
    <w:rsid w:val="00093B46"/>
    <w:rsid w:val="000B3571"/>
    <w:rsid w:val="000C072C"/>
    <w:rsid w:val="000C2385"/>
    <w:rsid w:val="000C4B2F"/>
    <w:rsid w:val="000C64F1"/>
    <w:rsid w:val="000F47F1"/>
    <w:rsid w:val="001055B5"/>
    <w:rsid w:val="00113E4D"/>
    <w:rsid w:val="00114B6D"/>
    <w:rsid w:val="001176D7"/>
    <w:rsid w:val="001248D2"/>
    <w:rsid w:val="00125C7E"/>
    <w:rsid w:val="00145125"/>
    <w:rsid w:val="00156F64"/>
    <w:rsid w:val="001C2D8E"/>
    <w:rsid w:val="001D0F2B"/>
    <w:rsid w:val="002018F1"/>
    <w:rsid w:val="00217DB7"/>
    <w:rsid w:val="00222EC5"/>
    <w:rsid w:val="002428FF"/>
    <w:rsid w:val="00243D5E"/>
    <w:rsid w:val="00273E30"/>
    <w:rsid w:val="002838E9"/>
    <w:rsid w:val="002A23B4"/>
    <w:rsid w:val="002A733A"/>
    <w:rsid w:val="002C0CF1"/>
    <w:rsid w:val="002D3BA2"/>
    <w:rsid w:val="0030138C"/>
    <w:rsid w:val="00355967"/>
    <w:rsid w:val="0039180B"/>
    <w:rsid w:val="003B5791"/>
    <w:rsid w:val="003E705C"/>
    <w:rsid w:val="00416FCD"/>
    <w:rsid w:val="00435C45"/>
    <w:rsid w:val="004503C7"/>
    <w:rsid w:val="0045171B"/>
    <w:rsid w:val="00460741"/>
    <w:rsid w:val="0046512E"/>
    <w:rsid w:val="00473BB9"/>
    <w:rsid w:val="004877CE"/>
    <w:rsid w:val="004B5081"/>
    <w:rsid w:val="004B6DF7"/>
    <w:rsid w:val="004C2D62"/>
    <w:rsid w:val="004C3671"/>
    <w:rsid w:val="004F384A"/>
    <w:rsid w:val="00510C15"/>
    <w:rsid w:val="00512C96"/>
    <w:rsid w:val="00520715"/>
    <w:rsid w:val="00524B18"/>
    <w:rsid w:val="005635F2"/>
    <w:rsid w:val="00570067"/>
    <w:rsid w:val="00583BB1"/>
    <w:rsid w:val="00586043"/>
    <w:rsid w:val="005C5E09"/>
    <w:rsid w:val="005C6B18"/>
    <w:rsid w:val="005D7804"/>
    <w:rsid w:val="005E0370"/>
    <w:rsid w:val="0063717D"/>
    <w:rsid w:val="006812E1"/>
    <w:rsid w:val="00683B95"/>
    <w:rsid w:val="0069354C"/>
    <w:rsid w:val="006D4AA4"/>
    <w:rsid w:val="006F0C22"/>
    <w:rsid w:val="007034FB"/>
    <w:rsid w:val="00710F70"/>
    <w:rsid w:val="00714C78"/>
    <w:rsid w:val="0071562D"/>
    <w:rsid w:val="00716EA3"/>
    <w:rsid w:val="00722371"/>
    <w:rsid w:val="00765512"/>
    <w:rsid w:val="0077429E"/>
    <w:rsid w:val="00776F2E"/>
    <w:rsid w:val="00791956"/>
    <w:rsid w:val="007B22B8"/>
    <w:rsid w:val="007D17D6"/>
    <w:rsid w:val="007E647A"/>
    <w:rsid w:val="007E6E83"/>
    <w:rsid w:val="007F5894"/>
    <w:rsid w:val="008014D7"/>
    <w:rsid w:val="00823E99"/>
    <w:rsid w:val="00835D8D"/>
    <w:rsid w:val="0089024B"/>
    <w:rsid w:val="008938AC"/>
    <w:rsid w:val="00896130"/>
    <w:rsid w:val="008A16E6"/>
    <w:rsid w:val="008A7E89"/>
    <w:rsid w:val="008E2807"/>
    <w:rsid w:val="008F1182"/>
    <w:rsid w:val="00957B81"/>
    <w:rsid w:val="00976EFF"/>
    <w:rsid w:val="009C68EB"/>
    <w:rsid w:val="009D5127"/>
    <w:rsid w:val="009D616E"/>
    <w:rsid w:val="00A03657"/>
    <w:rsid w:val="00A26B38"/>
    <w:rsid w:val="00A37683"/>
    <w:rsid w:val="00A37ED3"/>
    <w:rsid w:val="00A650EA"/>
    <w:rsid w:val="00A65207"/>
    <w:rsid w:val="00A65A1F"/>
    <w:rsid w:val="00A8178E"/>
    <w:rsid w:val="00A83843"/>
    <w:rsid w:val="00AE5ED2"/>
    <w:rsid w:val="00B37AD5"/>
    <w:rsid w:val="00B521CA"/>
    <w:rsid w:val="00B55BC2"/>
    <w:rsid w:val="00B624AF"/>
    <w:rsid w:val="00BA4632"/>
    <w:rsid w:val="00BC41D2"/>
    <w:rsid w:val="00BC625C"/>
    <w:rsid w:val="00BC6A58"/>
    <w:rsid w:val="00BE182F"/>
    <w:rsid w:val="00BE3A38"/>
    <w:rsid w:val="00BF4391"/>
    <w:rsid w:val="00C00231"/>
    <w:rsid w:val="00C05227"/>
    <w:rsid w:val="00C1241A"/>
    <w:rsid w:val="00C57976"/>
    <w:rsid w:val="00C61C1E"/>
    <w:rsid w:val="00CC2DB2"/>
    <w:rsid w:val="00CD09A1"/>
    <w:rsid w:val="00CF1057"/>
    <w:rsid w:val="00CF1FEC"/>
    <w:rsid w:val="00CF231A"/>
    <w:rsid w:val="00CF38C1"/>
    <w:rsid w:val="00D023B7"/>
    <w:rsid w:val="00D03B0E"/>
    <w:rsid w:val="00D0607D"/>
    <w:rsid w:val="00D133EB"/>
    <w:rsid w:val="00D14941"/>
    <w:rsid w:val="00D24ACA"/>
    <w:rsid w:val="00D30DA6"/>
    <w:rsid w:val="00D44E58"/>
    <w:rsid w:val="00D54211"/>
    <w:rsid w:val="00D668C7"/>
    <w:rsid w:val="00D737B2"/>
    <w:rsid w:val="00D85B15"/>
    <w:rsid w:val="00D93B0C"/>
    <w:rsid w:val="00DA5072"/>
    <w:rsid w:val="00DB40CF"/>
    <w:rsid w:val="00DC36EC"/>
    <w:rsid w:val="00DD65B7"/>
    <w:rsid w:val="00DE05F5"/>
    <w:rsid w:val="00E4615D"/>
    <w:rsid w:val="00E520C6"/>
    <w:rsid w:val="00E7068E"/>
    <w:rsid w:val="00EA6159"/>
    <w:rsid w:val="00EC5F37"/>
    <w:rsid w:val="00EE3CB8"/>
    <w:rsid w:val="00F05F6E"/>
    <w:rsid w:val="00F07DE9"/>
    <w:rsid w:val="00F37C6D"/>
    <w:rsid w:val="00F6092B"/>
    <w:rsid w:val="00F7513D"/>
    <w:rsid w:val="00F93766"/>
    <w:rsid w:val="00F93AB0"/>
    <w:rsid w:val="00F9442D"/>
    <w:rsid w:val="00FC6277"/>
    <w:rsid w:val="00FE2D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7249"/>
  <w15:chartTrackingRefBased/>
  <w15:docId w15:val="{C1CDAA44-8CD9-4A91-9DEB-DF8992983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8E"/>
  </w:style>
  <w:style w:type="paragraph" w:styleId="Heading1">
    <w:name w:val="heading 1"/>
    <w:basedOn w:val="Normal"/>
    <w:next w:val="Normal"/>
    <w:link w:val="Heading1Char"/>
    <w:uiPriority w:val="9"/>
    <w:qFormat/>
    <w:rsid w:val="00113E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13E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13E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13E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13E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13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E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13E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13E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13E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13E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13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E4D"/>
    <w:rPr>
      <w:rFonts w:eastAsiaTheme="majorEastAsia" w:cstheme="majorBidi"/>
      <w:color w:val="272727" w:themeColor="text1" w:themeTint="D8"/>
    </w:rPr>
  </w:style>
  <w:style w:type="paragraph" w:styleId="Title">
    <w:name w:val="Title"/>
    <w:basedOn w:val="Normal"/>
    <w:next w:val="Normal"/>
    <w:link w:val="TitleChar"/>
    <w:uiPriority w:val="10"/>
    <w:qFormat/>
    <w:rsid w:val="00113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E4D"/>
    <w:pPr>
      <w:spacing w:before="160"/>
      <w:jc w:val="center"/>
    </w:pPr>
    <w:rPr>
      <w:i/>
      <w:iCs/>
      <w:color w:val="404040" w:themeColor="text1" w:themeTint="BF"/>
    </w:rPr>
  </w:style>
  <w:style w:type="character" w:customStyle="1" w:styleId="QuoteChar">
    <w:name w:val="Quote Char"/>
    <w:basedOn w:val="DefaultParagraphFont"/>
    <w:link w:val="Quote"/>
    <w:uiPriority w:val="29"/>
    <w:rsid w:val="00113E4D"/>
    <w:rPr>
      <w:i/>
      <w:iCs/>
      <w:color w:val="404040" w:themeColor="text1" w:themeTint="BF"/>
    </w:rPr>
  </w:style>
  <w:style w:type="paragraph" w:styleId="ListParagraph">
    <w:name w:val="List Paragraph"/>
    <w:basedOn w:val="Normal"/>
    <w:uiPriority w:val="34"/>
    <w:qFormat/>
    <w:rsid w:val="00113E4D"/>
    <w:pPr>
      <w:ind w:left="720"/>
      <w:contextualSpacing/>
    </w:pPr>
  </w:style>
  <w:style w:type="character" w:styleId="IntenseEmphasis">
    <w:name w:val="Intense Emphasis"/>
    <w:basedOn w:val="DefaultParagraphFont"/>
    <w:uiPriority w:val="21"/>
    <w:qFormat/>
    <w:rsid w:val="00113E4D"/>
    <w:rPr>
      <w:i/>
      <w:iCs/>
      <w:color w:val="2F5496" w:themeColor="accent1" w:themeShade="BF"/>
    </w:rPr>
  </w:style>
  <w:style w:type="paragraph" w:styleId="IntenseQuote">
    <w:name w:val="Intense Quote"/>
    <w:basedOn w:val="Normal"/>
    <w:next w:val="Normal"/>
    <w:link w:val="IntenseQuoteChar"/>
    <w:uiPriority w:val="30"/>
    <w:qFormat/>
    <w:rsid w:val="00113E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13E4D"/>
    <w:rPr>
      <w:i/>
      <w:iCs/>
      <w:color w:val="2F5496" w:themeColor="accent1" w:themeShade="BF"/>
    </w:rPr>
  </w:style>
  <w:style w:type="character" w:styleId="IntenseReference">
    <w:name w:val="Intense Reference"/>
    <w:basedOn w:val="DefaultParagraphFont"/>
    <w:uiPriority w:val="32"/>
    <w:qFormat/>
    <w:rsid w:val="00113E4D"/>
    <w:rPr>
      <w:b/>
      <w:bCs/>
      <w:smallCaps/>
      <w:color w:val="2F5496" w:themeColor="accent1" w:themeShade="BF"/>
      <w:spacing w:val="5"/>
    </w:rPr>
  </w:style>
  <w:style w:type="table" w:styleId="TableGrid">
    <w:name w:val="Table Grid"/>
    <w:basedOn w:val="TableNormal"/>
    <w:uiPriority w:val="39"/>
    <w:rsid w:val="002C0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12C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512C9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12C96"/>
    <w:rPr>
      <w:rFonts w:ascii="Calibri" w:hAnsi="Calibri" w:cs="Calibri"/>
      <w:noProof/>
    </w:rPr>
  </w:style>
  <w:style w:type="paragraph" w:customStyle="1" w:styleId="EndNoteBibliography">
    <w:name w:val="EndNote Bibliography"/>
    <w:basedOn w:val="Normal"/>
    <w:link w:val="EndNoteBibliographyChar"/>
    <w:rsid w:val="00512C9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12C96"/>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6989">
      <w:bodyDiv w:val="1"/>
      <w:marLeft w:val="0"/>
      <w:marRight w:val="0"/>
      <w:marTop w:val="0"/>
      <w:marBottom w:val="0"/>
      <w:divBdr>
        <w:top w:val="none" w:sz="0" w:space="0" w:color="auto"/>
        <w:left w:val="none" w:sz="0" w:space="0" w:color="auto"/>
        <w:bottom w:val="none" w:sz="0" w:space="0" w:color="auto"/>
        <w:right w:val="none" w:sz="0" w:space="0" w:color="auto"/>
      </w:divBdr>
    </w:div>
    <w:div w:id="38752245">
      <w:bodyDiv w:val="1"/>
      <w:marLeft w:val="0"/>
      <w:marRight w:val="0"/>
      <w:marTop w:val="0"/>
      <w:marBottom w:val="0"/>
      <w:divBdr>
        <w:top w:val="none" w:sz="0" w:space="0" w:color="auto"/>
        <w:left w:val="none" w:sz="0" w:space="0" w:color="auto"/>
        <w:bottom w:val="none" w:sz="0" w:space="0" w:color="auto"/>
        <w:right w:val="none" w:sz="0" w:space="0" w:color="auto"/>
      </w:divBdr>
    </w:div>
    <w:div w:id="55906512">
      <w:bodyDiv w:val="1"/>
      <w:marLeft w:val="0"/>
      <w:marRight w:val="0"/>
      <w:marTop w:val="0"/>
      <w:marBottom w:val="0"/>
      <w:divBdr>
        <w:top w:val="none" w:sz="0" w:space="0" w:color="auto"/>
        <w:left w:val="none" w:sz="0" w:space="0" w:color="auto"/>
        <w:bottom w:val="none" w:sz="0" w:space="0" w:color="auto"/>
        <w:right w:val="none" w:sz="0" w:space="0" w:color="auto"/>
      </w:divBdr>
    </w:div>
    <w:div w:id="67575961">
      <w:bodyDiv w:val="1"/>
      <w:marLeft w:val="0"/>
      <w:marRight w:val="0"/>
      <w:marTop w:val="0"/>
      <w:marBottom w:val="0"/>
      <w:divBdr>
        <w:top w:val="none" w:sz="0" w:space="0" w:color="auto"/>
        <w:left w:val="none" w:sz="0" w:space="0" w:color="auto"/>
        <w:bottom w:val="none" w:sz="0" w:space="0" w:color="auto"/>
        <w:right w:val="none" w:sz="0" w:space="0" w:color="auto"/>
      </w:divBdr>
    </w:div>
    <w:div w:id="84425970">
      <w:bodyDiv w:val="1"/>
      <w:marLeft w:val="0"/>
      <w:marRight w:val="0"/>
      <w:marTop w:val="0"/>
      <w:marBottom w:val="0"/>
      <w:divBdr>
        <w:top w:val="none" w:sz="0" w:space="0" w:color="auto"/>
        <w:left w:val="none" w:sz="0" w:space="0" w:color="auto"/>
        <w:bottom w:val="none" w:sz="0" w:space="0" w:color="auto"/>
        <w:right w:val="none" w:sz="0" w:space="0" w:color="auto"/>
      </w:divBdr>
    </w:div>
    <w:div w:id="98646213">
      <w:bodyDiv w:val="1"/>
      <w:marLeft w:val="0"/>
      <w:marRight w:val="0"/>
      <w:marTop w:val="0"/>
      <w:marBottom w:val="0"/>
      <w:divBdr>
        <w:top w:val="none" w:sz="0" w:space="0" w:color="auto"/>
        <w:left w:val="none" w:sz="0" w:space="0" w:color="auto"/>
        <w:bottom w:val="none" w:sz="0" w:space="0" w:color="auto"/>
        <w:right w:val="none" w:sz="0" w:space="0" w:color="auto"/>
      </w:divBdr>
    </w:div>
    <w:div w:id="118108486">
      <w:bodyDiv w:val="1"/>
      <w:marLeft w:val="0"/>
      <w:marRight w:val="0"/>
      <w:marTop w:val="0"/>
      <w:marBottom w:val="0"/>
      <w:divBdr>
        <w:top w:val="none" w:sz="0" w:space="0" w:color="auto"/>
        <w:left w:val="none" w:sz="0" w:space="0" w:color="auto"/>
        <w:bottom w:val="none" w:sz="0" w:space="0" w:color="auto"/>
        <w:right w:val="none" w:sz="0" w:space="0" w:color="auto"/>
      </w:divBdr>
    </w:div>
    <w:div w:id="136268131">
      <w:bodyDiv w:val="1"/>
      <w:marLeft w:val="0"/>
      <w:marRight w:val="0"/>
      <w:marTop w:val="0"/>
      <w:marBottom w:val="0"/>
      <w:divBdr>
        <w:top w:val="none" w:sz="0" w:space="0" w:color="auto"/>
        <w:left w:val="none" w:sz="0" w:space="0" w:color="auto"/>
        <w:bottom w:val="none" w:sz="0" w:space="0" w:color="auto"/>
        <w:right w:val="none" w:sz="0" w:space="0" w:color="auto"/>
      </w:divBdr>
    </w:div>
    <w:div w:id="138503116">
      <w:bodyDiv w:val="1"/>
      <w:marLeft w:val="0"/>
      <w:marRight w:val="0"/>
      <w:marTop w:val="0"/>
      <w:marBottom w:val="0"/>
      <w:divBdr>
        <w:top w:val="none" w:sz="0" w:space="0" w:color="auto"/>
        <w:left w:val="none" w:sz="0" w:space="0" w:color="auto"/>
        <w:bottom w:val="none" w:sz="0" w:space="0" w:color="auto"/>
        <w:right w:val="none" w:sz="0" w:space="0" w:color="auto"/>
      </w:divBdr>
    </w:div>
    <w:div w:id="149298009">
      <w:bodyDiv w:val="1"/>
      <w:marLeft w:val="0"/>
      <w:marRight w:val="0"/>
      <w:marTop w:val="0"/>
      <w:marBottom w:val="0"/>
      <w:divBdr>
        <w:top w:val="none" w:sz="0" w:space="0" w:color="auto"/>
        <w:left w:val="none" w:sz="0" w:space="0" w:color="auto"/>
        <w:bottom w:val="none" w:sz="0" w:space="0" w:color="auto"/>
        <w:right w:val="none" w:sz="0" w:space="0" w:color="auto"/>
      </w:divBdr>
    </w:div>
    <w:div w:id="227544673">
      <w:bodyDiv w:val="1"/>
      <w:marLeft w:val="0"/>
      <w:marRight w:val="0"/>
      <w:marTop w:val="0"/>
      <w:marBottom w:val="0"/>
      <w:divBdr>
        <w:top w:val="none" w:sz="0" w:space="0" w:color="auto"/>
        <w:left w:val="none" w:sz="0" w:space="0" w:color="auto"/>
        <w:bottom w:val="none" w:sz="0" w:space="0" w:color="auto"/>
        <w:right w:val="none" w:sz="0" w:space="0" w:color="auto"/>
      </w:divBdr>
    </w:div>
    <w:div w:id="271018134">
      <w:bodyDiv w:val="1"/>
      <w:marLeft w:val="0"/>
      <w:marRight w:val="0"/>
      <w:marTop w:val="0"/>
      <w:marBottom w:val="0"/>
      <w:divBdr>
        <w:top w:val="none" w:sz="0" w:space="0" w:color="auto"/>
        <w:left w:val="none" w:sz="0" w:space="0" w:color="auto"/>
        <w:bottom w:val="none" w:sz="0" w:space="0" w:color="auto"/>
        <w:right w:val="none" w:sz="0" w:space="0" w:color="auto"/>
      </w:divBdr>
    </w:div>
    <w:div w:id="281616825">
      <w:bodyDiv w:val="1"/>
      <w:marLeft w:val="0"/>
      <w:marRight w:val="0"/>
      <w:marTop w:val="0"/>
      <w:marBottom w:val="0"/>
      <w:divBdr>
        <w:top w:val="none" w:sz="0" w:space="0" w:color="auto"/>
        <w:left w:val="none" w:sz="0" w:space="0" w:color="auto"/>
        <w:bottom w:val="none" w:sz="0" w:space="0" w:color="auto"/>
        <w:right w:val="none" w:sz="0" w:space="0" w:color="auto"/>
      </w:divBdr>
    </w:div>
    <w:div w:id="283578455">
      <w:bodyDiv w:val="1"/>
      <w:marLeft w:val="0"/>
      <w:marRight w:val="0"/>
      <w:marTop w:val="0"/>
      <w:marBottom w:val="0"/>
      <w:divBdr>
        <w:top w:val="none" w:sz="0" w:space="0" w:color="auto"/>
        <w:left w:val="none" w:sz="0" w:space="0" w:color="auto"/>
        <w:bottom w:val="none" w:sz="0" w:space="0" w:color="auto"/>
        <w:right w:val="none" w:sz="0" w:space="0" w:color="auto"/>
      </w:divBdr>
    </w:div>
    <w:div w:id="283659966">
      <w:bodyDiv w:val="1"/>
      <w:marLeft w:val="0"/>
      <w:marRight w:val="0"/>
      <w:marTop w:val="0"/>
      <w:marBottom w:val="0"/>
      <w:divBdr>
        <w:top w:val="none" w:sz="0" w:space="0" w:color="auto"/>
        <w:left w:val="none" w:sz="0" w:space="0" w:color="auto"/>
        <w:bottom w:val="none" w:sz="0" w:space="0" w:color="auto"/>
        <w:right w:val="none" w:sz="0" w:space="0" w:color="auto"/>
      </w:divBdr>
    </w:div>
    <w:div w:id="291598559">
      <w:bodyDiv w:val="1"/>
      <w:marLeft w:val="0"/>
      <w:marRight w:val="0"/>
      <w:marTop w:val="0"/>
      <w:marBottom w:val="0"/>
      <w:divBdr>
        <w:top w:val="none" w:sz="0" w:space="0" w:color="auto"/>
        <w:left w:val="none" w:sz="0" w:space="0" w:color="auto"/>
        <w:bottom w:val="none" w:sz="0" w:space="0" w:color="auto"/>
        <w:right w:val="none" w:sz="0" w:space="0" w:color="auto"/>
      </w:divBdr>
    </w:div>
    <w:div w:id="368451837">
      <w:bodyDiv w:val="1"/>
      <w:marLeft w:val="0"/>
      <w:marRight w:val="0"/>
      <w:marTop w:val="0"/>
      <w:marBottom w:val="0"/>
      <w:divBdr>
        <w:top w:val="none" w:sz="0" w:space="0" w:color="auto"/>
        <w:left w:val="none" w:sz="0" w:space="0" w:color="auto"/>
        <w:bottom w:val="none" w:sz="0" w:space="0" w:color="auto"/>
        <w:right w:val="none" w:sz="0" w:space="0" w:color="auto"/>
      </w:divBdr>
    </w:div>
    <w:div w:id="398984176">
      <w:bodyDiv w:val="1"/>
      <w:marLeft w:val="0"/>
      <w:marRight w:val="0"/>
      <w:marTop w:val="0"/>
      <w:marBottom w:val="0"/>
      <w:divBdr>
        <w:top w:val="none" w:sz="0" w:space="0" w:color="auto"/>
        <w:left w:val="none" w:sz="0" w:space="0" w:color="auto"/>
        <w:bottom w:val="none" w:sz="0" w:space="0" w:color="auto"/>
        <w:right w:val="none" w:sz="0" w:space="0" w:color="auto"/>
      </w:divBdr>
    </w:div>
    <w:div w:id="496459038">
      <w:bodyDiv w:val="1"/>
      <w:marLeft w:val="0"/>
      <w:marRight w:val="0"/>
      <w:marTop w:val="0"/>
      <w:marBottom w:val="0"/>
      <w:divBdr>
        <w:top w:val="none" w:sz="0" w:space="0" w:color="auto"/>
        <w:left w:val="none" w:sz="0" w:space="0" w:color="auto"/>
        <w:bottom w:val="none" w:sz="0" w:space="0" w:color="auto"/>
        <w:right w:val="none" w:sz="0" w:space="0" w:color="auto"/>
      </w:divBdr>
    </w:div>
    <w:div w:id="509374654">
      <w:bodyDiv w:val="1"/>
      <w:marLeft w:val="0"/>
      <w:marRight w:val="0"/>
      <w:marTop w:val="0"/>
      <w:marBottom w:val="0"/>
      <w:divBdr>
        <w:top w:val="none" w:sz="0" w:space="0" w:color="auto"/>
        <w:left w:val="none" w:sz="0" w:space="0" w:color="auto"/>
        <w:bottom w:val="none" w:sz="0" w:space="0" w:color="auto"/>
        <w:right w:val="none" w:sz="0" w:space="0" w:color="auto"/>
      </w:divBdr>
    </w:div>
    <w:div w:id="563226764">
      <w:bodyDiv w:val="1"/>
      <w:marLeft w:val="0"/>
      <w:marRight w:val="0"/>
      <w:marTop w:val="0"/>
      <w:marBottom w:val="0"/>
      <w:divBdr>
        <w:top w:val="none" w:sz="0" w:space="0" w:color="auto"/>
        <w:left w:val="none" w:sz="0" w:space="0" w:color="auto"/>
        <w:bottom w:val="none" w:sz="0" w:space="0" w:color="auto"/>
        <w:right w:val="none" w:sz="0" w:space="0" w:color="auto"/>
      </w:divBdr>
      <w:divsChild>
        <w:div w:id="1390492910">
          <w:marLeft w:val="0"/>
          <w:marRight w:val="0"/>
          <w:marTop w:val="0"/>
          <w:marBottom w:val="0"/>
          <w:divBdr>
            <w:top w:val="none" w:sz="0" w:space="0" w:color="auto"/>
            <w:left w:val="none" w:sz="0" w:space="0" w:color="auto"/>
            <w:bottom w:val="none" w:sz="0" w:space="0" w:color="auto"/>
            <w:right w:val="none" w:sz="0" w:space="0" w:color="auto"/>
          </w:divBdr>
          <w:divsChild>
            <w:div w:id="51341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159595">
      <w:bodyDiv w:val="1"/>
      <w:marLeft w:val="0"/>
      <w:marRight w:val="0"/>
      <w:marTop w:val="0"/>
      <w:marBottom w:val="0"/>
      <w:divBdr>
        <w:top w:val="none" w:sz="0" w:space="0" w:color="auto"/>
        <w:left w:val="none" w:sz="0" w:space="0" w:color="auto"/>
        <w:bottom w:val="none" w:sz="0" w:space="0" w:color="auto"/>
        <w:right w:val="none" w:sz="0" w:space="0" w:color="auto"/>
      </w:divBdr>
    </w:div>
    <w:div w:id="651714426">
      <w:bodyDiv w:val="1"/>
      <w:marLeft w:val="0"/>
      <w:marRight w:val="0"/>
      <w:marTop w:val="0"/>
      <w:marBottom w:val="0"/>
      <w:divBdr>
        <w:top w:val="none" w:sz="0" w:space="0" w:color="auto"/>
        <w:left w:val="none" w:sz="0" w:space="0" w:color="auto"/>
        <w:bottom w:val="none" w:sz="0" w:space="0" w:color="auto"/>
        <w:right w:val="none" w:sz="0" w:space="0" w:color="auto"/>
      </w:divBdr>
    </w:div>
    <w:div w:id="702443159">
      <w:bodyDiv w:val="1"/>
      <w:marLeft w:val="0"/>
      <w:marRight w:val="0"/>
      <w:marTop w:val="0"/>
      <w:marBottom w:val="0"/>
      <w:divBdr>
        <w:top w:val="none" w:sz="0" w:space="0" w:color="auto"/>
        <w:left w:val="none" w:sz="0" w:space="0" w:color="auto"/>
        <w:bottom w:val="none" w:sz="0" w:space="0" w:color="auto"/>
        <w:right w:val="none" w:sz="0" w:space="0" w:color="auto"/>
      </w:divBdr>
    </w:div>
    <w:div w:id="832647387">
      <w:bodyDiv w:val="1"/>
      <w:marLeft w:val="0"/>
      <w:marRight w:val="0"/>
      <w:marTop w:val="0"/>
      <w:marBottom w:val="0"/>
      <w:divBdr>
        <w:top w:val="none" w:sz="0" w:space="0" w:color="auto"/>
        <w:left w:val="none" w:sz="0" w:space="0" w:color="auto"/>
        <w:bottom w:val="none" w:sz="0" w:space="0" w:color="auto"/>
        <w:right w:val="none" w:sz="0" w:space="0" w:color="auto"/>
      </w:divBdr>
    </w:div>
    <w:div w:id="862481351">
      <w:bodyDiv w:val="1"/>
      <w:marLeft w:val="0"/>
      <w:marRight w:val="0"/>
      <w:marTop w:val="0"/>
      <w:marBottom w:val="0"/>
      <w:divBdr>
        <w:top w:val="none" w:sz="0" w:space="0" w:color="auto"/>
        <w:left w:val="none" w:sz="0" w:space="0" w:color="auto"/>
        <w:bottom w:val="none" w:sz="0" w:space="0" w:color="auto"/>
        <w:right w:val="none" w:sz="0" w:space="0" w:color="auto"/>
      </w:divBdr>
      <w:divsChild>
        <w:div w:id="327758039">
          <w:marLeft w:val="0"/>
          <w:marRight w:val="0"/>
          <w:marTop w:val="0"/>
          <w:marBottom w:val="0"/>
          <w:divBdr>
            <w:top w:val="none" w:sz="0" w:space="0" w:color="auto"/>
            <w:left w:val="none" w:sz="0" w:space="0" w:color="auto"/>
            <w:bottom w:val="none" w:sz="0" w:space="0" w:color="auto"/>
            <w:right w:val="none" w:sz="0" w:space="0" w:color="auto"/>
          </w:divBdr>
          <w:divsChild>
            <w:div w:id="376398699">
              <w:marLeft w:val="0"/>
              <w:marRight w:val="0"/>
              <w:marTop w:val="0"/>
              <w:marBottom w:val="0"/>
              <w:divBdr>
                <w:top w:val="none" w:sz="0" w:space="0" w:color="auto"/>
                <w:left w:val="none" w:sz="0" w:space="0" w:color="auto"/>
                <w:bottom w:val="none" w:sz="0" w:space="0" w:color="auto"/>
                <w:right w:val="none" w:sz="0" w:space="0" w:color="auto"/>
              </w:divBdr>
              <w:divsChild>
                <w:div w:id="1570074372">
                  <w:marLeft w:val="0"/>
                  <w:marRight w:val="0"/>
                  <w:marTop w:val="0"/>
                  <w:marBottom w:val="0"/>
                  <w:divBdr>
                    <w:top w:val="none" w:sz="0" w:space="0" w:color="auto"/>
                    <w:left w:val="none" w:sz="0" w:space="0" w:color="auto"/>
                    <w:bottom w:val="none" w:sz="0" w:space="0" w:color="auto"/>
                    <w:right w:val="none" w:sz="0" w:space="0" w:color="auto"/>
                  </w:divBdr>
                  <w:divsChild>
                    <w:div w:id="1559626604">
                      <w:marLeft w:val="0"/>
                      <w:marRight w:val="0"/>
                      <w:marTop w:val="0"/>
                      <w:marBottom w:val="0"/>
                      <w:divBdr>
                        <w:top w:val="none" w:sz="0" w:space="0" w:color="auto"/>
                        <w:left w:val="none" w:sz="0" w:space="0" w:color="auto"/>
                        <w:bottom w:val="none" w:sz="0" w:space="0" w:color="auto"/>
                        <w:right w:val="none" w:sz="0" w:space="0" w:color="auto"/>
                      </w:divBdr>
                      <w:divsChild>
                        <w:div w:id="577983596">
                          <w:marLeft w:val="0"/>
                          <w:marRight w:val="0"/>
                          <w:marTop w:val="0"/>
                          <w:marBottom w:val="0"/>
                          <w:divBdr>
                            <w:top w:val="none" w:sz="0" w:space="0" w:color="auto"/>
                            <w:left w:val="none" w:sz="0" w:space="0" w:color="auto"/>
                            <w:bottom w:val="none" w:sz="0" w:space="0" w:color="auto"/>
                            <w:right w:val="none" w:sz="0" w:space="0" w:color="auto"/>
                          </w:divBdr>
                          <w:divsChild>
                            <w:div w:id="20570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971180">
      <w:bodyDiv w:val="1"/>
      <w:marLeft w:val="0"/>
      <w:marRight w:val="0"/>
      <w:marTop w:val="0"/>
      <w:marBottom w:val="0"/>
      <w:divBdr>
        <w:top w:val="none" w:sz="0" w:space="0" w:color="auto"/>
        <w:left w:val="none" w:sz="0" w:space="0" w:color="auto"/>
        <w:bottom w:val="none" w:sz="0" w:space="0" w:color="auto"/>
        <w:right w:val="none" w:sz="0" w:space="0" w:color="auto"/>
      </w:divBdr>
    </w:div>
    <w:div w:id="916137610">
      <w:bodyDiv w:val="1"/>
      <w:marLeft w:val="0"/>
      <w:marRight w:val="0"/>
      <w:marTop w:val="0"/>
      <w:marBottom w:val="0"/>
      <w:divBdr>
        <w:top w:val="none" w:sz="0" w:space="0" w:color="auto"/>
        <w:left w:val="none" w:sz="0" w:space="0" w:color="auto"/>
        <w:bottom w:val="none" w:sz="0" w:space="0" w:color="auto"/>
        <w:right w:val="none" w:sz="0" w:space="0" w:color="auto"/>
      </w:divBdr>
    </w:div>
    <w:div w:id="998774836">
      <w:bodyDiv w:val="1"/>
      <w:marLeft w:val="0"/>
      <w:marRight w:val="0"/>
      <w:marTop w:val="0"/>
      <w:marBottom w:val="0"/>
      <w:divBdr>
        <w:top w:val="none" w:sz="0" w:space="0" w:color="auto"/>
        <w:left w:val="none" w:sz="0" w:space="0" w:color="auto"/>
        <w:bottom w:val="none" w:sz="0" w:space="0" w:color="auto"/>
        <w:right w:val="none" w:sz="0" w:space="0" w:color="auto"/>
      </w:divBdr>
    </w:div>
    <w:div w:id="1009916934">
      <w:bodyDiv w:val="1"/>
      <w:marLeft w:val="0"/>
      <w:marRight w:val="0"/>
      <w:marTop w:val="0"/>
      <w:marBottom w:val="0"/>
      <w:divBdr>
        <w:top w:val="none" w:sz="0" w:space="0" w:color="auto"/>
        <w:left w:val="none" w:sz="0" w:space="0" w:color="auto"/>
        <w:bottom w:val="none" w:sz="0" w:space="0" w:color="auto"/>
        <w:right w:val="none" w:sz="0" w:space="0" w:color="auto"/>
      </w:divBdr>
    </w:div>
    <w:div w:id="1065107270">
      <w:bodyDiv w:val="1"/>
      <w:marLeft w:val="0"/>
      <w:marRight w:val="0"/>
      <w:marTop w:val="0"/>
      <w:marBottom w:val="0"/>
      <w:divBdr>
        <w:top w:val="none" w:sz="0" w:space="0" w:color="auto"/>
        <w:left w:val="none" w:sz="0" w:space="0" w:color="auto"/>
        <w:bottom w:val="none" w:sz="0" w:space="0" w:color="auto"/>
        <w:right w:val="none" w:sz="0" w:space="0" w:color="auto"/>
      </w:divBdr>
    </w:div>
    <w:div w:id="1080758624">
      <w:bodyDiv w:val="1"/>
      <w:marLeft w:val="0"/>
      <w:marRight w:val="0"/>
      <w:marTop w:val="0"/>
      <w:marBottom w:val="0"/>
      <w:divBdr>
        <w:top w:val="none" w:sz="0" w:space="0" w:color="auto"/>
        <w:left w:val="none" w:sz="0" w:space="0" w:color="auto"/>
        <w:bottom w:val="none" w:sz="0" w:space="0" w:color="auto"/>
        <w:right w:val="none" w:sz="0" w:space="0" w:color="auto"/>
      </w:divBdr>
    </w:div>
    <w:div w:id="1084763554">
      <w:bodyDiv w:val="1"/>
      <w:marLeft w:val="0"/>
      <w:marRight w:val="0"/>
      <w:marTop w:val="0"/>
      <w:marBottom w:val="0"/>
      <w:divBdr>
        <w:top w:val="none" w:sz="0" w:space="0" w:color="auto"/>
        <w:left w:val="none" w:sz="0" w:space="0" w:color="auto"/>
        <w:bottom w:val="none" w:sz="0" w:space="0" w:color="auto"/>
        <w:right w:val="none" w:sz="0" w:space="0" w:color="auto"/>
      </w:divBdr>
    </w:div>
    <w:div w:id="1086266227">
      <w:bodyDiv w:val="1"/>
      <w:marLeft w:val="0"/>
      <w:marRight w:val="0"/>
      <w:marTop w:val="0"/>
      <w:marBottom w:val="0"/>
      <w:divBdr>
        <w:top w:val="none" w:sz="0" w:space="0" w:color="auto"/>
        <w:left w:val="none" w:sz="0" w:space="0" w:color="auto"/>
        <w:bottom w:val="none" w:sz="0" w:space="0" w:color="auto"/>
        <w:right w:val="none" w:sz="0" w:space="0" w:color="auto"/>
      </w:divBdr>
    </w:div>
    <w:div w:id="1091584106">
      <w:bodyDiv w:val="1"/>
      <w:marLeft w:val="0"/>
      <w:marRight w:val="0"/>
      <w:marTop w:val="0"/>
      <w:marBottom w:val="0"/>
      <w:divBdr>
        <w:top w:val="none" w:sz="0" w:space="0" w:color="auto"/>
        <w:left w:val="none" w:sz="0" w:space="0" w:color="auto"/>
        <w:bottom w:val="none" w:sz="0" w:space="0" w:color="auto"/>
        <w:right w:val="none" w:sz="0" w:space="0" w:color="auto"/>
      </w:divBdr>
    </w:div>
    <w:div w:id="1102531558">
      <w:bodyDiv w:val="1"/>
      <w:marLeft w:val="0"/>
      <w:marRight w:val="0"/>
      <w:marTop w:val="0"/>
      <w:marBottom w:val="0"/>
      <w:divBdr>
        <w:top w:val="none" w:sz="0" w:space="0" w:color="auto"/>
        <w:left w:val="none" w:sz="0" w:space="0" w:color="auto"/>
        <w:bottom w:val="none" w:sz="0" w:space="0" w:color="auto"/>
        <w:right w:val="none" w:sz="0" w:space="0" w:color="auto"/>
      </w:divBdr>
    </w:div>
    <w:div w:id="1119300815">
      <w:bodyDiv w:val="1"/>
      <w:marLeft w:val="0"/>
      <w:marRight w:val="0"/>
      <w:marTop w:val="0"/>
      <w:marBottom w:val="0"/>
      <w:divBdr>
        <w:top w:val="none" w:sz="0" w:space="0" w:color="auto"/>
        <w:left w:val="none" w:sz="0" w:space="0" w:color="auto"/>
        <w:bottom w:val="none" w:sz="0" w:space="0" w:color="auto"/>
        <w:right w:val="none" w:sz="0" w:space="0" w:color="auto"/>
      </w:divBdr>
    </w:div>
    <w:div w:id="1125581549">
      <w:bodyDiv w:val="1"/>
      <w:marLeft w:val="0"/>
      <w:marRight w:val="0"/>
      <w:marTop w:val="0"/>
      <w:marBottom w:val="0"/>
      <w:divBdr>
        <w:top w:val="none" w:sz="0" w:space="0" w:color="auto"/>
        <w:left w:val="none" w:sz="0" w:space="0" w:color="auto"/>
        <w:bottom w:val="none" w:sz="0" w:space="0" w:color="auto"/>
        <w:right w:val="none" w:sz="0" w:space="0" w:color="auto"/>
      </w:divBdr>
    </w:div>
    <w:div w:id="1187328504">
      <w:bodyDiv w:val="1"/>
      <w:marLeft w:val="0"/>
      <w:marRight w:val="0"/>
      <w:marTop w:val="0"/>
      <w:marBottom w:val="0"/>
      <w:divBdr>
        <w:top w:val="none" w:sz="0" w:space="0" w:color="auto"/>
        <w:left w:val="none" w:sz="0" w:space="0" w:color="auto"/>
        <w:bottom w:val="none" w:sz="0" w:space="0" w:color="auto"/>
        <w:right w:val="none" w:sz="0" w:space="0" w:color="auto"/>
      </w:divBdr>
    </w:div>
    <w:div w:id="1319966346">
      <w:bodyDiv w:val="1"/>
      <w:marLeft w:val="0"/>
      <w:marRight w:val="0"/>
      <w:marTop w:val="0"/>
      <w:marBottom w:val="0"/>
      <w:divBdr>
        <w:top w:val="none" w:sz="0" w:space="0" w:color="auto"/>
        <w:left w:val="none" w:sz="0" w:space="0" w:color="auto"/>
        <w:bottom w:val="none" w:sz="0" w:space="0" w:color="auto"/>
        <w:right w:val="none" w:sz="0" w:space="0" w:color="auto"/>
      </w:divBdr>
    </w:div>
    <w:div w:id="1352216871">
      <w:bodyDiv w:val="1"/>
      <w:marLeft w:val="0"/>
      <w:marRight w:val="0"/>
      <w:marTop w:val="0"/>
      <w:marBottom w:val="0"/>
      <w:divBdr>
        <w:top w:val="none" w:sz="0" w:space="0" w:color="auto"/>
        <w:left w:val="none" w:sz="0" w:space="0" w:color="auto"/>
        <w:bottom w:val="none" w:sz="0" w:space="0" w:color="auto"/>
        <w:right w:val="none" w:sz="0" w:space="0" w:color="auto"/>
      </w:divBdr>
    </w:div>
    <w:div w:id="1353532531">
      <w:bodyDiv w:val="1"/>
      <w:marLeft w:val="0"/>
      <w:marRight w:val="0"/>
      <w:marTop w:val="0"/>
      <w:marBottom w:val="0"/>
      <w:divBdr>
        <w:top w:val="none" w:sz="0" w:space="0" w:color="auto"/>
        <w:left w:val="none" w:sz="0" w:space="0" w:color="auto"/>
        <w:bottom w:val="none" w:sz="0" w:space="0" w:color="auto"/>
        <w:right w:val="none" w:sz="0" w:space="0" w:color="auto"/>
      </w:divBdr>
    </w:div>
    <w:div w:id="1362323812">
      <w:bodyDiv w:val="1"/>
      <w:marLeft w:val="0"/>
      <w:marRight w:val="0"/>
      <w:marTop w:val="0"/>
      <w:marBottom w:val="0"/>
      <w:divBdr>
        <w:top w:val="none" w:sz="0" w:space="0" w:color="auto"/>
        <w:left w:val="none" w:sz="0" w:space="0" w:color="auto"/>
        <w:bottom w:val="none" w:sz="0" w:space="0" w:color="auto"/>
        <w:right w:val="none" w:sz="0" w:space="0" w:color="auto"/>
      </w:divBdr>
    </w:div>
    <w:div w:id="1367214519">
      <w:bodyDiv w:val="1"/>
      <w:marLeft w:val="0"/>
      <w:marRight w:val="0"/>
      <w:marTop w:val="0"/>
      <w:marBottom w:val="0"/>
      <w:divBdr>
        <w:top w:val="none" w:sz="0" w:space="0" w:color="auto"/>
        <w:left w:val="none" w:sz="0" w:space="0" w:color="auto"/>
        <w:bottom w:val="none" w:sz="0" w:space="0" w:color="auto"/>
        <w:right w:val="none" w:sz="0" w:space="0" w:color="auto"/>
      </w:divBdr>
    </w:div>
    <w:div w:id="1489708773">
      <w:bodyDiv w:val="1"/>
      <w:marLeft w:val="0"/>
      <w:marRight w:val="0"/>
      <w:marTop w:val="0"/>
      <w:marBottom w:val="0"/>
      <w:divBdr>
        <w:top w:val="none" w:sz="0" w:space="0" w:color="auto"/>
        <w:left w:val="none" w:sz="0" w:space="0" w:color="auto"/>
        <w:bottom w:val="none" w:sz="0" w:space="0" w:color="auto"/>
        <w:right w:val="none" w:sz="0" w:space="0" w:color="auto"/>
      </w:divBdr>
    </w:div>
    <w:div w:id="1540825181">
      <w:bodyDiv w:val="1"/>
      <w:marLeft w:val="0"/>
      <w:marRight w:val="0"/>
      <w:marTop w:val="0"/>
      <w:marBottom w:val="0"/>
      <w:divBdr>
        <w:top w:val="none" w:sz="0" w:space="0" w:color="auto"/>
        <w:left w:val="none" w:sz="0" w:space="0" w:color="auto"/>
        <w:bottom w:val="none" w:sz="0" w:space="0" w:color="auto"/>
        <w:right w:val="none" w:sz="0" w:space="0" w:color="auto"/>
      </w:divBdr>
    </w:div>
    <w:div w:id="1554153058">
      <w:bodyDiv w:val="1"/>
      <w:marLeft w:val="0"/>
      <w:marRight w:val="0"/>
      <w:marTop w:val="0"/>
      <w:marBottom w:val="0"/>
      <w:divBdr>
        <w:top w:val="none" w:sz="0" w:space="0" w:color="auto"/>
        <w:left w:val="none" w:sz="0" w:space="0" w:color="auto"/>
        <w:bottom w:val="none" w:sz="0" w:space="0" w:color="auto"/>
        <w:right w:val="none" w:sz="0" w:space="0" w:color="auto"/>
      </w:divBdr>
    </w:div>
    <w:div w:id="1588921642">
      <w:bodyDiv w:val="1"/>
      <w:marLeft w:val="0"/>
      <w:marRight w:val="0"/>
      <w:marTop w:val="0"/>
      <w:marBottom w:val="0"/>
      <w:divBdr>
        <w:top w:val="none" w:sz="0" w:space="0" w:color="auto"/>
        <w:left w:val="none" w:sz="0" w:space="0" w:color="auto"/>
        <w:bottom w:val="none" w:sz="0" w:space="0" w:color="auto"/>
        <w:right w:val="none" w:sz="0" w:space="0" w:color="auto"/>
      </w:divBdr>
    </w:div>
    <w:div w:id="1651403097">
      <w:bodyDiv w:val="1"/>
      <w:marLeft w:val="0"/>
      <w:marRight w:val="0"/>
      <w:marTop w:val="0"/>
      <w:marBottom w:val="0"/>
      <w:divBdr>
        <w:top w:val="none" w:sz="0" w:space="0" w:color="auto"/>
        <w:left w:val="none" w:sz="0" w:space="0" w:color="auto"/>
        <w:bottom w:val="none" w:sz="0" w:space="0" w:color="auto"/>
        <w:right w:val="none" w:sz="0" w:space="0" w:color="auto"/>
      </w:divBdr>
    </w:div>
    <w:div w:id="1660573335">
      <w:bodyDiv w:val="1"/>
      <w:marLeft w:val="0"/>
      <w:marRight w:val="0"/>
      <w:marTop w:val="0"/>
      <w:marBottom w:val="0"/>
      <w:divBdr>
        <w:top w:val="none" w:sz="0" w:space="0" w:color="auto"/>
        <w:left w:val="none" w:sz="0" w:space="0" w:color="auto"/>
        <w:bottom w:val="none" w:sz="0" w:space="0" w:color="auto"/>
        <w:right w:val="none" w:sz="0" w:space="0" w:color="auto"/>
      </w:divBdr>
    </w:div>
    <w:div w:id="1777208523">
      <w:bodyDiv w:val="1"/>
      <w:marLeft w:val="0"/>
      <w:marRight w:val="0"/>
      <w:marTop w:val="0"/>
      <w:marBottom w:val="0"/>
      <w:divBdr>
        <w:top w:val="none" w:sz="0" w:space="0" w:color="auto"/>
        <w:left w:val="none" w:sz="0" w:space="0" w:color="auto"/>
        <w:bottom w:val="none" w:sz="0" w:space="0" w:color="auto"/>
        <w:right w:val="none" w:sz="0" w:space="0" w:color="auto"/>
      </w:divBdr>
    </w:div>
    <w:div w:id="1786147704">
      <w:bodyDiv w:val="1"/>
      <w:marLeft w:val="0"/>
      <w:marRight w:val="0"/>
      <w:marTop w:val="0"/>
      <w:marBottom w:val="0"/>
      <w:divBdr>
        <w:top w:val="none" w:sz="0" w:space="0" w:color="auto"/>
        <w:left w:val="none" w:sz="0" w:space="0" w:color="auto"/>
        <w:bottom w:val="none" w:sz="0" w:space="0" w:color="auto"/>
        <w:right w:val="none" w:sz="0" w:space="0" w:color="auto"/>
      </w:divBdr>
    </w:div>
    <w:div w:id="1866598840">
      <w:bodyDiv w:val="1"/>
      <w:marLeft w:val="0"/>
      <w:marRight w:val="0"/>
      <w:marTop w:val="0"/>
      <w:marBottom w:val="0"/>
      <w:divBdr>
        <w:top w:val="none" w:sz="0" w:space="0" w:color="auto"/>
        <w:left w:val="none" w:sz="0" w:space="0" w:color="auto"/>
        <w:bottom w:val="none" w:sz="0" w:space="0" w:color="auto"/>
        <w:right w:val="none" w:sz="0" w:space="0" w:color="auto"/>
      </w:divBdr>
    </w:div>
    <w:div w:id="1944537207">
      <w:bodyDiv w:val="1"/>
      <w:marLeft w:val="0"/>
      <w:marRight w:val="0"/>
      <w:marTop w:val="0"/>
      <w:marBottom w:val="0"/>
      <w:divBdr>
        <w:top w:val="none" w:sz="0" w:space="0" w:color="auto"/>
        <w:left w:val="none" w:sz="0" w:space="0" w:color="auto"/>
        <w:bottom w:val="none" w:sz="0" w:space="0" w:color="auto"/>
        <w:right w:val="none" w:sz="0" w:space="0" w:color="auto"/>
      </w:divBdr>
      <w:divsChild>
        <w:div w:id="1070618861">
          <w:marLeft w:val="0"/>
          <w:marRight w:val="0"/>
          <w:marTop w:val="0"/>
          <w:marBottom w:val="0"/>
          <w:divBdr>
            <w:top w:val="none" w:sz="0" w:space="0" w:color="auto"/>
            <w:left w:val="none" w:sz="0" w:space="0" w:color="auto"/>
            <w:bottom w:val="none" w:sz="0" w:space="0" w:color="auto"/>
            <w:right w:val="none" w:sz="0" w:space="0" w:color="auto"/>
          </w:divBdr>
          <w:divsChild>
            <w:div w:id="13310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03491">
      <w:bodyDiv w:val="1"/>
      <w:marLeft w:val="0"/>
      <w:marRight w:val="0"/>
      <w:marTop w:val="0"/>
      <w:marBottom w:val="0"/>
      <w:divBdr>
        <w:top w:val="none" w:sz="0" w:space="0" w:color="auto"/>
        <w:left w:val="none" w:sz="0" w:space="0" w:color="auto"/>
        <w:bottom w:val="none" w:sz="0" w:space="0" w:color="auto"/>
        <w:right w:val="none" w:sz="0" w:space="0" w:color="auto"/>
      </w:divBdr>
    </w:div>
    <w:div w:id="2050296095">
      <w:bodyDiv w:val="1"/>
      <w:marLeft w:val="0"/>
      <w:marRight w:val="0"/>
      <w:marTop w:val="0"/>
      <w:marBottom w:val="0"/>
      <w:divBdr>
        <w:top w:val="none" w:sz="0" w:space="0" w:color="auto"/>
        <w:left w:val="none" w:sz="0" w:space="0" w:color="auto"/>
        <w:bottom w:val="none" w:sz="0" w:space="0" w:color="auto"/>
        <w:right w:val="none" w:sz="0" w:space="0" w:color="auto"/>
      </w:divBdr>
    </w:div>
    <w:div w:id="2084597699">
      <w:bodyDiv w:val="1"/>
      <w:marLeft w:val="0"/>
      <w:marRight w:val="0"/>
      <w:marTop w:val="0"/>
      <w:marBottom w:val="0"/>
      <w:divBdr>
        <w:top w:val="none" w:sz="0" w:space="0" w:color="auto"/>
        <w:left w:val="none" w:sz="0" w:space="0" w:color="auto"/>
        <w:bottom w:val="none" w:sz="0" w:space="0" w:color="auto"/>
        <w:right w:val="none" w:sz="0" w:space="0" w:color="auto"/>
      </w:divBdr>
    </w:div>
    <w:div w:id="2085101445">
      <w:bodyDiv w:val="1"/>
      <w:marLeft w:val="0"/>
      <w:marRight w:val="0"/>
      <w:marTop w:val="0"/>
      <w:marBottom w:val="0"/>
      <w:divBdr>
        <w:top w:val="none" w:sz="0" w:space="0" w:color="auto"/>
        <w:left w:val="none" w:sz="0" w:space="0" w:color="auto"/>
        <w:bottom w:val="none" w:sz="0" w:space="0" w:color="auto"/>
        <w:right w:val="none" w:sz="0" w:space="0" w:color="auto"/>
      </w:divBdr>
    </w:div>
    <w:div w:id="213092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5</Pages>
  <Words>2086</Words>
  <Characters>11895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dc:creator>
  <cp:keywords/>
  <dc:description/>
  <cp:lastModifiedBy>Ghaem</cp:lastModifiedBy>
  <cp:revision>10</cp:revision>
  <dcterms:created xsi:type="dcterms:W3CDTF">2025-11-23T09:10:00Z</dcterms:created>
  <dcterms:modified xsi:type="dcterms:W3CDTF">2026-08-15T19:43:00Z</dcterms:modified>
</cp:coreProperties>
</file>