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A2AD1" w14:textId="77777777" w:rsidR="00860C7B" w:rsidRDefault="00860C7B" w:rsidP="00860C7B">
      <w:pPr>
        <w:pStyle w:val="NormalWeb"/>
        <w:jc w:val="center"/>
      </w:pPr>
      <w:r>
        <w:rPr>
          <w:rStyle w:val="Strong"/>
        </w:rPr>
        <w:t>Supplementary File 5. Studies excluded after full-text assessment and reasons for exclusion</w:t>
      </w:r>
    </w:p>
    <w:tbl>
      <w:tblPr>
        <w:tblStyle w:val="TableGrid"/>
        <w:tblW w:w="14742" w:type="dxa"/>
        <w:tblInd w:w="-572" w:type="dxa"/>
        <w:tblLook w:val="04A0" w:firstRow="1" w:lastRow="0" w:firstColumn="1" w:lastColumn="0" w:noHBand="0" w:noVBand="1"/>
      </w:tblPr>
      <w:tblGrid>
        <w:gridCol w:w="511"/>
        <w:gridCol w:w="7427"/>
        <w:gridCol w:w="6804"/>
      </w:tblGrid>
      <w:tr w:rsidR="00860C7B" w:rsidRPr="00860C7B" w14:paraId="4AC88239" w14:textId="77777777" w:rsidTr="00A66265">
        <w:tc>
          <w:tcPr>
            <w:tcW w:w="511" w:type="dxa"/>
            <w:hideMark/>
          </w:tcPr>
          <w:p w14:paraId="7F625A00" w14:textId="77777777" w:rsidR="00860C7B" w:rsidRPr="00860C7B" w:rsidRDefault="00860C7B" w:rsidP="00860C7B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7427" w:type="dxa"/>
            <w:hideMark/>
          </w:tcPr>
          <w:p w14:paraId="7B23A430" w14:textId="77777777" w:rsidR="00860C7B" w:rsidRPr="00860C7B" w:rsidRDefault="00860C7B" w:rsidP="00860C7B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Study</w:t>
            </w:r>
          </w:p>
        </w:tc>
        <w:tc>
          <w:tcPr>
            <w:tcW w:w="6804" w:type="dxa"/>
            <w:hideMark/>
          </w:tcPr>
          <w:p w14:paraId="215EBEC0" w14:textId="77777777" w:rsidR="00860C7B" w:rsidRPr="00860C7B" w:rsidRDefault="00860C7B" w:rsidP="00860C7B">
            <w:pPr>
              <w:bidi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Reason for exclusion</w:t>
            </w:r>
          </w:p>
        </w:tc>
      </w:tr>
      <w:tr w:rsidR="00860C7B" w:rsidRPr="00860C7B" w14:paraId="569629CF" w14:textId="77777777" w:rsidTr="00A66265">
        <w:tc>
          <w:tcPr>
            <w:tcW w:w="511" w:type="dxa"/>
            <w:hideMark/>
          </w:tcPr>
          <w:p w14:paraId="0938A093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427" w:type="dxa"/>
            <w:hideMark/>
          </w:tcPr>
          <w:p w14:paraId="5C74CF0A" w14:textId="3C43BF75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Chen C, Zhang S, Huang N, Zhang MY, Fu JX, Guo J.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Effects of physical multimorbidity on cognitive decline trajectories among adults aged 50 years and older with different wealth status: a 17-year population-based cohort study.</w:t>
            </w:r>
          </w:p>
        </w:tc>
        <w:tc>
          <w:tcPr>
            <w:tcW w:w="6804" w:type="dxa"/>
            <w:hideMark/>
          </w:tcPr>
          <w:p w14:paraId="08378FD9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population (study included adults aged ≥50 years; the present review included adults aged ≥60 years).</w:t>
            </w:r>
          </w:p>
        </w:tc>
      </w:tr>
      <w:tr w:rsidR="00860C7B" w:rsidRPr="00860C7B" w14:paraId="31299FD1" w14:textId="77777777" w:rsidTr="00A66265">
        <w:tc>
          <w:tcPr>
            <w:tcW w:w="511" w:type="dxa"/>
            <w:hideMark/>
          </w:tcPr>
          <w:p w14:paraId="59CEC9F5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427" w:type="dxa"/>
            <w:hideMark/>
          </w:tcPr>
          <w:p w14:paraId="6D269B16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>Koroukian</w:t>
            </w:r>
            <w:proofErr w:type="spellEnd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SM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Increasing Burden of Complex Multimorbidity Across Gradients of Cognitive Impairment.</w:t>
            </w:r>
          </w:p>
        </w:tc>
        <w:tc>
          <w:tcPr>
            <w:tcW w:w="6804" w:type="dxa"/>
            <w:hideMark/>
          </w:tcPr>
          <w:p w14:paraId="7D188816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exposure definition (complex multimorbidity definition was not consistent with the predefined multimorbidity criteria of the review).</w:t>
            </w:r>
          </w:p>
        </w:tc>
      </w:tr>
      <w:tr w:rsidR="00860C7B" w:rsidRPr="00860C7B" w14:paraId="5288056E" w14:textId="77777777" w:rsidTr="00A66265">
        <w:tc>
          <w:tcPr>
            <w:tcW w:w="511" w:type="dxa"/>
            <w:hideMark/>
          </w:tcPr>
          <w:p w14:paraId="24E4D717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427" w:type="dxa"/>
            <w:hideMark/>
          </w:tcPr>
          <w:p w14:paraId="7A1C4FBD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Ma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Multimorbidity, lifestyle, and cognitive function: A cross-cultural study on the role of diabetes, cardiovascular disease, cancer, and chronic respiratory diseases.</w:t>
            </w:r>
          </w:p>
        </w:tc>
        <w:tc>
          <w:tcPr>
            <w:tcW w:w="6804" w:type="dxa"/>
            <w:hideMark/>
          </w:tcPr>
          <w:p w14:paraId="2B2C0351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exposure framework (study focused on selected chronic diseases and their combinations rather than predefined multimorbidity patterns).</w:t>
            </w:r>
          </w:p>
        </w:tc>
      </w:tr>
      <w:tr w:rsidR="00860C7B" w:rsidRPr="00860C7B" w14:paraId="2BADA327" w14:textId="77777777" w:rsidTr="00A66265">
        <w:tc>
          <w:tcPr>
            <w:tcW w:w="511" w:type="dxa"/>
            <w:hideMark/>
          </w:tcPr>
          <w:p w14:paraId="47451FFB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427" w:type="dxa"/>
            <w:hideMark/>
          </w:tcPr>
          <w:p w14:paraId="41E8C3EA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Li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Associations between cardiometabolic multimorbidity and cerebrospinal fluid biomarkers of Alzheimer’s disease pathology in cognitively intact adults.</w:t>
            </w:r>
          </w:p>
        </w:tc>
        <w:tc>
          <w:tcPr>
            <w:tcW w:w="6804" w:type="dxa"/>
            <w:hideMark/>
          </w:tcPr>
          <w:p w14:paraId="19B0B8C8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No eligible cognitive outcome (biomarker outcomes were reported without eligible cognitive impairment, cognitive decline, or dementia outcomes).</w:t>
            </w:r>
          </w:p>
        </w:tc>
      </w:tr>
      <w:tr w:rsidR="00860C7B" w:rsidRPr="00860C7B" w14:paraId="16832739" w14:textId="77777777" w:rsidTr="00A66265">
        <w:tc>
          <w:tcPr>
            <w:tcW w:w="511" w:type="dxa"/>
            <w:hideMark/>
          </w:tcPr>
          <w:p w14:paraId="3F58E87C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427" w:type="dxa"/>
            <w:hideMark/>
          </w:tcPr>
          <w:p w14:paraId="50DBA44E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>Anindya</w:t>
            </w:r>
            <w:proofErr w:type="spellEnd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Interrelationships between physical multimorbidity, depressive symptoms and cognitive function among older adults in China, India and Indonesia: A four-way decomposition analysis.</w:t>
            </w:r>
          </w:p>
        </w:tc>
        <w:tc>
          <w:tcPr>
            <w:tcW w:w="6804" w:type="dxa"/>
            <w:hideMark/>
          </w:tcPr>
          <w:p w14:paraId="153B1436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analytical focus (primary focus was decomposition/mediation of depressive symptoms rather than the association between multimorbidity and cognitive outcomes).</w:t>
            </w:r>
          </w:p>
        </w:tc>
      </w:tr>
      <w:tr w:rsidR="00860C7B" w:rsidRPr="00860C7B" w14:paraId="41B52E1C" w14:textId="77777777" w:rsidTr="00A66265">
        <w:tc>
          <w:tcPr>
            <w:tcW w:w="511" w:type="dxa"/>
            <w:hideMark/>
          </w:tcPr>
          <w:p w14:paraId="408473BF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427" w:type="dxa"/>
            <w:hideMark/>
          </w:tcPr>
          <w:p w14:paraId="34594F83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Chen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Mental-somatic multimorbidity in trajectories of cognitive function.</w:t>
            </w:r>
          </w:p>
        </w:tc>
        <w:tc>
          <w:tcPr>
            <w:tcW w:w="6804" w:type="dxa"/>
            <w:hideMark/>
          </w:tcPr>
          <w:p w14:paraId="614C285C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exposure definition (multimorbidity classification did not match the predefined exposure criteria).</w:t>
            </w:r>
          </w:p>
        </w:tc>
      </w:tr>
      <w:tr w:rsidR="00860C7B" w:rsidRPr="00860C7B" w14:paraId="77648D6A" w14:textId="77777777" w:rsidTr="00A66265">
        <w:tc>
          <w:tcPr>
            <w:tcW w:w="511" w:type="dxa"/>
            <w:hideMark/>
          </w:tcPr>
          <w:p w14:paraId="5EB6B619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427" w:type="dxa"/>
            <w:hideMark/>
          </w:tcPr>
          <w:p w14:paraId="2274B354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Chen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Cognitive frailty in relation to adverse health outcomes independent of multimorbidity.</w:t>
            </w:r>
          </w:p>
        </w:tc>
        <w:tc>
          <w:tcPr>
            <w:tcW w:w="6804" w:type="dxa"/>
            <w:hideMark/>
          </w:tcPr>
          <w:p w14:paraId="7210539C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exposure (cognitive frailty was the primary construct rather than multimorbidity as the main exposure).</w:t>
            </w:r>
          </w:p>
        </w:tc>
      </w:tr>
      <w:tr w:rsidR="00860C7B" w:rsidRPr="00860C7B" w14:paraId="542357F9" w14:textId="77777777" w:rsidTr="00A66265">
        <w:tc>
          <w:tcPr>
            <w:tcW w:w="511" w:type="dxa"/>
            <w:hideMark/>
          </w:tcPr>
          <w:p w14:paraId="6792248D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27" w:type="dxa"/>
            <w:hideMark/>
          </w:tcPr>
          <w:p w14:paraId="6C91179A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Dong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Impact of multimorbidity and cognitive impairment on depressive symptoms among older adults.</w:t>
            </w:r>
          </w:p>
        </w:tc>
        <w:tc>
          <w:tcPr>
            <w:tcW w:w="6804" w:type="dxa"/>
            <w:hideMark/>
          </w:tcPr>
          <w:p w14:paraId="15435BBE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outcome (depressive symptoms were the primary outcome rather than cognitive outcomes).</w:t>
            </w:r>
          </w:p>
        </w:tc>
      </w:tr>
      <w:tr w:rsidR="00860C7B" w:rsidRPr="00860C7B" w14:paraId="04CAF25E" w14:textId="77777777" w:rsidTr="00A66265">
        <w:tc>
          <w:tcPr>
            <w:tcW w:w="511" w:type="dxa"/>
            <w:hideMark/>
          </w:tcPr>
          <w:p w14:paraId="6AF2BE07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427" w:type="dxa"/>
            <w:hideMark/>
          </w:tcPr>
          <w:p w14:paraId="7D70F2D3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Zhou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The effect of multimorbidity patterns on physical and cognitive function in diabetes patients.</w:t>
            </w:r>
          </w:p>
        </w:tc>
        <w:tc>
          <w:tcPr>
            <w:tcW w:w="6804" w:type="dxa"/>
            <w:hideMark/>
          </w:tcPr>
          <w:p w14:paraId="71207239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population (study was restricted to a specific disease population rather than older adults with general multimorbidity).</w:t>
            </w:r>
          </w:p>
        </w:tc>
      </w:tr>
      <w:tr w:rsidR="00860C7B" w:rsidRPr="00860C7B" w14:paraId="3E1FB594" w14:textId="77777777" w:rsidTr="00A66265">
        <w:tc>
          <w:tcPr>
            <w:tcW w:w="511" w:type="dxa"/>
            <w:hideMark/>
          </w:tcPr>
          <w:p w14:paraId="78C0A4C9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427" w:type="dxa"/>
            <w:hideMark/>
          </w:tcPr>
          <w:p w14:paraId="117EAC68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Chen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Association between multimorbidity and memory-related diseases among middle-aged and older adults.</w:t>
            </w:r>
          </w:p>
        </w:tc>
        <w:tc>
          <w:tcPr>
            <w:tcW w:w="6804" w:type="dxa"/>
            <w:hideMark/>
          </w:tcPr>
          <w:p w14:paraId="43A8CF26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population (included middle-aged participants and was not restricted to the predefined older adult population).</w:t>
            </w:r>
          </w:p>
        </w:tc>
      </w:tr>
      <w:tr w:rsidR="00860C7B" w:rsidRPr="00860C7B" w14:paraId="1B0D8AC2" w14:textId="77777777" w:rsidTr="00A66265">
        <w:tc>
          <w:tcPr>
            <w:tcW w:w="511" w:type="dxa"/>
            <w:hideMark/>
          </w:tcPr>
          <w:p w14:paraId="6185C143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27" w:type="dxa"/>
            <w:hideMark/>
          </w:tcPr>
          <w:p w14:paraId="635400A7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>Bendayan</w:t>
            </w:r>
            <w:proofErr w:type="spellEnd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Multimorbidity Patterns and Memory Trajectories in Older Adults.</w:t>
            </w:r>
          </w:p>
        </w:tc>
        <w:tc>
          <w:tcPr>
            <w:tcW w:w="6804" w:type="dxa"/>
            <w:hideMark/>
          </w:tcPr>
          <w:p w14:paraId="28A9F44A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study characteristics (study did not meet predefined eligibility criteria for exposure/outcome assessment).</w:t>
            </w:r>
          </w:p>
        </w:tc>
      </w:tr>
      <w:tr w:rsidR="00860C7B" w:rsidRPr="00860C7B" w14:paraId="075144A9" w14:textId="77777777" w:rsidTr="00A66265">
        <w:tc>
          <w:tcPr>
            <w:tcW w:w="511" w:type="dxa"/>
            <w:hideMark/>
          </w:tcPr>
          <w:p w14:paraId="71910014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427" w:type="dxa"/>
            <w:hideMark/>
          </w:tcPr>
          <w:p w14:paraId="62BCE3AB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Wei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Multimorbidity and Cognitive Decline Over 14 Years in Older Americans.</w:t>
            </w:r>
          </w:p>
        </w:tc>
        <w:tc>
          <w:tcPr>
            <w:tcW w:w="6804" w:type="dxa"/>
            <w:hideMark/>
          </w:tcPr>
          <w:p w14:paraId="03770040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exposure/outcome framework (study characteristics did not match predefined eligibility criteria).</w:t>
            </w:r>
          </w:p>
        </w:tc>
      </w:tr>
      <w:tr w:rsidR="00860C7B" w:rsidRPr="00860C7B" w14:paraId="5A1F01A9" w14:textId="77777777" w:rsidTr="00A66265">
        <w:tc>
          <w:tcPr>
            <w:tcW w:w="511" w:type="dxa"/>
            <w:hideMark/>
          </w:tcPr>
          <w:p w14:paraId="53C3BDB7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27" w:type="dxa"/>
            <w:hideMark/>
          </w:tcPr>
          <w:p w14:paraId="175209C6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>Posis</w:t>
            </w:r>
            <w:proofErr w:type="spellEnd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Multimorbidity, social engagement, and age-related cognitive decline in older adults.</w:t>
            </w:r>
          </w:p>
        </w:tc>
        <w:tc>
          <w:tcPr>
            <w:tcW w:w="6804" w:type="dxa"/>
            <w:hideMark/>
          </w:tcPr>
          <w:p w14:paraId="414DA0CF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exposure framework (primary analytical focus was social engagement and cognitive aging rather than eligible multimorbidity patterns).</w:t>
            </w:r>
          </w:p>
        </w:tc>
      </w:tr>
      <w:tr w:rsidR="00860C7B" w:rsidRPr="00860C7B" w14:paraId="6A7CFDC6" w14:textId="77777777" w:rsidTr="00A66265">
        <w:tc>
          <w:tcPr>
            <w:tcW w:w="511" w:type="dxa"/>
            <w:hideMark/>
          </w:tcPr>
          <w:p w14:paraId="728F8FC7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427" w:type="dxa"/>
            <w:hideMark/>
          </w:tcPr>
          <w:p w14:paraId="088BA7E7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Zhao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Independent and joint associations of cardiometabolic multimorbidity and depression on cognitive function.</w:t>
            </w:r>
          </w:p>
        </w:tc>
        <w:tc>
          <w:tcPr>
            <w:tcW w:w="6804" w:type="dxa"/>
            <w:hideMark/>
          </w:tcPr>
          <w:p w14:paraId="70B4FDE4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Wrong exposure/outcome framework (did not meet predefined criteria for the review question).</w:t>
            </w:r>
          </w:p>
        </w:tc>
      </w:tr>
      <w:tr w:rsidR="00860C7B" w:rsidRPr="00860C7B" w14:paraId="7E7FA51D" w14:textId="77777777" w:rsidTr="00A66265">
        <w:tc>
          <w:tcPr>
            <w:tcW w:w="511" w:type="dxa"/>
            <w:hideMark/>
          </w:tcPr>
          <w:p w14:paraId="58208F23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427" w:type="dxa"/>
            <w:hideMark/>
          </w:tcPr>
          <w:p w14:paraId="7420155E" w14:textId="77777777" w:rsidR="00860C7B" w:rsidRPr="00860C7B" w:rsidRDefault="00860C7B" w:rsidP="00860C7B">
            <w:pPr>
              <w:bidi w:val="0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proofErr w:type="spellStart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>Jin</w:t>
            </w:r>
            <w:proofErr w:type="spellEnd"/>
            <w:r w:rsidRPr="00860C7B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et al. </w:t>
            </w:r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 xml:space="preserve">Cardiometabolic multimorbidity, lifestyle </w:t>
            </w:r>
            <w:proofErr w:type="spellStart"/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behaviours</w:t>
            </w:r>
            <w:proofErr w:type="spellEnd"/>
            <w:r w:rsidRPr="00860C7B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</w:rPr>
              <w:t>, and cognitive function: a multicohort study.</w:t>
            </w:r>
          </w:p>
        </w:tc>
        <w:tc>
          <w:tcPr>
            <w:tcW w:w="6804" w:type="dxa"/>
            <w:hideMark/>
          </w:tcPr>
          <w:p w14:paraId="0DE0A752" w14:textId="77777777" w:rsidR="00860C7B" w:rsidRPr="00860C7B" w:rsidRDefault="00860C7B" w:rsidP="00860C7B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Wrong exposure framework (focused on cardiometabolic multimorbidity and lifestyle </w:t>
            </w:r>
            <w:proofErr w:type="spellStart"/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>behaviours</w:t>
            </w:r>
            <w:proofErr w:type="spellEnd"/>
            <w:r w:rsidRPr="00860C7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rather than the predefined multimorbidity exposure framework).</w:t>
            </w:r>
          </w:p>
        </w:tc>
      </w:tr>
    </w:tbl>
    <w:p w14:paraId="221E6BFA" w14:textId="77777777" w:rsidR="00860C7B" w:rsidRPr="00860C7B" w:rsidRDefault="00860C7B" w:rsidP="00860C7B">
      <w:pPr>
        <w:rPr>
          <w:rFonts w:hint="cs"/>
          <w:sz w:val="18"/>
          <w:szCs w:val="18"/>
        </w:rPr>
      </w:pPr>
    </w:p>
    <w:sectPr w:rsidR="00860C7B" w:rsidRPr="00860C7B" w:rsidSect="00860C7B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8A"/>
    <w:rsid w:val="002A6491"/>
    <w:rsid w:val="00860C7B"/>
    <w:rsid w:val="00A66265"/>
    <w:rsid w:val="00D60A29"/>
    <w:rsid w:val="00DA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3D6B4C5"/>
  <w15:chartTrackingRefBased/>
  <w15:docId w15:val="{140B0109-FC29-4E11-A4CD-F596E985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60C7B"/>
    <w:rPr>
      <w:i/>
      <w:iCs/>
    </w:rPr>
  </w:style>
  <w:style w:type="table" w:styleId="TableGrid">
    <w:name w:val="Table Grid"/>
    <w:basedOn w:val="TableNormal"/>
    <w:uiPriority w:val="39"/>
    <w:rsid w:val="00860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60C7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60C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Ghaem</dc:creator>
  <cp:keywords/>
  <dc:description/>
  <cp:lastModifiedBy>Ghaem</cp:lastModifiedBy>
  <cp:revision>2</cp:revision>
  <dcterms:created xsi:type="dcterms:W3CDTF">2026-09-29T17:16:00Z</dcterms:created>
  <dcterms:modified xsi:type="dcterms:W3CDTF">2026-09-29T17:27:00Z</dcterms:modified>
</cp:coreProperties>
</file>