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1216"/>
        <w:gridCol w:w="1344"/>
        <w:gridCol w:w="1224"/>
        <w:gridCol w:w="3224"/>
        <w:gridCol w:w="1369"/>
        <w:gridCol w:w="1192"/>
      </w:tblGrid>
      <w:tr w14:paraId="4161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2" w:type="dxa"/>
            <w:gridSpan w:val="7"/>
            <w:tcBorders>
              <w:top w:val="nil"/>
              <w:left w:val="nil"/>
              <w:bottom w:val="nil"/>
              <w:right w:val="nil"/>
            </w:tcBorders>
          </w:tcPr>
          <w:p w14:paraId="4615CE69">
            <w:pPr>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Supplementary Table S1. Study-level derivation and transformation of overall, physical, and mental HRQoL outcomes used in the meta-analysis</w:t>
            </w:r>
          </w:p>
          <w:p w14:paraId="305F5FD7">
            <w:pPr>
              <w:jc w:val="left"/>
              <w:rPr>
                <w:rFonts w:hint="default" w:ascii="Times New Roman" w:hAnsi="Times New Roman" w:eastAsia="宋体" w:cs="Times New Roman"/>
                <w:sz w:val="24"/>
                <w:szCs w:val="24"/>
                <w:lang w:val="en-US" w:eastAsia="zh-CN"/>
              </w:rPr>
            </w:pPr>
          </w:p>
        </w:tc>
      </w:tr>
      <w:tr w14:paraId="4C4E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tcBorders>
              <w:top w:val="nil"/>
            </w:tcBorders>
          </w:tcPr>
          <w:p w14:paraId="6F20AC39">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bCs/>
                <w:color w:val="auto"/>
                <w:kern w:val="0"/>
                <w:sz w:val="18"/>
                <w:szCs w:val="18"/>
                <w:lang w:val="en-US" w:eastAsia="zh-CN" w:bidi="ar"/>
              </w:rPr>
              <w:t>Study</w:t>
            </w:r>
          </w:p>
        </w:tc>
        <w:tc>
          <w:tcPr>
            <w:tcW w:w="1216" w:type="dxa"/>
            <w:tcBorders>
              <w:top w:val="nil"/>
            </w:tcBorders>
          </w:tcPr>
          <w:p w14:paraId="4D9FC708">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bCs/>
                <w:color w:val="auto"/>
                <w:kern w:val="0"/>
                <w:sz w:val="18"/>
                <w:szCs w:val="18"/>
                <w:lang w:val="en-US" w:eastAsia="zh-CN" w:bidi="ar"/>
              </w:rPr>
              <w:t>Instrument</w:t>
            </w:r>
          </w:p>
        </w:tc>
        <w:tc>
          <w:tcPr>
            <w:tcW w:w="1344" w:type="dxa"/>
            <w:tcBorders>
              <w:top w:val="nil"/>
            </w:tcBorders>
          </w:tcPr>
          <w:p w14:paraId="029DF0B5">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bCs/>
                <w:color w:val="auto"/>
                <w:kern w:val="0"/>
                <w:sz w:val="18"/>
                <w:szCs w:val="18"/>
                <w:lang w:val="en-US" w:eastAsia="zh-CN" w:bidi="ar"/>
              </w:rPr>
              <w:t>Original reported data</w:t>
            </w:r>
          </w:p>
        </w:tc>
        <w:tc>
          <w:tcPr>
            <w:tcW w:w="1224" w:type="dxa"/>
            <w:tcBorders>
              <w:top w:val="nil"/>
            </w:tcBorders>
          </w:tcPr>
          <w:p w14:paraId="7D1012E4">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bCs/>
                <w:color w:val="auto"/>
                <w:kern w:val="0"/>
                <w:sz w:val="18"/>
                <w:szCs w:val="18"/>
                <w:lang w:val="en-US" w:eastAsia="zh-CN" w:bidi="ar"/>
              </w:rPr>
              <w:t>Derived outcome</w:t>
            </w:r>
          </w:p>
        </w:tc>
        <w:tc>
          <w:tcPr>
            <w:tcW w:w="3224" w:type="dxa"/>
            <w:tcBorders>
              <w:top w:val="nil"/>
            </w:tcBorders>
          </w:tcPr>
          <w:p w14:paraId="07F9F6A1">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bCs/>
                <w:color w:val="auto"/>
                <w:kern w:val="0"/>
                <w:sz w:val="18"/>
                <w:szCs w:val="18"/>
                <w:lang w:val="en-US" w:eastAsia="zh-CN" w:bidi="ar"/>
              </w:rPr>
              <w:t>Transformation</w:t>
            </w:r>
          </w:p>
        </w:tc>
        <w:tc>
          <w:tcPr>
            <w:tcW w:w="1369" w:type="dxa"/>
            <w:tcBorders>
              <w:top w:val="nil"/>
            </w:tcBorders>
          </w:tcPr>
          <w:p w14:paraId="495300D6">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bCs/>
                <w:color w:val="auto"/>
                <w:kern w:val="0"/>
                <w:sz w:val="18"/>
                <w:szCs w:val="18"/>
                <w:lang w:val="en-US" w:eastAsia="zh-CN" w:bidi="ar"/>
              </w:rPr>
              <w:t>Exercise group change</w:t>
            </w:r>
          </w:p>
        </w:tc>
        <w:tc>
          <w:tcPr>
            <w:tcW w:w="1192" w:type="dxa"/>
            <w:tcBorders>
              <w:top w:val="nil"/>
            </w:tcBorders>
          </w:tcPr>
          <w:p w14:paraId="67193D87">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bCs/>
                <w:color w:val="auto"/>
                <w:kern w:val="0"/>
                <w:sz w:val="18"/>
                <w:szCs w:val="18"/>
                <w:lang w:val="en-US" w:eastAsia="zh-CN" w:bidi="ar"/>
              </w:rPr>
              <w:t>Control group change</w:t>
            </w:r>
          </w:p>
        </w:tc>
      </w:tr>
      <w:tr w14:paraId="16A1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32CD9F54">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1.Juesas et al., 2023</w:t>
            </w:r>
          </w:p>
          <w:p w14:paraId="2C67BC33">
            <w:pPr>
              <w:jc w:val="center"/>
              <w:rPr>
                <w:rFonts w:hint="default" w:ascii="Times New Roman" w:hAnsi="Times New Roman" w:eastAsia="宋体" w:cs="Times New Roman"/>
                <w:color w:val="auto"/>
                <w:kern w:val="2"/>
                <w:sz w:val="18"/>
                <w:szCs w:val="18"/>
                <w:lang w:val="en-US" w:eastAsia="zh-CN" w:bidi="ar-SA"/>
              </w:rPr>
            </w:pPr>
          </w:p>
        </w:tc>
        <w:tc>
          <w:tcPr>
            <w:tcW w:w="1216" w:type="dxa"/>
            <w:vMerge w:val="restart"/>
          </w:tcPr>
          <w:p w14:paraId="04CC94B6">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SF-36</w:t>
            </w:r>
          </w:p>
        </w:tc>
        <w:tc>
          <w:tcPr>
            <w:tcW w:w="1344" w:type="dxa"/>
          </w:tcPr>
          <w:p w14:paraId="76358CA2">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PF, RP, BP, GH, VT, SF, RE, MH</w:t>
            </w:r>
          </w:p>
        </w:tc>
        <w:tc>
          <w:tcPr>
            <w:tcW w:w="1224" w:type="dxa"/>
          </w:tcPr>
          <w:p w14:paraId="0DB13FC5">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tcPr>
          <w:p w14:paraId="6A8B25DF">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[(PF+RP+BP+GH+VT+SF+RE+MH)/8]post − [(PF+RP+BP+GH+VT+SF+RE+MH)/8]baseline; SDchange estimated assuming inter-domain correlation r=0.50</w:t>
            </w:r>
          </w:p>
        </w:tc>
        <w:tc>
          <w:tcPr>
            <w:tcW w:w="1369" w:type="dxa"/>
          </w:tcPr>
          <w:p w14:paraId="0C71DC1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7.49 ± 14.10</w:t>
            </w:r>
          </w:p>
          <w:p w14:paraId="643D16F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(n=35)</w:t>
            </w:r>
          </w:p>
        </w:tc>
        <w:tc>
          <w:tcPr>
            <w:tcW w:w="1192" w:type="dxa"/>
          </w:tcPr>
          <w:p w14:paraId="605EF4C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2.28 ± 15.24</w:t>
            </w:r>
          </w:p>
          <w:p w14:paraId="7A1F10F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(n=12)</w:t>
            </w:r>
          </w:p>
        </w:tc>
      </w:tr>
      <w:tr w14:paraId="7D4D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28DD9F65">
            <w:pPr>
              <w:jc w:val="center"/>
              <w:rPr>
                <w:rFonts w:hint="default" w:ascii="Times New Roman" w:hAnsi="Times New Roman" w:cs="Times New Roman"/>
                <w:color w:val="auto"/>
                <w:sz w:val="18"/>
                <w:szCs w:val="18"/>
                <w:vertAlign w:val="baseline"/>
              </w:rPr>
            </w:pPr>
          </w:p>
        </w:tc>
        <w:tc>
          <w:tcPr>
            <w:tcW w:w="1216" w:type="dxa"/>
            <w:vMerge w:val="continue"/>
          </w:tcPr>
          <w:p w14:paraId="51759DFA">
            <w:pPr>
              <w:jc w:val="center"/>
              <w:rPr>
                <w:rFonts w:hint="default" w:ascii="Times New Roman" w:hAnsi="Times New Roman" w:cs="Times New Roman"/>
                <w:color w:val="auto"/>
                <w:sz w:val="18"/>
                <w:szCs w:val="18"/>
                <w:vertAlign w:val="baseline"/>
              </w:rPr>
            </w:pPr>
          </w:p>
        </w:tc>
        <w:tc>
          <w:tcPr>
            <w:tcW w:w="1344" w:type="dxa"/>
          </w:tcPr>
          <w:p w14:paraId="5EB57CB3">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PF, RP, BP, GH</w:t>
            </w:r>
          </w:p>
        </w:tc>
        <w:tc>
          <w:tcPr>
            <w:tcW w:w="1224" w:type="dxa"/>
          </w:tcPr>
          <w:p w14:paraId="38BC1A4F">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tcPr>
          <w:p w14:paraId="6F2F6FEE">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[(PF+RP+BP+GH)/4]post− [(PF+RP+BP+GH)/4]baseline</w:t>
            </w:r>
          </w:p>
        </w:tc>
        <w:tc>
          <w:tcPr>
            <w:tcW w:w="1369" w:type="dxa"/>
          </w:tcPr>
          <w:p w14:paraId="70661EC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6.02 ± 9.36</w:t>
            </w:r>
          </w:p>
        </w:tc>
        <w:tc>
          <w:tcPr>
            <w:tcW w:w="1192" w:type="dxa"/>
          </w:tcPr>
          <w:p w14:paraId="5AD4140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2.38 ± 11.95</w:t>
            </w:r>
          </w:p>
        </w:tc>
      </w:tr>
      <w:tr w14:paraId="75CE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3A561645">
            <w:pPr>
              <w:jc w:val="center"/>
              <w:rPr>
                <w:rFonts w:hint="default" w:ascii="Times New Roman" w:hAnsi="Times New Roman" w:cs="Times New Roman"/>
                <w:color w:val="auto"/>
                <w:sz w:val="18"/>
                <w:szCs w:val="18"/>
                <w:vertAlign w:val="baseline"/>
              </w:rPr>
            </w:pPr>
          </w:p>
        </w:tc>
        <w:tc>
          <w:tcPr>
            <w:tcW w:w="1216" w:type="dxa"/>
            <w:vMerge w:val="continue"/>
          </w:tcPr>
          <w:p w14:paraId="686E18D0">
            <w:pPr>
              <w:jc w:val="center"/>
              <w:rPr>
                <w:rFonts w:hint="default" w:ascii="Times New Roman" w:hAnsi="Times New Roman" w:cs="Times New Roman"/>
                <w:color w:val="auto"/>
                <w:sz w:val="18"/>
                <w:szCs w:val="18"/>
                <w:vertAlign w:val="baseline"/>
              </w:rPr>
            </w:pPr>
          </w:p>
        </w:tc>
        <w:tc>
          <w:tcPr>
            <w:tcW w:w="1344" w:type="dxa"/>
          </w:tcPr>
          <w:p w14:paraId="50C2E86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VT, SF, RE, MH</w:t>
            </w:r>
          </w:p>
        </w:tc>
        <w:tc>
          <w:tcPr>
            <w:tcW w:w="1224" w:type="dxa"/>
          </w:tcPr>
          <w:p w14:paraId="59E44C38">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Mental HRQoL change</w:t>
            </w:r>
          </w:p>
        </w:tc>
        <w:tc>
          <w:tcPr>
            <w:tcW w:w="3224" w:type="dxa"/>
          </w:tcPr>
          <w:p w14:paraId="3EB871BA">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[(VT+SF+RE+MH)/4]post− [(VT+SF+RE+MH)/4]baseline</w:t>
            </w:r>
          </w:p>
        </w:tc>
        <w:tc>
          <w:tcPr>
            <w:tcW w:w="1369" w:type="dxa"/>
          </w:tcPr>
          <w:p w14:paraId="3F377D2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8.96 ± 9.33</w:t>
            </w:r>
          </w:p>
        </w:tc>
        <w:tc>
          <w:tcPr>
            <w:tcW w:w="1192" w:type="dxa"/>
          </w:tcPr>
          <w:p w14:paraId="677084B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2.18 ± 8.85</w:t>
            </w:r>
          </w:p>
        </w:tc>
      </w:tr>
      <w:tr w14:paraId="6AF3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46C8940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2.Kekäläinen et al., 2018</w:t>
            </w:r>
          </w:p>
          <w:p w14:paraId="7D459DC9">
            <w:pPr>
              <w:jc w:val="center"/>
              <w:rPr>
                <w:rFonts w:hint="default" w:ascii="Times New Roman" w:hAnsi="Times New Roman" w:eastAsia="宋体" w:cs="Times New Roman"/>
                <w:color w:val="auto"/>
                <w:kern w:val="0"/>
                <w:sz w:val="18"/>
                <w:szCs w:val="18"/>
                <w:lang w:val="en-US" w:eastAsia="zh-CN" w:bidi="ar"/>
              </w:rPr>
            </w:pPr>
          </w:p>
        </w:tc>
        <w:tc>
          <w:tcPr>
            <w:tcW w:w="1216" w:type="dxa"/>
            <w:vMerge w:val="restart"/>
          </w:tcPr>
          <w:p w14:paraId="7A460689">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WHOQOL-BREF</w:t>
            </w:r>
          </w:p>
          <w:p w14:paraId="4CD30288">
            <w:pPr>
              <w:jc w:val="center"/>
              <w:rPr>
                <w:rFonts w:hint="default" w:ascii="Times New Roman" w:hAnsi="Times New Roman" w:eastAsia="宋体" w:cs="Times New Roman"/>
                <w:color w:val="auto"/>
                <w:kern w:val="0"/>
                <w:sz w:val="18"/>
                <w:szCs w:val="18"/>
                <w:lang w:val="en-US" w:eastAsia="zh-CN" w:bidi="ar"/>
              </w:rPr>
            </w:pPr>
          </w:p>
          <w:p w14:paraId="0A6945BF">
            <w:pPr>
              <w:jc w:val="center"/>
              <w:rPr>
                <w:rFonts w:hint="default" w:ascii="Times New Roman" w:hAnsi="Times New Roman" w:eastAsia="宋体" w:cs="Times New Roman"/>
                <w:color w:val="auto"/>
                <w:kern w:val="0"/>
                <w:sz w:val="18"/>
                <w:szCs w:val="18"/>
                <w:lang w:val="en-US" w:eastAsia="zh-CN" w:bidi="ar"/>
              </w:rPr>
            </w:pPr>
          </w:p>
        </w:tc>
        <w:tc>
          <w:tcPr>
            <w:tcW w:w="1344" w:type="dxa"/>
            <w:vMerge w:val="restart"/>
          </w:tcPr>
          <w:p w14:paraId="23579E5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QoL, Psychological QoL, Social QoL, and Environmental QoL</w:t>
            </w:r>
          </w:p>
        </w:tc>
        <w:tc>
          <w:tcPr>
            <w:tcW w:w="1224" w:type="dxa"/>
          </w:tcPr>
          <w:p w14:paraId="7124078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tcPr>
          <w:p w14:paraId="0B25F1B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Δ = Post 3month Qol Physical − Baseline  Physical</w:t>
            </w:r>
          </w:p>
        </w:tc>
        <w:tc>
          <w:tcPr>
            <w:tcW w:w="1369" w:type="dxa"/>
          </w:tcPr>
          <w:p w14:paraId="651C9B5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RT1 0.3 ± 1.70 (n=25)</w:t>
            </w:r>
          </w:p>
          <w:p w14:paraId="3DEB3A5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RT2 0.4 ± 1.57 (n=27)</w:t>
            </w:r>
          </w:p>
          <w:p w14:paraId="5BE4294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RT3 0.3 ± 1.97 (n=26)</w:t>
            </w:r>
          </w:p>
        </w:tc>
        <w:tc>
          <w:tcPr>
            <w:tcW w:w="1192" w:type="dxa"/>
          </w:tcPr>
          <w:p w14:paraId="522F8B8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0.10 ± 1.90</w:t>
            </w:r>
          </w:p>
          <w:p w14:paraId="396214A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(n=21) 3groups</w:t>
            </w:r>
          </w:p>
        </w:tc>
      </w:tr>
      <w:tr w14:paraId="0DFF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6A749F0A">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4E73D096">
            <w:pPr>
              <w:jc w:val="center"/>
              <w:rPr>
                <w:rFonts w:hint="default" w:ascii="Times New Roman" w:hAnsi="Times New Roman" w:eastAsia="宋体" w:cs="Times New Roman"/>
                <w:color w:val="auto"/>
                <w:kern w:val="0"/>
                <w:sz w:val="18"/>
                <w:szCs w:val="18"/>
                <w:lang w:val="en-US" w:eastAsia="zh-CN" w:bidi="ar"/>
              </w:rPr>
            </w:pPr>
          </w:p>
        </w:tc>
        <w:tc>
          <w:tcPr>
            <w:tcW w:w="1344" w:type="dxa"/>
            <w:vMerge w:val="continue"/>
          </w:tcPr>
          <w:p w14:paraId="5FC7B921">
            <w:pPr>
              <w:jc w:val="center"/>
              <w:rPr>
                <w:rFonts w:hint="default" w:ascii="Times New Roman" w:hAnsi="Times New Roman" w:eastAsia="宋体" w:cs="Times New Roman"/>
                <w:color w:val="auto"/>
                <w:kern w:val="0"/>
                <w:sz w:val="18"/>
                <w:szCs w:val="18"/>
                <w:lang w:val="en-US" w:eastAsia="zh-CN" w:bidi="ar"/>
              </w:rPr>
            </w:pPr>
          </w:p>
        </w:tc>
        <w:tc>
          <w:tcPr>
            <w:tcW w:w="1224" w:type="dxa"/>
          </w:tcPr>
          <w:p w14:paraId="0343EEF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Psychological HRQoL domain</w:t>
            </w:r>
          </w:p>
        </w:tc>
        <w:tc>
          <w:tcPr>
            <w:tcW w:w="3224" w:type="dxa"/>
          </w:tcPr>
          <w:p w14:paraId="5250868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Δ = Post 3month Qol Mental − Baseline  Mental</w:t>
            </w:r>
          </w:p>
        </w:tc>
        <w:tc>
          <w:tcPr>
            <w:tcW w:w="1369" w:type="dxa"/>
          </w:tcPr>
          <w:p w14:paraId="4BF46A3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RT1 0.4 ± 1.81</w:t>
            </w:r>
          </w:p>
          <w:p w14:paraId="07DCA56C">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RT2 0.5 ± 1.70</w:t>
            </w:r>
          </w:p>
          <w:p w14:paraId="7B67F83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RT3 0.7 ± 2.35</w:t>
            </w:r>
          </w:p>
        </w:tc>
        <w:tc>
          <w:tcPr>
            <w:tcW w:w="1192" w:type="dxa"/>
          </w:tcPr>
          <w:p w14:paraId="4D6237A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0.70 ± 1.77</w:t>
            </w:r>
          </w:p>
          <w:p w14:paraId="4C3081AC">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(n=21) 3groups</w:t>
            </w:r>
          </w:p>
        </w:tc>
      </w:tr>
      <w:tr w14:paraId="365F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113" w:type="dxa"/>
            <w:vMerge w:val="restart"/>
          </w:tcPr>
          <w:p w14:paraId="57A244E9">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val="0"/>
                <w:bCs w:val="0"/>
                <w:color w:val="auto"/>
                <w:kern w:val="2"/>
                <w:sz w:val="18"/>
                <w:szCs w:val="18"/>
                <w:vertAlign w:val="baseline"/>
                <w:lang w:val="en-US" w:eastAsia="zh-CN" w:bidi="ar-SA"/>
              </w:rPr>
              <w:t>3.Kimura et al., 2010</w:t>
            </w:r>
          </w:p>
        </w:tc>
        <w:tc>
          <w:tcPr>
            <w:tcW w:w="1216" w:type="dxa"/>
            <w:vMerge w:val="restart"/>
          </w:tcPr>
          <w:p w14:paraId="64EC02E5">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color w:val="auto"/>
                <w:kern w:val="0"/>
                <w:sz w:val="18"/>
                <w:szCs w:val="18"/>
                <w:lang w:val="en-US" w:eastAsia="zh-CN" w:bidi="ar"/>
              </w:rPr>
              <w:t>SF-36</w:t>
            </w:r>
          </w:p>
        </w:tc>
        <w:tc>
          <w:tcPr>
            <w:tcW w:w="1344" w:type="dxa"/>
          </w:tcPr>
          <w:p w14:paraId="2BB363E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 RP, BP, GH, VT, SF, RE, MH</w:t>
            </w:r>
          </w:p>
        </w:tc>
        <w:tc>
          <w:tcPr>
            <w:tcW w:w="1224" w:type="dxa"/>
            <w:vAlign w:val="top"/>
          </w:tcPr>
          <w:p w14:paraId="061CDB2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tcPr>
          <w:p w14:paraId="5D32F1C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[(PF+RP+BP+GH+VT+SF+RE+MH)/8]post − [(PF+RP+BP+GH+VT+SF+RE+MH)/8]baseline; SDchange estimated assuming inter-domain correlation r=0.50</w:t>
            </w:r>
          </w:p>
        </w:tc>
        <w:tc>
          <w:tcPr>
            <w:tcW w:w="1369" w:type="dxa"/>
          </w:tcPr>
          <w:p w14:paraId="1AE1F82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1.64 ± 6.99</w:t>
            </w:r>
          </w:p>
          <w:p w14:paraId="470CB52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(n=65)</w:t>
            </w:r>
          </w:p>
        </w:tc>
        <w:tc>
          <w:tcPr>
            <w:tcW w:w="1192" w:type="dxa"/>
          </w:tcPr>
          <w:p w14:paraId="68923B2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0.19 ± 7.12</w:t>
            </w:r>
          </w:p>
          <w:p w14:paraId="5968D32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(n=54)</w:t>
            </w:r>
          </w:p>
        </w:tc>
      </w:tr>
      <w:tr w14:paraId="6BCA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113" w:type="dxa"/>
            <w:vMerge w:val="continue"/>
          </w:tcPr>
          <w:p w14:paraId="7421958C">
            <w:pPr>
              <w:jc w:val="center"/>
              <w:rPr>
                <w:rFonts w:hint="default" w:ascii="Times New Roman" w:hAnsi="Times New Roman" w:cs="Times New Roman"/>
                <w:color w:val="auto"/>
                <w:sz w:val="18"/>
                <w:szCs w:val="18"/>
                <w:vertAlign w:val="baseline"/>
              </w:rPr>
            </w:pPr>
          </w:p>
        </w:tc>
        <w:tc>
          <w:tcPr>
            <w:tcW w:w="1216" w:type="dxa"/>
            <w:vMerge w:val="continue"/>
          </w:tcPr>
          <w:p w14:paraId="5E79F4DC">
            <w:pPr>
              <w:jc w:val="center"/>
              <w:rPr>
                <w:rFonts w:hint="default" w:ascii="Times New Roman" w:hAnsi="Times New Roman" w:cs="Times New Roman"/>
                <w:color w:val="auto"/>
                <w:sz w:val="18"/>
                <w:szCs w:val="18"/>
                <w:vertAlign w:val="baseline"/>
              </w:rPr>
            </w:pPr>
          </w:p>
        </w:tc>
        <w:tc>
          <w:tcPr>
            <w:tcW w:w="1344" w:type="dxa"/>
          </w:tcPr>
          <w:p w14:paraId="1EB0599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 RP, BP, GH</w:t>
            </w:r>
          </w:p>
        </w:tc>
        <w:tc>
          <w:tcPr>
            <w:tcW w:w="1224" w:type="dxa"/>
            <w:vAlign w:val="top"/>
          </w:tcPr>
          <w:p w14:paraId="26B27B6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tcPr>
          <w:p w14:paraId="2B12499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[(PF+RP+BP+GH)/4]post− [(PF+RP+BP+GH)/4]baseline</w:t>
            </w:r>
          </w:p>
          <w:p w14:paraId="46910192">
            <w:pPr>
              <w:jc w:val="center"/>
              <w:rPr>
                <w:rFonts w:hint="default" w:ascii="Times New Roman" w:hAnsi="Times New Roman" w:cs="Times New Roman" w:eastAsiaTheme="minorEastAsia"/>
                <w:i w:val="0"/>
                <w:color w:val="auto"/>
                <w:kern w:val="2"/>
                <w:sz w:val="18"/>
                <w:szCs w:val="18"/>
                <w:lang w:val="en-US" w:eastAsia="zh-CN" w:bidi="ar-SA"/>
              </w:rPr>
            </w:pPr>
            <m:oMathPara>
              <m:oMathParaPr>
                <m:jc m:val="center"/>
              </m:oMathParaPr>
              <m:oMath>
                <m:r>
                  <m:rPr>
                    <m:nor/>
                  </m:rPr>
                  <w:rPr>
                    <w:rFonts w:hint="default" w:ascii="Times New Roman" w:hAnsi="Times New Roman" w:cs="Times New Roman" w:eastAsiaTheme="minorEastAsia"/>
                    <w:i/>
                    <w:color w:val="auto"/>
                    <w:sz w:val="18"/>
                    <w:szCs w:val="18"/>
                  </w:rPr>
                  <m:t>S</m:t>
                </m:r>
                <m:sSub>
                  <m:sSubPr>
                    <m:ctrlPr>
                      <w:rPr>
                        <w:rFonts w:hint="default" w:ascii="Cambria Math" w:hAnsi="Cambria Math" w:cs="Times New Roman" w:eastAsiaTheme="minorEastAsia"/>
                        <w:color w:val="auto"/>
                        <w:sz w:val="18"/>
                        <w:szCs w:val="18"/>
                      </w:rPr>
                    </m:ctrlPr>
                  </m:sSubPr>
                  <m:e>
                    <m:r>
                      <m:rPr>
                        <m:nor/>
                      </m:rPr>
                      <w:rPr>
                        <w:rFonts w:hint="default" w:ascii="Times New Roman" w:hAnsi="Times New Roman" w:cs="Times New Roman" w:eastAsiaTheme="minorEastAsia"/>
                        <w:i/>
                        <w:color w:val="auto"/>
                        <w:sz w:val="18"/>
                        <w:szCs w:val="18"/>
                      </w:rPr>
                      <m:t>D</m:t>
                    </m:r>
                    <m:ctrlPr>
                      <w:rPr>
                        <w:rFonts w:hint="default" w:ascii="Cambria Math" w:hAnsi="Cambria Math" w:cs="Times New Roman" w:eastAsiaTheme="minorEastAsia"/>
                        <w:color w:val="auto"/>
                        <w:sz w:val="18"/>
                        <w:szCs w:val="18"/>
                      </w:rPr>
                    </m:ctrlPr>
                  </m:e>
                  <m:sub>
                    <m:r>
                      <m:rPr>
                        <m:nor/>
                      </m:rPr>
                      <w:rPr>
                        <w:rFonts w:hint="default" w:ascii="Times New Roman" w:hAnsi="Times New Roman" w:cs="Times New Roman" w:eastAsiaTheme="minorEastAsia"/>
                        <w:i/>
                        <w:color w:val="auto"/>
                        <w:sz w:val="18"/>
                        <w:szCs w:val="18"/>
                      </w:rPr>
                      <m:t>c</m:t>
                    </m:r>
                    <m:r>
                      <m:rPr>
                        <m:nor/>
                        <m:sty m:val="p"/>
                      </m:rPr>
                      <w:rPr>
                        <w:rFonts w:hint="default" w:ascii="Times New Roman" w:hAnsi="Times New Roman" w:cs="Times New Roman" w:eastAsiaTheme="minorEastAsia"/>
                        <w:b w:val="0"/>
                        <w:i w:val="0"/>
                        <w:color w:val="auto"/>
                        <w:sz w:val="18"/>
                        <w:szCs w:val="18"/>
                      </w:rPr>
                      <m:t>h</m:t>
                    </m:r>
                    <m:r>
                      <m:rPr>
                        <m:nor/>
                      </m:rPr>
                      <w:rPr>
                        <w:rFonts w:hint="default" w:ascii="Times New Roman" w:hAnsi="Times New Roman" w:cs="Times New Roman" w:eastAsiaTheme="minorEastAsia"/>
                        <w:i/>
                        <w:color w:val="auto"/>
                        <w:sz w:val="18"/>
                        <w:szCs w:val="18"/>
                      </w:rPr>
                      <m:t>ange</m:t>
                    </m:r>
                    <m:ctrlPr>
                      <w:rPr>
                        <w:rFonts w:hint="default" w:ascii="Cambria Math" w:hAnsi="Cambria Math" w:cs="Times New Roman" w:eastAsiaTheme="minorEastAsia"/>
                        <w:color w:val="auto"/>
                        <w:sz w:val="18"/>
                        <w:szCs w:val="18"/>
                      </w:rPr>
                    </m:ctrlPr>
                  </m:sub>
                </m:sSub>
                <m:r>
                  <m:rPr>
                    <m:nor/>
                    <m:sty m:val="p"/>
                  </m:rPr>
                  <w:rPr>
                    <w:rFonts w:hint="default" w:ascii="Times New Roman" w:hAnsi="Times New Roman" w:cs="Times New Roman" w:eastAsiaTheme="minorEastAsia"/>
                    <w:b w:val="0"/>
                    <w:i w:val="0"/>
                    <w:color w:val="auto"/>
                    <w:sz w:val="18"/>
                    <w:szCs w:val="18"/>
                  </w:rPr>
                  <m:t>=</m:t>
                </m:r>
                <m:rad>
                  <m:radPr>
                    <m:degHide m:val="1"/>
                    <m:ctrlPr>
                      <w:rPr>
                        <w:rFonts w:hint="default" w:ascii="Cambria Math" w:hAnsi="Cambria Math" w:cs="Times New Roman" w:eastAsiaTheme="minorEastAsia"/>
                        <w:color w:val="auto"/>
                        <w:sz w:val="18"/>
                        <w:szCs w:val="18"/>
                      </w:rPr>
                    </m:ctrlPr>
                  </m:radPr>
                  <m:deg>
                    <m:ctrlPr>
                      <w:rPr>
                        <w:rFonts w:hint="default" w:ascii="Cambria Math" w:hAnsi="Cambria Math" w:cs="Times New Roman" w:eastAsiaTheme="minorEastAsia"/>
                        <w:color w:val="auto"/>
                        <w:sz w:val="18"/>
                        <w:szCs w:val="18"/>
                      </w:rPr>
                    </m:ctrlPr>
                  </m:deg>
                  <m:e>
                    <m:f>
                      <m:fPr>
                        <m:ctrlPr>
                          <w:rPr>
                            <w:rFonts w:hint="default" w:ascii="Cambria Math" w:hAnsi="Cambria Math" w:cs="Times New Roman" w:eastAsiaTheme="minorEastAsia"/>
                            <w:color w:val="auto"/>
                            <w:sz w:val="18"/>
                            <w:szCs w:val="18"/>
                          </w:rPr>
                        </m:ctrlPr>
                      </m:fPr>
                      <m:num>
                        <m:nary>
                          <m:naryPr>
                            <m:chr m:val="∑"/>
                            <m:limLoc m:val="subSup"/>
                            <m:subHide m:val="1"/>
                            <m:supHide m:val="1"/>
                            <m:ctrlPr>
                              <w:rPr>
                                <w:rFonts w:hint="default" w:ascii="Cambria Math" w:hAnsi="Cambria Math" w:cs="Times New Roman" w:eastAsiaTheme="minorEastAsia"/>
                                <w:color w:val="auto"/>
                                <w:sz w:val="18"/>
                                <w:szCs w:val="18"/>
                              </w:rPr>
                            </m:ctrlPr>
                          </m:naryPr>
                          <m:sub>
                            <m:ctrlPr>
                              <w:rPr>
                                <w:rFonts w:hint="default" w:ascii="Cambria Math" w:hAnsi="Cambria Math" w:cs="Times New Roman" w:eastAsiaTheme="minorEastAsia"/>
                                <w:color w:val="auto"/>
                                <w:sz w:val="18"/>
                                <w:szCs w:val="18"/>
                              </w:rPr>
                            </m:ctrlPr>
                          </m:sub>
                          <m:sup>
                            <m:ctrlPr>
                              <w:rPr>
                                <w:rFonts w:hint="default" w:ascii="Cambria Math" w:hAnsi="Cambria Math" w:cs="Times New Roman" w:eastAsiaTheme="minorEastAsia"/>
                                <w:color w:val="auto"/>
                                <w:sz w:val="18"/>
                                <w:szCs w:val="18"/>
                              </w:rPr>
                            </m:ctrlPr>
                          </m:sup>
                          <m:e>
                            <m:r>
                              <m:rPr>
                                <m:nor/>
                                <m:sty m:val="p"/>
                              </m:rPr>
                              <w:rPr>
                                <w:rFonts w:hint="default" w:ascii="Times New Roman" w:hAnsi="Times New Roman" w:cs="Times New Roman" w:eastAsiaTheme="minorEastAsia"/>
                                <w:b w:val="0"/>
                                <w:i w:val="0"/>
                                <w:color w:val="auto"/>
                                <w:sz w:val="18"/>
                                <w:szCs w:val="18"/>
                              </w:rPr>
                              <m:t>(</m:t>
                            </m:r>
                            <m:ctrlPr>
                              <w:rPr>
                                <w:rFonts w:hint="default" w:ascii="Cambria Math" w:hAnsi="Cambria Math" w:cs="Times New Roman" w:eastAsiaTheme="minorEastAsia"/>
                                <w:color w:val="auto"/>
                                <w:sz w:val="18"/>
                                <w:szCs w:val="18"/>
                              </w:rPr>
                            </m:ctrlPr>
                          </m:e>
                        </m:nary>
                        <m:r>
                          <m:rPr>
                            <m:nor/>
                          </m:rPr>
                          <w:rPr>
                            <w:rFonts w:hint="default" w:ascii="Times New Roman" w:hAnsi="Times New Roman" w:cs="Times New Roman" w:eastAsiaTheme="minorEastAsia"/>
                            <w:i/>
                            <w:color w:val="auto"/>
                            <w:sz w:val="18"/>
                            <w:szCs w:val="18"/>
                          </w:rPr>
                          <m:t>S</m:t>
                        </m:r>
                        <m:sSubSup>
                          <m:sSubSupPr>
                            <m:ctrlPr>
                              <w:rPr>
                                <w:rFonts w:hint="default" w:ascii="Cambria Math" w:hAnsi="Cambria Math" w:cs="Times New Roman" w:eastAsiaTheme="minorEastAsia"/>
                                <w:color w:val="auto"/>
                                <w:sz w:val="18"/>
                                <w:szCs w:val="18"/>
                              </w:rPr>
                            </m:ctrlPr>
                          </m:sSubSupPr>
                          <m:e>
                            <m:r>
                              <m:rPr>
                                <m:nor/>
                              </m:rPr>
                              <w:rPr>
                                <w:rFonts w:hint="default" w:ascii="Times New Roman" w:hAnsi="Times New Roman" w:cs="Times New Roman" w:eastAsiaTheme="minorEastAsia"/>
                                <w:i/>
                                <w:color w:val="auto"/>
                                <w:sz w:val="18"/>
                                <w:szCs w:val="18"/>
                              </w:rPr>
                              <m:t>D</m:t>
                            </m:r>
                            <m:ctrlPr>
                              <w:rPr>
                                <w:rFonts w:hint="default" w:ascii="Cambria Math" w:hAnsi="Cambria Math" w:cs="Times New Roman" w:eastAsiaTheme="minorEastAsia"/>
                                <w:color w:val="auto"/>
                                <w:sz w:val="18"/>
                                <w:szCs w:val="18"/>
                              </w:rPr>
                            </m:ctrlPr>
                          </m:e>
                          <m:sub>
                            <m:r>
                              <m:rPr>
                                <m:nor/>
                              </m:rPr>
                              <w:rPr>
                                <w:rFonts w:hint="default" w:ascii="Times New Roman" w:hAnsi="Times New Roman" w:cs="Times New Roman" w:eastAsiaTheme="minorEastAsia"/>
                                <w:i/>
                                <w:color w:val="auto"/>
                                <w:sz w:val="18"/>
                                <w:szCs w:val="18"/>
                              </w:rPr>
                              <m:t>pre</m:t>
                            </m:r>
                            <m:ctrlPr>
                              <w:rPr>
                                <w:rFonts w:hint="default" w:ascii="Cambria Math" w:hAnsi="Cambria Math" w:cs="Times New Roman" w:eastAsiaTheme="minorEastAsia"/>
                                <w:color w:val="auto"/>
                                <w:sz w:val="18"/>
                                <w:szCs w:val="18"/>
                              </w:rPr>
                            </m:ctrlPr>
                          </m:sub>
                          <m:sup>
                            <m:r>
                              <m:rPr>
                                <m:nor/>
                                <m:sty m:val="p"/>
                              </m:rPr>
                              <w:rPr>
                                <w:rFonts w:hint="default" w:ascii="Times New Roman" w:hAnsi="Times New Roman" w:cs="Times New Roman" w:eastAsiaTheme="minorEastAsia"/>
                                <w:b w:val="0"/>
                                <w:i w:val="0"/>
                                <w:color w:val="auto"/>
                                <w:sz w:val="18"/>
                                <w:szCs w:val="18"/>
                              </w:rPr>
                              <m:t>2</m:t>
                            </m:r>
                            <m:ctrlPr>
                              <w:rPr>
                                <w:rFonts w:hint="default" w:ascii="Cambria Math" w:hAnsi="Cambria Math" w:cs="Times New Roman" w:eastAsiaTheme="minorEastAsia"/>
                                <w:color w:val="auto"/>
                                <w:sz w:val="18"/>
                                <w:szCs w:val="18"/>
                              </w:rPr>
                            </m:ctrlPr>
                          </m:sup>
                        </m:sSubSup>
                        <m:r>
                          <m:rPr>
                            <m:nor/>
                            <m:sty m:val="p"/>
                          </m:rPr>
                          <w:rPr>
                            <w:rFonts w:hint="default" w:ascii="Times New Roman" w:hAnsi="Times New Roman" w:cs="Times New Roman" w:eastAsiaTheme="minorEastAsia"/>
                            <w:b w:val="0"/>
                            <w:i w:val="0"/>
                            <w:color w:val="auto"/>
                            <w:sz w:val="18"/>
                            <w:szCs w:val="18"/>
                          </w:rPr>
                          <m:t>+</m:t>
                        </m:r>
                        <m:r>
                          <m:rPr>
                            <m:nor/>
                          </m:rPr>
                          <w:rPr>
                            <w:rFonts w:hint="default" w:ascii="Times New Roman" w:hAnsi="Times New Roman" w:cs="Times New Roman" w:eastAsiaTheme="minorEastAsia"/>
                            <w:i/>
                            <w:color w:val="auto"/>
                            <w:sz w:val="18"/>
                            <w:szCs w:val="18"/>
                          </w:rPr>
                          <m:t>S</m:t>
                        </m:r>
                        <m:sSubSup>
                          <m:sSubSupPr>
                            <m:ctrlPr>
                              <w:rPr>
                                <w:rFonts w:hint="default" w:ascii="Cambria Math" w:hAnsi="Cambria Math" w:cs="Times New Roman" w:eastAsiaTheme="minorEastAsia"/>
                                <w:color w:val="auto"/>
                                <w:sz w:val="18"/>
                                <w:szCs w:val="18"/>
                              </w:rPr>
                            </m:ctrlPr>
                          </m:sSubSupPr>
                          <m:e>
                            <m:r>
                              <m:rPr>
                                <m:nor/>
                              </m:rPr>
                              <w:rPr>
                                <w:rFonts w:hint="default" w:ascii="Times New Roman" w:hAnsi="Times New Roman" w:cs="Times New Roman" w:eastAsiaTheme="minorEastAsia"/>
                                <w:i/>
                                <w:color w:val="auto"/>
                                <w:sz w:val="18"/>
                                <w:szCs w:val="18"/>
                              </w:rPr>
                              <m:t>D</m:t>
                            </m:r>
                            <m:ctrlPr>
                              <w:rPr>
                                <w:rFonts w:hint="default" w:ascii="Cambria Math" w:hAnsi="Cambria Math" w:cs="Times New Roman" w:eastAsiaTheme="minorEastAsia"/>
                                <w:color w:val="auto"/>
                                <w:sz w:val="18"/>
                                <w:szCs w:val="18"/>
                              </w:rPr>
                            </m:ctrlPr>
                          </m:e>
                          <m:sub>
                            <m:r>
                              <m:rPr>
                                <m:nor/>
                              </m:rPr>
                              <w:rPr>
                                <w:rFonts w:hint="default" w:ascii="Times New Roman" w:hAnsi="Times New Roman" w:cs="Times New Roman" w:eastAsiaTheme="minorEastAsia"/>
                                <w:i/>
                                <w:color w:val="auto"/>
                                <w:sz w:val="18"/>
                                <w:szCs w:val="18"/>
                              </w:rPr>
                              <m:t>post</m:t>
                            </m:r>
                            <m:ctrlPr>
                              <w:rPr>
                                <w:rFonts w:hint="default" w:ascii="Cambria Math" w:hAnsi="Cambria Math" w:cs="Times New Roman" w:eastAsiaTheme="minorEastAsia"/>
                                <w:color w:val="auto"/>
                                <w:sz w:val="18"/>
                                <w:szCs w:val="18"/>
                              </w:rPr>
                            </m:ctrlPr>
                          </m:sub>
                          <m:sup>
                            <m:r>
                              <m:rPr>
                                <m:nor/>
                                <m:sty m:val="p"/>
                              </m:rPr>
                              <w:rPr>
                                <w:rFonts w:hint="default" w:ascii="Times New Roman" w:hAnsi="Times New Roman" w:cs="Times New Roman" w:eastAsiaTheme="minorEastAsia"/>
                                <w:b w:val="0"/>
                                <w:i w:val="0"/>
                                <w:color w:val="auto"/>
                                <w:sz w:val="18"/>
                                <w:szCs w:val="18"/>
                              </w:rPr>
                              <m:t>2</m:t>
                            </m:r>
                            <m:ctrlPr>
                              <w:rPr>
                                <w:rFonts w:hint="default" w:ascii="Cambria Math" w:hAnsi="Cambria Math" w:cs="Times New Roman" w:eastAsiaTheme="minorEastAsia"/>
                                <w:color w:val="auto"/>
                                <w:sz w:val="18"/>
                                <w:szCs w:val="18"/>
                              </w:rPr>
                            </m:ctrlPr>
                          </m:sup>
                        </m:sSubSup>
                        <m:r>
                          <m:rPr>
                            <m:nor/>
                            <m:sty m:val="p"/>
                          </m:rPr>
                          <w:rPr>
                            <w:rFonts w:hint="default" w:ascii="Times New Roman" w:hAnsi="Times New Roman" w:cs="Times New Roman" w:eastAsiaTheme="minorEastAsia"/>
                            <w:b w:val="0"/>
                            <w:i w:val="0"/>
                            <w:color w:val="auto"/>
                            <w:sz w:val="18"/>
                            <w:szCs w:val="18"/>
                          </w:rPr>
                          <m:t>−2</m:t>
                        </m:r>
                        <m:r>
                          <m:rPr>
                            <m:nor/>
                          </m:rPr>
                          <w:rPr>
                            <w:rFonts w:hint="default" w:ascii="Times New Roman" w:hAnsi="Times New Roman" w:cs="Times New Roman" w:eastAsiaTheme="minorEastAsia"/>
                            <w:i/>
                            <w:color w:val="auto"/>
                            <w:sz w:val="18"/>
                            <w:szCs w:val="18"/>
                          </w:rPr>
                          <m:t>rS</m:t>
                        </m:r>
                        <m:sSub>
                          <m:sSubPr>
                            <m:ctrlPr>
                              <w:rPr>
                                <w:rFonts w:hint="default" w:ascii="Cambria Math" w:hAnsi="Cambria Math" w:cs="Times New Roman" w:eastAsiaTheme="minorEastAsia"/>
                                <w:color w:val="auto"/>
                                <w:sz w:val="18"/>
                                <w:szCs w:val="18"/>
                              </w:rPr>
                            </m:ctrlPr>
                          </m:sSubPr>
                          <m:e>
                            <m:r>
                              <m:rPr>
                                <m:nor/>
                              </m:rPr>
                              <w:rPr>
                                <w:rFonts w:hint="default" w:ascii="Times New Roman" w:hAnsi="Times New Roman" w:cs="Times New Roman" w:eastAsiaTheme="minorEastAsia"/>
                                <w:i/>
                                <w:color w:val="auto"/>
                                <w:sz w:val="18"/>
                                <w:szCs w:val="18"/>
                              </w:rPr>
                              <m:t>D</m:t>
                            </m:r>
                            <m:ctrlPr>
                              <w:rPr>
                                <w:rFonts w:hint="default" w:ascii="Cambria Math" w:hAnsi="Cambria Math" w:cs="Times New Roman" w:eastAsiaTheme="minorEastAsia"/>
                                <w:color w:val="auto"/>
                                <w:sz w:val="18"/>
                                <w:szCs w:val="18"/>
                              </w:rPr>
                            </m:ctrlPr>
                          </m:e>
                          <m:sub>
                            <m:r>
                              <m:rPr>
                                <m:nor/>
                              </m:rPr>
                              <w:rPr>
                                <w:rFonts w:hint="default" w:ascii="Times New Roman" w:hAnsi="Times New Roman" w:cs="Times New Roman" w:eastAsiaTheme="minorEastAsia"/>
                                <w:i/>
                                <w:color w:val="auto"/>
                                <w:sz w:val="18"/>
                                <w:szCs w:val="18"/>
                              </w:rPr>
                              <m:t>pre</m:t>
                            </m:r>
                            <m:ctrlPr>
                              <w:rPr>
                                <w:rFonts w:hint="default" w:ascii="Cambria Math" w:hAnsi="Cambria Math" w:cs="Times New Roman" w:eastAsiaTheme="minorEastAsia"/>
                                <w:color w:val="auto"/>
                                <w:sz w:val="18"/>
                                <w:szCs w:val="18"/>
                              </w:rPr>
                            </m:ctrlPr>
                          </m:sub>
                        </m:sSub>
                        <m:r>
                          <m:rPr>
                            <m:nor/>
                          </m:rPr>
                          <w:rPr>
                            <w:rFonts w:hint="default" w:ascii="Times New Roman" w:hAnsi="Times New Roman" w:cs="Times New Roman" w:eastAsiaTheme="minorEastAsia"/>
                            <w:i/>
                            <w:color w:val="auto"/>
                            <w:sz w:val="18"/>
                            <w:szCs w:val="18"/>
                          </w:rPr>
                          <m:t>S</m:t>
                        </m:r>
                        <m:sSub>
                          <m:sSubPr>
                            <m:ctrlPr>
                              <w:rPr>
                                <w:rFonts w:hint="default" w:ascii="Cambria Math" w:hAnsi="Cambria Math" w:cs="Times New Roman" w:eastAsiaTheme="minorEastAsia"/>
                                <w:color w:val="auto"/>
                                <w:sz w:val="18"/>
                                <w:szCs w:val="18"/>
                              </w:rPr>
                            </m:ctrlPr>
                          </m:sSubPr>
                          <m:e>
                            <m:r>
                              <m:rPr>
                                <m:nor/>
                              </m:rPr>
                              <w:rPr>
                                <w:rFonts w:hint="default" w:ascii="Times New Roman" w:hAnsi="Times New Roman" w:cs="Times New Roman" w:eastAsiaTheme="minorEastAsia"/>
                                <w:i/>
                                <w:color w:val="auto"/>
                                <w:sz w:val="18"/>
                                <w:szCs w:val="18"/>
                              </w:rPr>
                              <m:t>D</m:t>
                            </m:r>
                            <m:ctrlPr>
                              <w:rPr>
                                <w:rFonts w:hint="default" w:ascii="Cambria Math" w:hAnsi="Cambria Math" w:cs="Times New Roman" w:eastAsiaTheme="minorEastAsia"/>
                                <w:color w:val="auto"/>
                                <w:sz w:val="18"/>
                                <w:szCs w:val="18"/>
                              </w:rPr>
                            </m:ctrlPr>
                          </m:e>
                          <m:sub>
                            <m:r>
                              <m:rPr>
                                <m:nor/>
                              </m:rPr>
                              <w:rPr>
                                <w:rFonts w:hint="default" w:ascii="Times New Roman" w:hAnsi="Times New Roman" w:cs="Times New Roman" w:eastAsiaTheme="minorEastAsia"/>
                                <w:i/>
                                <w:color w:val="auto"/>
                                <w:sz w:val="18"/>
                                <w:szCs w:val="18"/>
                              </w:rPr>
                              <m:t>post</m:t>
                            </m:r>
                            <m:ctrlPr>
                              <w:rPr>
                                <w:rFonts w:hint="default" w:ascii="Cambria Math" w:hAnsi="Cambria Math" w:cs="Times New Roman" w:eastAsiaTheme="minorEastAsia"/>
                                <w:color w:val="auto"/>
                                <w:sz w:val="18"/>
                                <w:szCs w:val="18"/>
                              </w:rPr>
                            </m:ctrlPr>
                          </m:sub>
                        </m:sSub>
                        <m:r>
                          <m:rPr>
                            <m:nor/>
                            <m:sty m:val="p"/>
                          </m:rPr>
                          <w:rPr>
                            <w:rFonts w:hint="default" w:ascii="Times New Roman" w:hAnsi="Times New Roman" w:cs="Times New Roman" w:eastAsiaTheme="minorEastAsia"/>
                            <w:b w:val="0"/>
                            <w:i w:val="0"/>
                            <w:color w:val="auto"/>
                            <w:sz w:val="18"/>
                            <w:szCs w:val="18"/>
                          </w:rPr>
                          <m:t>)</m:t>
                        </m:r>
                        <m:ctrlPr>
                          <w:rPr>
                            <w:rFonts w:hint="default" w:ascii="Cambria Math" w:hAnsi="Cambria Math" w:cs="Times New Roman" w:eastAsiaTheme="minorEastAsia"/>
                            <w:color w:val="auto"/>
                            <w:sz w:val="18"/>
                            <w:szCs w:val="18"/>
                          </w:rPr>
                        </m:ctrlPr>
                      </m:num>
                      <m:den>
                        <m:r>
                          <m:rPr>
                            <m:nor/>
                            <m:sty m:val="p"/>
                          </m:rPr>
                          <w:rPr>
                            <w:rFonts w:hint="default" w:ascii="Times New Roman" w:hAnsi="Times New Roman" w:cs="Times New Roman" w:eastAsiaTheme="minorEastAsia"/>
                            <w:b w:val="0"/>
                            <w:i w:val="0"/>
                            <w:color w:val="auto"/>
                            <w:sz w:val="18"/>
                            <w:szCs w:val="18"/>
                          </w:rPr>
                          <m:t>16</m:t>
                        </m:r>
                        <m:ctrlPr>
                          <w:rPr>
                            <w:rFonts w:hint="default" w:ascii="Cambria Math" w:hAnsi="Cambria Math" w:cs="Times New Roman" w:eastAsiaTheme="minorEastAsia"/>
                            <w:color w:val="auto"/>
                            <w:sz w:val="18"/>
                            <w:szCs w:val="18"/>
                          </w:rPr>
                        </m:ctrlPr>
                      </m:den>
                    </m:f>
                    <m:ctrlPr>
                      <w:rPr>
                        <w:rFonts w:hint="default" w:ascii="Cambria Math" w:hAnsi="Cambria Math" w:cs="Times New Roman" w:eastAsiaTheme="minorEastAsia"/>
                        <w:color w:val="auto"/>
                        <w:sz w:val="18"/>
                        <w:szCs w:val="18"/>
                      </w:rPr>
                    </m:ctrlPr>
                  </m:e>
                </m:rad>
              </m:oMath>
            </m:oMathPara>
          </w:p>
          <w:p w14:paraId="4FE640F3">
            <w:pPr>
              <w:jc w:val="center"/>
              <w:rPr>
                <w:rFonts w:hint="default" w:ascii="Times New Roman" w:hAnsi="Times New Roman" w:eastAsia="宋体" w:cs="Times New Roman"/>
                <w:color w:val="auto"/>
                <w:kern w:val="0"/>
                <w:sz w:val="18"/>
                <w:szCs w:val="18"/>
                <w:lang w:val="en-US" w:eastAsia="zh-CN" w:bidi="ar"/>
              </w:rPr>
            </w:pPr>
          </w:p>
        </w:tc>
        <w:tc>
          <w:tcPr>
            <w:tcW w:w="1369" w:type="dxa"/>
          </w:tcPr>
          <w:p w14:paraId="484582A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1.67 ± 4.31</w:t>
            </w:r>
          </w:p>
        </w:tc>
        <w:tc>
          <w:tcPr>
            <w:tcW w:w="1192" w:type="dxa"/>
          </w:tcPr>
          <w:p w14:paraId="4C34365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0.60 ± 4.11</w:t>
            </w:r>
          </w:p>
        </w:tc>
      </w:tr>
      <w:tr w14:paraId="4BB0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113" w:type="dxa"/>
            <w:vMerge w:val="continue"/>
          </w:tcPr>
          <w:p w14:paraId="02548236">
            <w:pPr>
              <w:jc w:val="center"/>
              <w:rPr>
                <w:rFonts w:hint="default" w:ascii="Times New Roman" w:hAnsi="Times New Roman" w:cs="Times New Roman" w:eastAsiaTheme="minorEastAsia"/>
                <w:color w:val="auto"/>
                <w:sz w:val="18"/>
                <w:szCs w:val="18"/>
                <w:vertAlign w:val="baseline"/>
                <w:lang w:eastAsia="zh-CN"/>
              </w:rPr>
            </w:pPr>
            <w:r>
              <w:rPr>
                <w:rFonts w:hint="default" w:ascii="Times New Roman" w:hAnsi="Times New Roman" w:cs="Times New Roman"/>
                <w:color w:val="auto"/>
                <w:sz w:val="18"/>
                <w:szCs w:val="18"/>
                <w:vertAlign w:val="baseline"/>
                <w:lang w:eastAsia="zh-CN"/>
              </w:rPr>
              <w:t>=</w:t>
            </w:r>
            <m:oMath>
              <m:r>
                <m:rPr>
                  <m:nor/>
                  <m:sty m:val="p"/>
                </m:rPr>
                <w:rPr>
                  <w:rFonts w:hint="default" w:ascii="Times New Roman" w:hAnsi="Times New Roman" w:cs="Times New Roman"/>
                  <w:b w:val="0"/>
                  <w:i w:val="0"/>
                  <w:color w:val="auto"/>
                  <w:kern w:val="2"/>
                  <w:sz w:val="18"/>
                  <w:szCs w:val="18"/>
                  <w:vertAlign w:val="baseline"/>
                  <w:lang w:val="en-US" w:eastAsia="zh-CN" w:bidi="ar-SA"/>
                </w:rPr>
                <m:t>=</m:t>
              </m:r>
            </m:oMath>
          </w:p>
        </w:tc>
        <w:tc>
          <w:tcPr>
            <w:tcW w:w="1216" w:type="dxa"/>
            <w:vMerge w:val="continue"/>
          </w:tcPr>
          <w:p w14:paraId="354A84F3">
            <w:pPr>
              <w:jc w:val="center"/>
              <w:rPr>
                <w:rFonts w:hint="default" w:ascii="Times New Roman" w:hAnsi="Times New Roman" w:cs="Times New Roman"/>
                <w:color w:val="auto"/>
                <w:sz w:val="18"/>
                <w:szCs w:val="18"/>
                <w:vertAlign w:val="baseline"/>
              </w:rPr>
            </w:pPr>
          </w:p>
        </w:tc>
        <w:tc>
          <w:tcPr>
            <w:tcW w:w="1344" w:type="dxa"/>
          </w:tcPr>
          <w:p w14:paraId="6B374F2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VT, SF, RE, MH</w:t>
            </w:r>
          </w:p>
        </w:tc>
        <w:tc>
          <w:tcPr>
            <w:tcW w:w="1224" w:type="dxa"/>
            <w:vAlign w:val="top"/>
          </w:tcPr>
          <w:p w14:paraId="53D175E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HRQoL change</w:t>
            </w:r>
          </w:p>
        </w:tc>
        <w:tc>
          <w:tcPr>
            <w:tcW w:w="3224" w:type="dxa"/>
          </w:tcPr>
          <w:p w14:paraId="15498A19">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[(VT+SF+RE+MH)/4]post− [(VT+SF+RE+MH)/4]baseline</w:t>
            </w:r>
          </w:p>
        </w:tc>
        <w:tc>
          <w:tcPr>
            <w:tcW w:w="1369" w:type="dxa"/>
          </w:tcPr>
          <w:p w14:paraId="04F2E21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1.60 ± 4.34</w:t>
            </w:r>
          </w:p>
        </w:tc>
        <w:tc>
          <w:tcPr>
            <w:tcW w:w="1192" w:type="dxa"/>
          </w:tcPr>
          <w:p w14:paraId="0323733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−0.23 ± 4.54</w:t>
            </w:r>
          </w:p>
        </w:tc>
      </w:tr>
      <w:tr w14:paraId="71F10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4B7AD278">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val="0"/>
                <w:bCs w:val="0"/>
                <w:color w:val="auto"/>
                <w:kern w:val="2"/>
                <w:sz w:val="18"/>
                <w:szCs w:val="18"/>
                <w:vertAlign w:val="baseline"/>
                <w:lang w:val="en-US" w:eastAsia="zh-CN" w:bidi="ar-SA"/>
              </w:rPr>
              <w:t>4.Wanderley et al., 2015</w:t>
            </w:r>
          </w:p>
        </w:tc>
        <w:tc>
          <w:tcPr>
            <w:tcW w:w="1216" w:type="dxa"/>
            <w:vMerge w:val="restart"/>
          </w:tcPr>
          <w:p w14:paraId="479B6864">
            <w:pPr>
              <w:jc w:val="center"/>
              <w:rPr>
                <w:rFonts w:hint="default" w:ascii="Times New Roman" w:hAnsi="Times New Roman" w:cs="Times New Roman" w:eastAsiaTheme="minorEastAsia"/>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SF-36</w:t>
            </w:r>
          </w:p>
        </w:tc>
        <w:tc>
          <w:tcPr>
            <w:tcW w:w="1344" w:type="dxa"/>
          </w:tcPr>
          <w:p w14:paraId="492010E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 RP, BP, GH, VT, SF, RE, MH</w:t>
            </w:r>
          </w:p>
          <w:p w14:paraId="23F9BB80">
            <w:pPr>
              <w:jc w:val="center"/>
              <w:rPr>
                <w:rFonts w:hint="default" w:ascii="Times New Roman" w:hAnsi="Times New Roman" w:eastAsia="宋体" w:cs="Times New Roman"/>
                <w:color w:val="auto"/>
                <w:kern w:val="0"/>
                <w:sz w:val="18"/>
                <w:szCs w:val="18"/>
                <w:lang w:val="en-US" w:eastAsia="zh-CN" w:bidi="ar"/>
              </w:rPr>
            </w:pPr>
          </w:p>
        </w:tc>
        <w:tc>
          <w:tcPr>
            <w:tcW w:w="1224" w:type="dxa"/>
          </w:tcPr>
          <w:p w14:paraId="24FB7C0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tcPr>
          <w:p w14:paraId="26417FD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[(PF+RP+BP+GH+VT+SF+RE+MH)/8]post − [(PF+RP+BP+GH+VT+SF+RE+MH)/8]baseline; SDchange estimated assuming inter-domain correlation r=0.50</w:t>
            </w:r>
          </w:p>
        </w:tc>
        <w:tc>
          <w:tcPr>
            <w:tcW w:w="1369" w:type="dxa"/>
          </w:tcPr>
          <w:p w14:paraId="6810206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Resistance: 0.20 ± 3.09 (n=19)</w:t>
            </w:r>
          </w:p>
          <w:p w14:paraId="7CCF16E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Aerobic: 2.28 ± 2.42 (n=24)</w:t>
            </w:r>
          </w:p>
        </w:tc>
        <w:tc>
          <w:tcPr>
            <w:tcW w:w="1192" w:type="dxa"/>
          </w:tcPr>
          <w:p w14:paraId="6FE4156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−2.38 ± 3.10 (n=15)</w:t>
            </w:r>
          </w:p>
          <w:p w14:paraId="409FAAC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−2.38 ± 3.10 (n=16)</w:t>
            </w:r>
          </w:p>
        </w:tc>
      </w:tr>
      <w:tr w14:paraId="7FFC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5535A7CF">
            <w:pPr>
              <w:jc w:val="center"/>
              <w:rPr>
                <w:rFonts w:hint="default" w:ascii="Times New Roman" w:hAnsi="Times New Roman" w:cs="Times New Roman"/>
                <w:color w:val="auto"/>
                <w:sz w:val="18"/>
                <w:szCs w:val="18"/>
                <w:vertAlign w:val="baseline"/>
              </w:rPr>
            </w:pPr>
          </w:p>
        </w:tc>
        <w:tc>
          <w:tcPr>
            <w:tcW w:w="1216" w:type="dxa"/>
            <w:vMerge w:val="continue"/>
          </w:tcPr>
          <w:p w14:paraId="781CF786">
            <w:pPr>
              <w:jc w:val="center"/>
              <w:rPr>
                <w:rFonts w:hint="default" w:ascii="Times New Roman" w:hAnsi="Times New Roman" w:cs="Times New Roman" w:eastAsiaTheme="minorEastAsia"/>
                <w:color w:val="auto"/>
                <w:sz w:val="18"/>
                <w:szCs w:val="18"/>
                <w:vertAlign w:val="baseline"/>
                <w:lang w:val="en-US" w:eastAsia="zh-CN"/>
              </w:rPr>
            </w:pPr>
          </w:p>
        </w:tc>
        <w:tc>
          <w:tcPr>
            <w:tcW w:w="1344" w:type="dxa"/>
          </w:tcPr>
          <w:p w14:paraId="5BE0336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 RP, BP, GH,</w:t>
            </w:r>
          </w:p>
          <w:p w14:paraId="2303F99C">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PCS</w:t>
            </w:r>
          </w:p>
        </w:tc>
        <w:tc>
          <w:tcPr>
            <w:tcW w:w="1224" w:type="dxa"/>
          </w:tcPr>
          <w:p w14:paraId="6B18FF5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PCS</w:t>
            </w:r>
          </w:p>
        </w:tc>
        <w:tc>
          <w:tcPr>
            <w:tcW w:w="3224" w:type="dxa"/>
          </w:tcPr>
          <w:p w14:paraId="725FB5B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post-intervention PCS − baseline PCS; SD change estimated with r=0.5; shared control group was split equally.</w:t>
            </w:r>
          </w:p>
        </w:tc>
        <w:tc>
          <w:tcPr>
            <w:tcW w:w="1369" w:type="dxa"/>
          </w:tcPr>
          <w:p w14:paraId="19658BA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2.20 ± 6.64</w:t>
            </w:r>
          </w:p>
          <w:p w14:paraId="1C29476E">
            <w:pPr>
              <w:ind w:firstLine="180" w:firstLineChars="100"/>
              <w:jc w:val="both"/>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0.60 ± 5.00</w:t>
            </w:r>
          </w:p>
        </w:tc>
        <w:tc>
          <w:tcPr>
            <w:tcW w:w="1192" w:type="dxa"/>
          </w:tcPr>
          <w:p w14:paraId="017BA72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−2.00 ± 8.78</w:t>
            </w:r>
          </w:p>
          <w:p w14:paraId="5D5838D2">
            <w:pPr>
              <w:jc w:val="center"/>
              <w:rPr>
                <w:rFonts w:hint="default" w:ascii="Times New Roman" w:hAnsi="Times New Roman" w:eastAsia="宋体" w:cs="Times New Roman"/>
                <w:color w:val="auto"/>
                <w:kern w:val="0"/>
                <w:sz w:val="18"/>
                <w:szCs w:val="18"/>
                <w:lang w:val="en-US" w:eastAsia="zh-CN" w:bidi="ar"/>
              </w:rPr>
            </w:pPr>
          </w:p>
        </w:tc>
      </w:tr>
      <w:tr w14:paraId="37B5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6A00F36D">
            <w:pPr>
              <w:jc w:val="center"/>
              <w:rPr>
                <w:rFonts w:hint="default" w:ascii="Times New Roman" w:hAnsi="Times New Roman" w:cs="Times New Roman"/>
                <w:color w:val="auto"/>
                <w:sz w:val="18"/>
                <w:szCs w:val="18"/>
                <w:vertAlign w:val="baseline"/>
              </w:rPr>
            </w:pPr>
          </w:p>
        </w:tc>
        <w:tc>
          <w:tcPr>
            <w:tcW w:w="1216" w:type="dxa"/>
            <w:vMerge w:val="continue"/>
          </w:tcPr>
          <w:p w14:paraId="135D4AC4">
            <w:pPr>
              <w:jc w:val="center"/>
              <w:rPr>
                <w:rFonts w:hint="default" w:ascii="Times New Roman" w:hAnsi="Times New Roman" w:cs="Times New Roman"/>
                <w:color w:val="auto"/>
                <w:sz w:val="18"/>
                <w:szCs w:val="18"/>
                <w:vertAlign w:val="baseline"/>
              </w:rPr>
            </w:pPr>
          </w:p>
        </w:tc>
        <w:tc>
          <w:tcPr>
            <w:tcW w:w="1344" w:type="dxa"/>
          </w:tcPr>
          <w:p w14:paraId="78D92E7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VT, SF, RE, MH</w:t>
            </w:r>
          </w:p>
          <w:p w14:paraId="3C1AA72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MCS</w:t>
            </w:r>
          </w:p>
        </w:tc>
        <w:tc>
          <w:tcPr>
            <w:tcW w:w="1224" w:type="dxa"/>
          </w:tcPr>
          <w:p w14:paraId="02DF94A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MCS</w:t>
            </w:r>
          </w:p>
        </w:tc>
        <w:tc>
          <w:tcPr>
            <w:tcW w:w="3224" w:type="dxa"/>
          </w:tcPr>
          <w:p w14:paraId="7663A3A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post-intervention MCS − baseline MCS; SD change estimated with r=0.5; shared control group was split equally.</w:t>
            </w:r>
          </w:p>
        </w:tc>
        <w:tc>
          <w:tcPr>
            <w:tcW w:w="1369" w:type="dxa"/>
          </w:tcPr>
          <w:p w14:paraId="24AAF44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0.20 ± 8.86</w:t>
            </w:r>
          </w:p>
          <w:p w14:paraId="4E61060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4.90 ± 12.61</w:t>
            </w:r>
          </w:p>
        </w:tc>
        <w:tc>
          <w:tcPr>
            <w:tcW w:w="1192" w:type="dxa"/>
          </w:tcPr>
          <w:p w14:paraId="2411DE0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−2.60 ± 8.95</w:t>
            </w:r>
          </w:p>
          <w:p w14:paraId="4DC4D833">
            <w:pPr>
              <w:jc w:val="center"/>
              <w:rPr>
                <w:rFonts w:hint="default" w:ascii="Times New Roman" w:hAnsi="Times New Roman" w:eastAsia="宋体" w:cs="Times New Roman"/>
                <w:color w:val="auto"/>
                <w:kern w:val="0"/>
                <w:sz w:val="18"/>
                <w:szCs w:val="18"/>
                <w:lang w:val="en-US" w:eastAsia="zh-CN" w:bidi="ar"/>
              </w:rPr>
            </w:pPr>
          </w:p>
        </w:tc>
      </w:tr>
      <w:tr w14:paraId="36DB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2EAF67E4">
            <w:pPr>
              <w:jc w:val="center"/>
              <w:rPr>
                <w:rFonts w:hint="default" w:ascii="Times New Roman" w:hAnsi="Times New Roman" w:cs="Times New Roman"/>
                <w:color w:val="auto"/>
                <w:sz w:val="18"/>
                <w:szCs w:val="18"/>
                <w:vertAlign w:val="baseline"/>
              </w:rPr>
            </w:pPr>
            <w:r>
              <w:rPr>
                <w:rFonts w:hint="default" w:ascii="Times New Roman" w:hAnsi="Times New Roman" w:eastAsia="宋体" w:cs="Times New Roman"/>
                <w:b w:val="0"/>
                <w:bCs w:val="0"/>
                <w:color w:val="auto"/>
                <w:kern w:val="2"/>
                <w:sz w:val="18"/>
                <w:szCs w:val="18"/>
                <w:vertAlign w:val="baseline"/>
                <w:lang w:val="en-US" w:eastAsia="zh-CN" w:bidi="ar-SA"/>
              </w:rPr>
              <w:t>5.Jofré-Saldía et al., 2023</w:t>
            </w:r>
          </w:p>
        </w:tc>
        <w:tc>
          <w:tcPr>
            <w:tcW w:w="1216" w:type="dxa"/>
            <w:vMerge w:val="restart"/>
          </w:tcPr>
          <w:p w14:paraId="07848EF0">
            <w:pPr>
              <w:jc w:val="center"/>
              <w:rPr>
                <w:rFonts w:hint="default" w:ascii="Times New Roman" w:hAnsi="Times New Roman" w:cs="Times New Roman"/>
                <w:color w:val="auto"/>
                <w:sz w:val="18"/>
                <w:szCs w:val="18"/>
                <w:vertAlign w:val="baseline"/>
              </w:rPr>
            </w:pPr>
            <w:r>
              <w:rPr>
                <w:rFonts w:hint="default" w:ascii="Times New Roman" w:hAnsi="Times New Roman" w:cs="Times New Roman"/>
                <w:color w:val="auto"/>
                <w:sz w:val="18"/>
                <w:szCs w:val="18"/>
                <w:vertAlign w:val="baseline"/>
                <w:lang w:val="en-US" w:eastAsia="zh-CN"/>
              </w:rPr>
              <w:t>SF-36</w:t>
            </w:r>
          </w:p>
        </w:tc>
        <w:tc>
          <w:tcPr>
            <w:tcW w:w="1344" w:type="dxa"/>
          </w:tcPr>
          <w:p w14:paraId="65562FA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 RP, BP, GH, VT, SF, RE, MH</w:t>
            </w:r>
          </w:p>
          <w:p w14:paraId="709CF63A">
            <w:pPr>
              <w:jc w:val="center"/>
              <w:rPr>
                <w:rFonts w:hint="default" w:ascii="Times New Roman" w:hAnsi="Times New Roman" w:eastAsia="宋体" w:cs="Times New Roman"/>
                <w:color w:val="auto"/>
                <w:kern w:val="0"/>
                <w:sz w:val="18"/>
                <w:szCs w:val="18"/>
                <w:lang w:val="en-US" w:eastAsia="zh-CN" w:bidi="ar"/>
              </w:rPr>
            </w:pPr>
          </w:p>
        </w:tc>
        <w:tc>
          <w:tcPr>
            <w:tcW w:w="1224" w:type="dxa"/>
            <w:vAlign w:val="top"/>
          </w:tcPr>
          <w:p w14:paraId="75D937F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vAlign w:val="top"/>
          </w:tcPr>
          <w:p w14:paraId="5757CAD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[(PF+RP+BP+GH+VT+SF+RE+MH)/8]post − [(PF+RP+BP+GH+VT+SF+RE+MH)/8]baseline; SDchange estimated assuming inter-domain correlation r=0.50</w:t>
            </w:r>
          </w:p>
        </w:tc>
        <w:tc>
          <w:tcPr>
            <w:tcW w:w="1369" w:type="dxa"/>
          </w:tcPr>
          <w:p w14:paraId="0D89912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7.93 ± 16.76 (n=35)</w:t>
            </w:r>
          </w:p>
        </w:tc>
        <w:tc>
          <w:tcPr>
            <w:tcW w:w="1192" w:type="dxa"/>
          </w:tcPr>
          <w:p w14:paraId="155DBEE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1.09 ± 21.30 (n=20)</w:t>
            </w:r>
          </w:p>
        </w:tc>
      </w:tr>
      <w:tr w14:paraId="2ACA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2E87EF82">
            <w:pPr>
              <w:jc w:val="center"/>
              <w:rPr>
                <w:rFonts w:hint="default" w:ascii="Times New Roman" w:hAnsi="Times New Roman" w:cs="Times New Roman"/>
                <w:color w:val="auto"/>
                <w:sz w:val="18"/>
                <w:szCs w:val="18"/>
                <w:vertAlign w:val="baseline"/>
              </w:rPr>
            </w:pPr>
          </w:p>
        </w:tc>
        <w:tc>
          <w:tcPr>
            <w:tcW w:w="1216" w:type="dxa"/>
            <w:vMerge w:val="continue"/>
          </w:tcPr>
          <w:p w14:paraId="1D7A0FEA">
            <w:pPr>
              <w:jc w:val="center"/>
              <w:rPr>
                <w:rFonts w:hint="default" w:ascii="Times New Roman" w:hAnsi="Times New Roman" w:cs="Times New Roman"/>
                <w:color w:val="auto"/>
                <w:sz w:val="18"/>
                <w:szCs w:val="18"/>
                <w:vertAlign w:val="baseline"/>
              </w:rPr>
            </w:pPr>
          </w:p>
        </w:tc>
        <w:tc>
          <w:tcPr>
            <w:tcW w:w="1344" w:type="dxa"/>
          </w:tcPr>
          <w:p w14:paraId="3E9009F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 RP, BP, GH,</w:t>
            </w:r>
          </w:p>
          <w:p w14:paraId="7313F082">
            <w:pPr>
              <w:jc w:val="center"/>
              <w:rPr>
                <w:rFonts w:hint="default" w:ascii="Times New Roman" w:hAnsi="Times New Roman" w:eastAsia="宋体" w:cs="Times New Roman"/>
                <w:color w:val="auto"/>
                <w:kern w:val="0"/>
                <w:sz w:val="18"/>
                <w:szCs w:val="18"/>
                <w:lang w:val="en-US" w:eastAsia="zh-CN" w:bidi="ar"/>
              </w:rPr>
            </w:pPr>
          </w:p>
        </w:tc>
        <w:tc>
          <w:tcPr>
            <w:tcW w:w="1224" w:type="dxa"/>
            <w:vAlign w:val="top"/>
          </w:tcPr>
          <w:p w14:paraId="55E2174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vAlign w:val="top"/>
          </w:tcPr>
          <w:p w14:paraId="7A12D13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[(PF+RP+BP+GH)/4]post− [(PF+RP+BP+GH)/4]baseline</w:t>
            </w:r>
          </w:p>
        </w:tc>
        <w:tc>
          <w:tcPr>
            <w:tcW w:w="1369" w:type="dxa"/>
          </w:tcPr>
          <w:p w14:paraId="2647A10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9.91 ± 11.78</w:t>
            </w:r>
          </w:p>
        </w:tc>
        <w:tc>
          <w:tcPr>
            <w:tcW w:w="1192" w:type="dxa"/>
          </w:tcPr>
          <w:p w14:paraId="2EF02704">
            <w:pPr>
              <w:jc w:val="both"/>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−2.61± 14.79</w:t>
            </w:r>
          </w:p>
        </w:tc>
      </w:tr>
      <w:tr w14:paraId="6133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4EB22CC8">
            <w:pPr>
              <w:jc w:val="center"/>
              <w:rPr>
                <w:rFonts w:hint="default" w:ascii="Times New Roman" w:hAnsi="Times New Roman" w:cs="Times New Roman"/>
                <w:color w:val="auto"/>
                <w:sz w:val="18"/>
                <w:szCs w:val="18"/>
                <w:vertAlign w:val="baseline"/>
              </w:rPr>
            </w:pPr>
          </w:p>
        </w:tc>
        <w:tc>
          <w:tcPr>
            <w:tcW w:w="1216" w:type="dxa"/>
            <w:vMerge w:val="continue"/>
          </w:tcPr>
          <w:p w14:paraId="2A598DB8">
            <w:pPr>
              <w:jc w:val="center"/>
              <w:rPr>
                <w:rFonts w:hint="default" w:ascii="Times New Roman" w:hAnsi="Times New Roman" w:cs="Times New Roman"/>
                <w:color w:val="auto"/>
                <w:sz w:val="18"/>
                <w:szCs w:val="18"/>
                <w:vertAlign w:val="baseline"/>
              </w:rPr>
            </w:pPr>
          </w:p>
        </w:tc>
        <w:tc>
          <w:tcPr>
            <w:tcW w:w="1344" w:type="dxa"/>
          </w:tcPr>
          <w:p w14:paraId="1C38D90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VT, SF, RE, MH</w:t>
            </w:r>
          </w:p>
          <w:p w14:paraId="36984F91">
            <w:pPr>
              <w:jc w:val="center"/>
              <w:rPr>
                <w:rFonts w:hint="default" w:ascii="Times New Roman" w:hAnsi="Times New Roman" w:eastAsia="宋体" w:cs="Times New Roman"/>
                <w:color w:val="auto"/>
                <w:kern w:val="0"/>
                <w:sz w:val="18"/>
                <w:szCs w:val="18"/>
                <w:lang w:val="en-US" w:eastAsia="zh-CN" w:bidi="ar"/>
              </w:rPr>
            </w:pPr>
          </w:p>
        </w:tc>
        <w:tc>
          <w:tcPr>
            <w:tcW w:w="1224" w:type="dxa"/>
            <w:vAlign w:val="top"/>
          </w:tcPr>
          <w:p w14:paraId="7D1F6F7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HRQoL change</w:t>
            </w:r>
          </w:p>
        </w:tc>
        <w:tc>
          <w:tcPr>
            <w:tcW w:w="3224" w:type="dxa"/>
            <w:vAlign w:val="top"/>
          </w:tcPr>
          <w:p w14:paraId="366F3F7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[(VT+SF+RE+MH)/4]post− [(VT+SF+RE+MH)/4]baseline</w:t>
            </w:r>
          </w:p>
        </w:tc>
        <w:tc>
          <w:tcPr>
            <w:tcW w:w="1369" w:type="dxa"/>
          </w:tcPr>
          <w:p w14:paraId="439412E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5.96 ± 11.02</w:t>
            </w:r>
          </w:p>
        </w:tc>
        <w:tc>
          <w:tcPr>
            <w:tcW w:w="1192" w:type="dxa"/>
          </w:tcPr>
          <w:p w14:paraId="6F73C1F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4.79 ± 14.57</w:t>
            </w:r>
          </w:p>
        </w:tc>
      </w:tr>
      <w:tr w14:paraId="1193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shd w:val="clear" w:color="auto" w:fill="auto"/>
            <w:vAlign w:val="center"/>
          </w:tcPr>
          <w:p w14:paraId="72F06EDF">
            <w:pPr>
              <w:keepNext w:val="0"/>
              <w:keepLines w:val="0"/>
              <w:pageBreakBefore w:val="0"/>
              <w:widowControl w:val="0"/>
              <w:kinsoku/>
              <w:wordWrap/>
              <w:overflowPunct/>
              <w:topLinePunct w:val="0"/>
              <w:autoSpaceDE/>
              <w:autoSpaceDN/>
              <w:bidi w:val="0"/>
              <w:adjustRightInd/>
              <w:snapToGrid w:val="0"/>
              <w:spacing w:before="313" w:beforeLines="100" w:after="313" w:afterLines="100"/>
              <w:ind w:left="0" w:leftChars="0" w:right="0" w:rightChars="0" w:firstLine="0" w:firstLineChars="0"/>
              <w:jc w:val="center"/>
              <w:textAlignment w:val="auto"/>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6.Jiménez-García et al., 2019</w:t>
            </w:r>
          </w:p>
        </w:tc>
        <w:tc>
          <w:tcPr>
            <w:tcW w:w="1216" w:type="dxa"/>
            <w:vMerge w:val="restart"/>
          </w:tcPr>
          <w:p w14:paraId="34B437F9">
            <w:pPr>
              <w:jc w:val="center"/>
              <w:rPr>
                <w:rFonts w:hint="default" w:ascii="Times New Roman" w:hAnsi="Times New Roman" w:cs="Times New Roman"/>
                <w:color w:val="auto"/>
                <w:sz w:val="18"/>
                <w:szCs w:val="18"/>
                <w:vertAlign w:val="baseline"/>
              </w:rPr>
            </w:pPr>
            <w:r>
              <w:rPr>
                <w:rFonts w:hint="default" w:ascii="Times New Roman" w:hAnsi="Times New Roman" w:cs="Times New Roman"/>
                <w:color w:val="auto"/>
                <w:sz w:val="18"/>
                <w:szCs w:val="18"/>
                <w:vertAlign w:val="baseline"/>
                <w:lang w:val="en-US" w:eastAsia="zh-CN"/>
              </w:rPr>
              <w:t>SF-36</w:t>
            </w:r>
          </w:p>
        </w:tc>
        <w:tc>
          <w:tcPr>
            <w:tcW w:w="1344" w:type="dxa"/>
          </w:tcPr>
          <w:p w14:paraId="23250BD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 RP, BP, GH, VT, SF, RE, MH</w:t>
            </w:r>
          </w:p>
          <w:p w14:paraId="21C2A941">
            <w:pPr>
              <w:jc w:val="center"/>
              <w:rPr>
                <w:rFonts w:hint="default" w:ascii="Times New Roman" w:hAnsi="Times New Roman" w:eastAsia="宋体" w:cs="Times New Roman"/>
                <w:color w:val="auto"/>
                <w:kern w:val="0"/>
                <w:sz w:val="18"/>
                <w:szCs w:val="18"/>
                <w:lang w:val="en-US" w:eastAsia="zh-CN" w:bidi="ar"/>
              </w:rPr>
            </w:pPr>
          </w:p>
        </w:tc>
        <w:tc>
          <w:tcPr>
            <w:tcW w:w="1224" w:type="dxa"/>
            <w:vAlign w:val="top"/>
          </w:tcPr>
          <w:p w14:paraId="51B66B2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vAlign w:val="top"/>
          </w:tcPr>
          <w:p w14:paraId="18DEDAA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[(PF+RP+BP+GH+VT+SF+RE+MH)/8]post − [(PF+RP+BP+GH+VT+SF+RE+MH)/8]baseline; SDchange estimated assuming inter-domain correlation r=0.50</w:t>
            </w:r>
          </w:p>
        </w:tc>
        <w:tc>
          <w:tcPr>
            <w:tcW w:w="1369" w:type="dxa"/>
          </w:tcPr>
          <w:p w14:paraId="2B8B7C2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MIIT: 4.45 ± 17.86 (n=24)</w:t>
            </w:r>
          </w:p>
          <w:p w14:paraId="4F0D597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HIIT: 9.79 ± 18.73 (n=26)</w:t>
            </w:r>
          </w:p>
        </w:tc>
        <w:tc>
          <w:tcPr>
            <w:tcW w:w="1192" w:type="dxa"/>
          </w:tcPr>
          <w:p w14:paraId="7A6FAE4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−2.61 ± 20.23 (n=12)</w:t>
            </w:r>
          </w:p>
          <w:p w14:paraId="6C758CE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−2.61 ± 20.23 (n=11)</w:t>
            </w:r>
          </w:p>
        </w:tc>
      </w:tr>
      <w:tr w14:paraId="46AA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shd w:val="clear" w:color="auto" w:fill="auto"/>
            <w:vAlign w:val="center"/>
          </w:tcPr>
          <w:p w14:paraId="29F3972A">
            <w:pPr>
              <w:keepNext w:val="0"/>
              <w:keepLines w:val="0"/>
              <w:pageBreakBefore w:val="0"/>
              <w:widowControl w:val="0"/>
              <w:kinsoku/>
              <w:wordWrap/>
              <w:overflowPunct/>
              <w:topLinePunct w:val="0"/>
              <w:autoSpaceDE/>
              <w:autoSpaceDN/>
              <w:bidi w:val="0"/>
              <w:adjustRightInd/>
              <w:snapToGrid w:val="0"/>
              <w:spacing w:before="313" w:beforeLines="100" w:after="313" w:afterLines="100"/>
              <w:ind w:left="0" w:leftChars="0" w:right="0" w:rightChars="0" w:firstLine="0" w:firstLineChars="0"/>
              <w:jc w:val="center"/>
              <w:textAlignment w:val="auto"/>
              <w:rPr>
                <w:rFonts w:hint="default" w:ascii="Times New Roman" w:hAnsi="Times New Roman" w:eastAsia="宋体" w:cs="Times New Roman"/>
                <w:b w:val="0"/>
                <w:bCs w:val="0"/>
                <w:color w:val="auto"/>
                <w:kern w:val="2"/>
                <w:sz w:val="18"/>
                <w:szCs w:val="18"/>
                <w:vertAlign w:val="baseline"/>
                <w:lang w:val="en-US" w:eastAsia="zh-CN" w:bidi="ar-SA"/>
              </w:rPr>
            </w:pPr>
          </w:p>
        </w:tc>
        <w:tc>
          <w:tcPr>
            <w:tcW w:w="1216" w:type="dxa"/>
            <w:vMerge w:val="continue"/>
          </w:tcPr>
          <w:p w14:paraId="07EF7130">
            <w:pPr>
              <w:jc w:val="center"/>
              <w:rPr>
                <w:rFonts w:hint="default" w:ascii="Times New Roman" w:hAnsi="Times New Roman" w:cs="Times New Roman"/>
                <w:color w:val="auto"/>
                <w:sz w:val="18"/>
                <w:szCs w:val="18"/>
                <w:vertAlign w:val="baseline"/>
              </w:rPr>
            </w:pPr>
          </w:p>
        </w:tc>
        <w:tc>
          <w:tcPr>
            <w:tcW w:w="1344" w:type="dxa"/>
          </w:tcPr>
          <w:p w14:paraId="46A3600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PCS</w:t>
            </w:r>
          </w:p>
        </w:tc>
        <w:tc>
          <w:tcPr>
            <w:tcW w:w="1224" w:type="dxa"/>
            <w:vAlign w:val="top"/>
          </w:tcPr>
          <w:p w14:paraId="64F5D4F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vAlign w:val="top"/>
          </w:tcPr>
          <w:p w14:paraId="612CCBB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post-intervention PCS − baseline PCS; SD change estimated with r=0.5; shared control group was split equally.</w:t>
            </w:r>
          </w:p>
        </w:tc>
        <w:tc>
          <w:tcPr>
            <w:tcW w:w="1369" w:type="dxa"/>
          </w:tcPr>
          <w:p w14:paraId="5BA1CB9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0.69 ± 15.77</w:t>
            </w:r>
          </w:p>
          <w:p w14:paraId="5E08B145">
            <w:pPr>
              <w:ind w:firstLine="180" w:firstLineChars="10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kern w:val="0"/>
                <w:sz w:val="18"/>
                <w:szCs w:val="18"/>
                <w:lang w:val="en-US" w:eastAsia="zh-CN" w:bidi="ar"/>
              </w:rPr>
              <w:t>10.44 ± 15.94</w:t>
            </w:r>
          </w:p>
        </w:tc>
        <w:tc>
          <w:tcPr>
            <w:tcW w:w="1192" w:type="dxa"/>
          </w:tcPr>
          <w:p w14:paraId="26ECBC3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−4.18 ± 21.69</w:t>
            </w:r>
          </w:p>
          <w:p w14:paraId="3E4CABA2">
            <w:pPr>
              <w:jc w:val="center"/>
              <w:rPr>
                <w:rFonts w:hint="default" w:ascii="Times New Roman" w:hAnsi="Times New Roman" w:eastAsia="宋体" w:cs="Times New Roman"/>
                <w:color w:val="auto"/>
                <w:kern w:val="0"/>
                <w:sz w:val="18"/>
                <w:szCs w:val="18"/>
                <w:lang w:val="en-US" w:eastAsia="zh-CN" w:bidi="ar"/>
              </w:rPr>
            </w:pPr>
          </w:p>
        </w:tc>
      </w:tr>
      <w:tr w14:paraId="3176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4F1F3044">
            <w:pPr>
              <w:jc w:val="center"/>
              <w:rPr>
                <w:rFonts w:hint="default" w:ascii="Times New Roman" w:hAnsi="Times New Roman" w:cs="Times New Roman"/>
                <w:color w:val="auto"/>
                <w:sz w:val="18"/>
                <w:szCs w:val="18"/>
                <w:vertAlign w:val="baseline"/>
              </w:rPr>
            </w:pPr>
          </w:p>
        </w:tc>
        <w:tc>
          <w:tcPr>
            <w:tcW w:w="1216" w:type="dxa"/>
            <w:vMerge w:val="continue"/>
          </w:tcPr>
          <w:p w14:paraId="6C5B5C1F">
            <w:pPr>
              <w:jc w:val="center"/>
              <w:rPr>
                <w:rFonts w:hint="default" w:ascii="Times New Roman" w:hAnsi="Times New Roman" w:cs="Times New Roman"/>
                <w:color w:val="auto"/>
                <w:sz w:val="18"/>
                <w:szCs w:val="18"/>
                <w:vertAlign w:val="baseline"/>
              </w:rPr>
            </w:pPr>
          </w:p>
        </w:tc>
        <w:tc>
          <w:tcPr>
            <w:tcW w:w="1344" w:type="dxa"/>
          </w:tcPr>
          <w:p w14:paraId="4A2E5B4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MCS</w:t>
            </w:r>
          </w:p>
        </w:tc>
        <w:tc>
          <w:tcPr>
            <w:tcW w:w="1224" w:type="dxa"/>
            <w:vAlign w:val="top"/>
          </w:tcPr>
          <w:p w14:paraId="5404682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HRQoL change</w:t>
            </w:r>
          </w:p>
        </w:tc>
        <w:tc>
          <w:tcPr>
            <w:tcW w:w="3224" w:type="dxa"/>
            <w:vAlign w:val="top"/>
          </w:tcPr>
          <w:p w14:paraId="1723763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post-intervention MCS − baseline MCS; SD change estimated with r=0.5; shared control group was split equally.</w:t>
            </w:r>
          </w:p>
        </w:tc>
        <w:tc>
          <w:tcPr>
            <w:tcW w:w="1369" w:type="dxa"/>
          </w:tcPr>
          <w:p w14:paraId="232281B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8.23 ± 18.78</w:t>
            </w:r>
          </w:p>
          <w:p w14:paraId="2A377D2F">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kern w:val="0"/>
                <w:sz w:val="18"/>
                <w:szCs w:val="18"/>
                <w:lang w:val="en-US" w:eastAsia="zh-CN" w:bidi="ar"/>
              </w:rPr>
              <w:t>9.13 ± 20.84</w:t>
            </w:r>
          </w:p>
        </w:tc>
        <w:tc>
          <w:tcPr>
            <w:tcW w:w="1192" w:type="dxa"/>
          </w:tcPr>
          <w:p w14:paraId="4F6DC41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−1.28 ± 22.14</w:t>
            </w:r>
          </w:p>
          <w:p w14:paraId="13D37374">
            <w:pPr>
              <w:jc w:val="center"/>
              <w:rPr>
                <w:rFonts w:hint="default" w:ascii="Times New Roman" w:hAnsi="Times New Roman" w:eastAsia="宋体" w:cs="Times New Roman"/>
                <w:color w:val="auto"/>
                <w:sz w:val="18"/>
                <w:szCs w:val="18"/>
                <w:lang w:val="en-US" w:eastAsia="zh-CN"/>
              </w:rPr>
            </w:pPr>
          </w:p>
        </w:tc>
      </w:tr>
      <w:tr w14:paraId="5DDD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7969B6D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7.Shams et al., 2021</w:t>
            </w:r>
          </w:p>
        </w:tc>
        <w:tc>
          <w:tcPr>
            <w:tcW w:w="1216" w:type="dxa"/>
            <w:vMerge w:val="restart"/>
          </w:tcPr>
          <w:p w14:paraId="2B26B81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WHOQOL-</w:t>
            </w:r>
          </w:p>
          <w:p w14:paraId="488B24E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26</w:t>
            </w:r>
          </w:p>
        </w:tc>
        <w:tc>
          <w:tcPr>
            <w:tcW w:w="1344" w:type="dxa"/>
          </w:tcPr>
          <w:p w14:paraId="310013B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WHOQOL-26 total scale</w:t>
            </w:r>
          </w:p>
        </w:tc>
        <w:tc>
          <w:tcPr>
            <w:tcW w:w="1224" w:type="dxa"/>
            <w:vAlign w:val="top"/>
          </w:tcPr>
          <w:p w14:paraId="03B50FE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vAlign w:val="top"/>
          </w:tcPr>
          <w:p w14:paraId="1D302F1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Δ = Post total score − Baseline total score</w:t>
            </w:r>
          </w:p>
        </w:tc>
        <w:tc>
          <w:tcPr>
            <w:tcW w:w="1369" w:type="dxa"/>
          </w:tcPr>
          <w:p w14:paraId="088F870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MIG(n=15)</w:t>
            </w:r>
          </w:p>
          <w:p w14:paraId="0426552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17.40 ± 5.63</w:t>
            </w:r>
          </w:p>
          <w:p w14:paraId="2793AE1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LIG(n=15)</w:t>
            </w:r>
          </w:p>
          <w:p w14:paraId="77B1913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5.90 ± 7.51</w:t>
            </w:r>
          </w:p>
        </w:tc>
        <w:tc>
          <w:tcPr>
            <w:tcW w:w="1192" w:type="dxa"/>
          </w:tcPr>
          <w:p w14:paraId="083CAFF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(n=7 and 8)</w:t>
            </w:r>
          </w:p>
          <w:p w14:paraId="772E840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0.50 ± 6.84</w:t>
            </w:r>
          </w:p>
        </w:tc>
      </w:tr>
      <w:tr w14:paraId="277C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1C766F42">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402B2175">
            <w:pPr>
              <w:jc w:val="center"/>
              <w:rPr>
                <w:rFonts w:hint="default" w:ascii="Times New Roman" w:hAnsi="Times New Roman" w:eastAsia="宋体" w:cs="Times New Roman"/>
                <w:color w:val="auto"/>
                <w:kern w:val="0"/>
                <w:sz w:val="18"/>
                <w:szCs w:val="18"/>
                <w:lang w:val="en-US" w:eastAsia="zh-CN" w:bidi="ar"/>
              </w:rPr>
            </w:pPr>
          </w:p>
        </w:tc>
        <w:tc>
          <w:tcPr>
            <w:tcW w:w="1344" w:type="dxa"/>
          </w:tcPr>
          <w:p w14:paraId="514B7E5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QoL domain</w:t>
            </w:r>
          </w:p>
        </w:tc>
        <w:tc>
          <w:tcPr>
            <w:tcW w:w="1224" w:type="dxa"/>
            <w:vAlign w:val="top"/>
          </w:tcPr>
          <w:p w14:paraId="3152355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vAlign w:val="top"/>
          </w:tcPr>
          <w:p w14:paraId="1BDBB20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Δ = Post Physical QoL − Baseline Physical QoL</w:t>
            </w:r>
          </w:p>
        </w:tc>
        <w:tc>
          <w:tcPr>
            <w:tcW w:w="1369" w:type="dxa"/>
          </w:tcPr>
          <w:p w14:paraId="6C9F144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4.70 ± 3.20</w:t>
            </w:r>
          </w:p>
          <w:p w14:paraId="2393399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1.60 ± 3.10</w:t>
            </w:r>
          </w:p>
        </w:tc>
        <w:tc>
          <w:tcPr>
            <w:tcW w:w="1192" w:type="dxa"/>
          </w:tcPr>
          <w:p w14:paraId="44B4007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0.10 ± 3.54</w:t>
            </w:r>
          </w:p>
        </w:tc>
      </w:tr>
      <w:tr w14:paraId="27E1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2BBFBE57">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3B7BF143">
            <w:pPr>
              <w:jc w:val="center"/>
              <w:rPr>
                <w:rFonts w:hint="default" w:ascii="Times New Roman" w:hAnsi="Times New Roman" w:eastAsia="宋体" w:cs="Times New Roman"/>
                <w:color w:val="auto"/>
                <w:kern w:val="0"/>
                <w:sz w:val="18"/>
                <w:szCs w:val="18"/>
                <w:lang w:val="en-US" w:eastAsia="zh-CN" w:bidi="ar"/>
              </w:rPr>
            </w:pPr>
          </w:p>
        </w:tc>
        <w:tc>
          <w:tcPr>
            <w:tcW w:w="1344" w:type="dxa"/>
          </w:tcPr>
          <w:p w14:paraId="77BB48C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Psychological QoL domain</w:t>
            </w:r>
          </w:p>
        </w:tc>
        <w:tc>
          <w:tcPr>
            <w:tcW w:w="1224" w:type="dxa"/>
            <w:vAlign w:val="top"/>
          </w:tcPr>
          <w:p w14:paraId="042416F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HRQoL change</w:t>
            </w:r>
          </w:p>
        </w:tc>
        <w:tc>
          <w:tcPr>
            <w:tcW w:w="3224" w:type="dxa"/>
            <w:vAlign w:val="top"/>
          </w:tcPr>
          <w:p w14:paraId="247C1A6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Δ = Post Psychological QoL − Baseline Psychological QoL</w:t>
            </w:r>
          </w:p>
        </w:tc>
        <w:tc>
          <w:tcPr>
            <w:tcW w:w="1369" w:type="dxa"/>
          </w:tcPr>
          <w:p w14:paraId="5568FCE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3.70 ± 3.08</w:t>
            </w:r>
          </w:p>
          <w:p w14:paraId="4B6AA78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1.30 ± 2.82</w:t>
            </w:r>
          </w:p>
        </w:tc>
        <w:tc>
          <w:tcPr>
            <w:tcW w:w="1192" w:type="dxa"/>
          </w:tcPr>
          <w:p w14:paraId="46E2C01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0.10 ± 2.75</w:t>
            </w:r>
          </w:p>
        </w:tc>
      </w:tr>
      <w:tr w14:paraId="391E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1E47579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8.Tajik et al., 2018</w:t>
            </w:r>
          </w:p>
        </w:tc>
        <w:tc>
          <w:tcPr>
            <w:tcW w:w="1216" w:type="dxa"/>
            <w:vMerge w:val="restart"/>
          </w:tcPr>
          <w:p w14:paraId="5C4628A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LEIPAD</w:t>
            </w:r>
          </w:p>
        </w:tc>
        <w:tc>
          <w:tcPr>
            <w:tcW w:w="1344" w:type="dxa"/>
          </w:tcPr>
          <w:p w14:paraId="5C91E6E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LEIPAD total score</w:t>
            </w:r>
          </w:p>
        </w:tc>
        <w:tc>
          <w:tcPr>
            <w:tcW w:w="1224" w:type="dxa"/>
            <w:vAlign w:val="top"/>
          </w:tcPr>
          <w:p w14:paraId="5DA3B5E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vAlign w:val="top"/>
          </w:tcPr>
          <w:p w14:paraId="1C089D4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Change score = post-intervention total score − baseline total score; SDchange estimated assuming r=0.5</w:t>
            </w:r>
          </w:p>
        </w:tc>
        <w:tc>
          <w:tcPr>
            <w:tcW w:w="1369" w:type="dxa"/>
          </w:tcPr>
          <w:p w14:paraId="3BFD1317">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12.03 ± 8.04 (n=66)</w:t>
            </w:r>
          </w:p>
        </w:tc>
        <w:tc>
          <w:tcPr>
            <w:tcW w:w="1192" w:type="dxa"/>
          </w:tcPr>
          <w:p w14:paraId="3586992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0.21 ± 10.86</w:t>
            </w:r>
          </w:p>
          <w:p w14:paraId="4942E2B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(n=66)</w:t>
            </w:r>
          </w:p>
        </w:tc>
      </w:tr>
      <w:tr w14:paraId="014A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59999129">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0C465941">
            <w:pPr>
              <w:jc w:val="center"/>
              <w:rPr>
                <w:rFonts w:hint="default" w:ascii="Times New Roman" w:hAnsi="Times New Roman" w:eastAsia="宋体" w:cs="Times New Roman"/>
                <w:color w:val="auto"/>
                <w:kern w:val="0"/>
                <w:sz w:val="18"/>
                <w:szCs w:val="18"/>
                <w:lang w:val="en-US" w:eastAsia="zh-CN" w:bidi="ar"/>
              </w:rPr>
            </w:pPr>
          </w:p>
        </w:tc>
        <w:tc>
          <w:tcPr>
            <w:tcW w:w="1344" w:type="dxa"/>
          </w:tcPr>
          <w:p w14:paraId="54DD15F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function domain</w:t>
            </w:r>
          </w:p>
        </w:tc>
        <w:tc>
          <w:tcPr>
            <w:tcW w:w="1224" w:type="dxa"/>
            <w:vAlign w:val="top"/>
          </w:tcPr>
          <w:p w14:paraId="5243472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vAlign w:val="top"/>
          </w:tcPr>
          <w:p w14:paraId="25E9EA5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Change score = post-intervention physical function score − baseline score; SDchange estimated assuming r=0.5</w:t>
            </w:r>
          </w:p>
        </w:tc>
        <w:tc>
          <w:tcPr>
            <w:tcW w:w="1369" w:type="dxa"/>
          </w:tcPr>
          <w:p w14:paraId="26E53E3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1.69 ± 1.75</w:t>
            </w:r>
          </w:p>
        </w:tc>
        <w:tc>
          <w:tcPr>
            <w:tcW w:w="1192" w:type="dxa"/>
          </w:tcPr>
          <w:p w14:paraId="73BB463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0.07 ± 2.03</w:t>
            </w:r>
          </w:p>
        </w:tc>
      </w:tr>
      <w:tr w14:paraId="4E94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0266CA9B">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4DD0205B">
            <w:pPr>
              <w:jc w:val="center"/>
              <w:rPr>
                <w:rFonts w:hint="default" w:ascii="Times New Roman" w:hAnsi="Times New Roman" w:eastAsia="宋体" w:cs="Times New Roman"/>
                <w:color w:val="auto"/>
                <w:kern w:val="0"/>
                <w:sz w:val="18"/>
                <w:szCs w:val="18"/>
                <w:lang w:val="en-US" w:eastAsia="zh-CN" w:bidi="ar"/>
              </w:rPr>
            </w:pPr>
          </w:p>
        </w:tc>
        <w:tc>
          <w:tcPr>
            <w:tcW w:w="1344" w:type="dxa"/>
          </w:tcPr>
          <w:p w14:paraId="4C3E2CD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function domain</w:t>
            </w:r>
          </w:p>
        </w:tc>
        <w:tc>
          <w:tcPr>
            <w:tcW w:w="1224" w:type="dxa"/>
            <w:vAlign w:val="top"/>
          </w:tcPr>
          <w:p w14:paraId="2CDAF81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HRQoL change</w:t>
            </w:r>
          </w:p>
        </w:tc>
        <w:tc>
          <w:tcPr>
            <w:tcW w:w="3224" w:type="dxa"/>
            <w:vAlign w:val="top"/>
          </w:tcPr>
          <w:p w14:paraId="726F600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Change score = post-intervention mental function score − baseline score; SDchange estimated assuming r=0.5</w:t>
            </w:r>
          </w:p>
        </w:tc>
        <w:tc>
          <w:tcPr>
            <w:tcW w:w="1369" w:type="dxa"/>
          </w:tcPr>
          <w:p w14:paraId="00B69AB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1.53 ± 1.86</w:t>
            </w:r>
          </w:p>
        </w:tc>
        <w:tc>
          <w:tcPr>
            <w:tcW w:w="1192" w:type="dxa"/>
          </w:tcPr>
          <w:p w14:paraId="0602A42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−0.03 ± 2.05</w:t>
            </w:r>
          </w:p>
        </w:tc>
      </w:tr>
      <w:tr w14:paraId="18C2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091CAB94">
            <w:pPr>
              <w:numPr>
                <w:ilvl w:val="0"/>
                <w:numId w:val="1"/>
              </w:num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Chen et al., 2009</w:t>
            </w:r>
          </w:p>
        </w:tc>
        <w:tc>
          <w:tcPr>
            <w:tcW w:w="1216" w:type="dxa"/>
            <w:vMerge w:val="restart"/>
          </w:tcPr>
          <w:p w14:paraId="002AC70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SF-12</w:t>
            </w:r>
          </w:p>
        </w:tc>
        <w:tc>
          <w:tcPr>
            <w:tcW w:w="1344" w:type="dxa"/>
          </w:tcPr>
          <w:p w14:paraId="3BC4C3E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health perception</w:t>
            </w:r>
          </w:p>
        </w:tc>
        <w:tc>
          <w:tcPr>
            <w:tcW w:w="1224" w:type="dxa"/>
            <w:vAlign w:val="top"/>
          </w:tcPr>
          <w:p w14:paraId="3E30418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vAlign w:val="top"/>
          </w:tcPr>
          <w:p w14:paraId="7D86DE61">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Change = 6-month score − baseline score; SDchange estimated assuming r = 0.5</w:t>
            </w:r>
          </w:p>
        </w:tc>
        <w:tc>
          <w:tcPr>
            <w:tcW w:w="1369" w:type="dxa"/>
          </w:tcPr>
          <w:p w14:paraId="2B8C08C8">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5.58 ± 6.33 (n=35)</w:t>
            </w:r>
          </w:p>
        </w:tc>
        <w:tc>
          <w:tcPr>
            <w:tcW w:w="1192" w:type="dxa"/>
          </w:tcPr>
          <w:p w14:paraId="5CDFAA6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−2.82 ± 10.48 (n=38)</w:t>
            </w:r>
          </w:p>
        </w:tc>
      </w:tr>
      <w:tr w14:paraId="6E03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10F0E456">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38C571A9">
            <w:pPr>
              <w:jc w:val="center"/>
              <w:rPr>
                <w:rFonts w:hint="default" w:ascii="Times New Roman" w:hAnsi="Times New Roman" w:eastAsia="宋体" w:cs="Times New Roman"/>
                <w:color w:val="auto"/>
                <w:kern w:val="0"/>
                <w:sz w:val="18"/>
                <w:szCs w:val="18"/>
                <w:lang w:val="en-US" w:eastAsia="zh-CN" w:bidi="ar"/>
              </w:rPr>
            </w:pPr>
          </w:p>
        </w:tc>
        <w:tc>
          <w:tcPr>
            <w:tcW w:w="1344" w:type="dxa"/>
          </w:tcPr>
          <w:p w14:paraId="6DF496AB">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health perception</w:t>
            </w:r>
          </w:p>
        </w:tc>
        <w:tc>
          <w:tcPr>
            <w:tcW w:w="1224" w:type="dxa"/>
            <w:vAlign w:val="top"/>
          </w:tcPr>
          <w:p w14:paraId="38E9AA5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HRQoL change</w:t>
            </w:r>
          </w:p>
        </w:tc>
        <w:tc>
          <w:tcPr>
            <w:tcW w:w="3224" w:type="dxa"/>
            <w:vAlign w:val="top"/>
          </w:tcPr>
          <w:p w14:paraId="1E3B395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Change = 6-month score − baseline score; SDchange estimated assuming r = 0.5</w:t>
            </w:r>
          </w:p>
        </w:tc>
        <w:tc>
          <w:tcPr>
            <w:tcW w:w="1369" w:type="dxa"/>
          </w:tcPr>
          <w:p w14:paraId="70A5D08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6.52 ± 7.98</w:t>
            </w:r>
          </w:p>
        </w:tc>
        <w:tc>
          <w:tcPr>
            <w:tcW w:w="1192" w:type="dxa"/>
          </w:tcPr>
          <w:p w14:paraId="7EF36804">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−0.83 ± 8.39</w:t>
            </w:r>
          </w:p>
        </w:tc>
      </w:tr>
      <w:tr w14:paraId="3D5F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tcPr>
          <w:p w14:paraId="34D0D83B">
            <w:pPr>
              <w:numPr>
                <w:ilvl w:val="0"/>
                <w:numId w:val="1"/>
              </w:numPr>
              <w:ind w:left="0" w:leftChars="0" w:firstLine="0" w:firstLineChars="0"/>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b w:val="0"/>
                <w:bCs w:val="0"/>
                <w:color w:val="auto"/>
                <w:kern w:val="2"/>
                <w:sz w:val="18"/>
                <w:szCs w:val="18"/>
                <w:vertAlign w:val="baseline"/>
                <w:lang w:val="en-US" w:eastAsia="zh-CN" w:bidi="ar-SA"/>
              </w:rPr>
              <w:t>Zizhe, 2019</w:t>
            </w:r>
          </w:p>
        </w:tc>
        <w:tc>
          <w:tcPr>
            <w:tcW w:w="1216" w:type="dxa"/>
          </w:tcPr>
          <w:p w14:paraId="02FB4BA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SF-36</w:t>
            </w:r>
          </w:p>
        </w:tc>
        <w:tc>
          <w:tcPr>
            <w:tcW w:w="1344" w:type="dxa"/>
          </w:tcPr>
          <w:p w14:paraId="2F50312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Baseline and 2-month SF-36 total scores were reported</w:t>
            </w:r>
          </w:p>
        </w:tc>
        <w:tc>
          <w:tcPr>
            <w:tcW w:w="1224" w:type="dxa"/>
            <w:vAlign w:val="top"/>
          </w:tcPr>
          <w:p w14:paraId="24FF2C8C">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vAlign w:val="top"/>
          </w:tcPr>
          <w:p w14:paraId="2543EB2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Change = 2-month score − baseline score; SDchange estimated assuming r = 0.5</w:t>
            </w:r>
          </w:p>
        </w:tc>
        <w:tc>
          <w:tcPr>
            <w:tcW w:w="1369" w:type="dxa"/>
          </w:tcPr>
          <w:p w14:paraId="303582F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16.39 ± 11.32 (n=80)</w:t>
            </w:r>
          </w:p>
        </w:tc>
        <w:tc>
          <w:tcPr>
            <w:tcW w:w="1192" w:type="dxa"/>
          </w:tcPr>
          <w:p w14:paraId="2EE3968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2.12 ± 10.43 (n=80)</w:t>
            </w:r>
          </w:p>
        </w:tc>
      </w:tr>
      <w:tr w14:paraId="5CD9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743A8DDB">
            <w:pPr>
              <w:numPr>
                <w:ilvl w:val="0"/>
                <w:numId w:val="1"/>
              </w:numPr>
              <w:ind w:left="0" w:leftChars="0" w:firstLine="0" w:firstLineChars="0"/>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Hariprasad et al., 2013</w:t>
            </w:r>
          </w:p>
        </w:tc>
        <w:tc>
          <w:tcPr>
            <w:tcW w:w="1216" w:type="dxa"/>
            <w:vMerge w:val="restart"/>
          </w:tcPr>
          <w:p w14:paraId="6FA29A8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WHOQOL</w:t>
            </w:r>
          </w:p>
        </w:tc>
        <w:tc>
          <w:tcPr>
            <w:tcW w:w="1344" w:type="dxa"/>
          </w:tcPr>
          <w:p w14:paraId="791AD4E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Psychological, Social and Environmental QOL domains</w:t>
            </w:r>
          </w:p>
        </w:tc>
        <w:tc>
          <w:tcPr>
            <w:tcW w:w="1224" w:type="dxa"/>
            <w:vAlign w:val="top"/>
          </w:tcPr>
          <w:p w14:paraId="6FC0C915">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Overall HRQoL change</w:t>
            </w:r>
          </w:p>
        </w:tc>
        <w:tc>
          <w:tcPr>
            <w:tcW w:w="3224" w:type="dxa"/>
            <w:vAlign w:val="top"/>
          </w:tcPr>
          <w:p w14:paraId="45D5447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Mean of four domains at 6 months − mean of four domains at baseline</w:t>
            </w:r>
          </w:p>
        </w:tc>
        <w:tc>
          <w:tcPr>
            <w:tcW w:w="1369" w:type="dxa"/>
          </w:tcPr>
          <w:p w14:paraId="26F79F62">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5.84 ± 6.19 (n=31)</w:t>
            </w:r>
          </w:p>
        </w:tc>
        <w:tc>
          <w:tcPr>
            <w:tcW w:w="1192" w:type="dxa"/>
          </w:tcPr>
          <w:p w14:paraId="561F2F06">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−2.00 ± 5.93</w:t>
            </w:r>
          </w:p>
          <w:p w14:paraId="199942E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(n=41)</w:t>
            </w:r>
          </w:p>
        </w:tc>
      </w:tr>
      <w:tr w14:paraId="66E6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630E8835">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4505F4BE">
            <w:pPr>
              <w:jc w:val="center"/>
              <w:rPr>
                <w:rFonts w:hint="default" w:ascii="Times New Roman" w:hAnsi="Times New Roman" w:eastAsia="宋体" w:cs="Times New Roman"/>
                <w:color w:val="auto"/>
                <w:kern w:val="0"/>
                <w:sz w:val="18"/>
                <w:szCs w:val="18"/>
                <w:lang w:val="en-US" w:eastAsia="zh-CN" w:bidi="ar"/>
              </w:rPr>
            </w:pPr>
          </w:p>
        </w:tc>
        <w:tc>
          <w:tcPr>
            <w:tcW w:w="1344" w:type="dxa"/>
          </w:tcPr>
          <w:p w14:paraId="3C86367A">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health QOL at baseline and 6 months</w:t>
            </w:r>
          </w:p>
        </w:tc>
        <w:tc>
          <w:tcPr>
            <w:tcW w:w="1224" w:type="dxa"/>
            <w:vAlign w:val="top"/>
          </w:tcPr>
          <w:p w14:paraId="33A454AD">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Physical HRQoL change</w:t>
            </w:r>
          </w:p>
        </w:tc>
        <w:tc>
          <w:tcPr>
            <w:tcW w:w="3224" w:type="dxa"/>
            <w:vAlign w:val="top"/>
          </w:tcPr>
          <w:p w14:paraId="6A3EA353">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6-month score − baseline score; SDchange estimated assuming r=0.5</w:t>
            </w:r>
          </w:p>
        </w:tc>
        <w:tc>
          <w:tcPr>
            <w:tcW w:w="1369" w:type="dxa"/>
          </w:tcPr>
          <w:p w14:paraId="1653404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7.35 ± 13.47</w:t>
            </w:r>
          </w:p>
        </w:tc>
        <w:tc>
          <w:tcPr>
            <w:tcW w:w="1192" w:type="dxa"/>
          </w:tcPr>
          <w:p w14:paraId="5D8B32E7">
            <w:pPr>
              <w:jc w:val="both"/>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−6.38± 16.04</w:t>
            </w:r>
          </w:p>
        </w:tc>
      </w:tr>
      <w:tr w14:paraId="768D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57AD0A64">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03FEE4C1">
            <w:pPr>
              <w:jc w:val="center"/>
              <w:rPr>
                <w:rFonts w:hint="default" w:ascii="Times New Roman" w:hAnsi="Times New Roman" w:eastAsia="宋体" w:cs="Times New Roman"/>
                <w:color w:val="auto"/>
                <w:kern w:val="0"/>
                <w:sz w:val="18"/>
                <w:szCs w:val="18"/>
                <w:lang w:val="en-US" w:eastAsia="zh-CN" w:bidi="ar"/>
              </w:rPr>
            </w:pPr>
          </w:p>
        </w:tc>
        <w:tc>
          <w:tcPr>
            <w:tcW w:w="1344" w:type="dxa"/>
          </w:tcPr>
          <w:p w14:paraId="356677B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Psychological health QOL at baseline and 6 months</w:t>
            </w:r>
          </w:p>
        </w:tc>
        <w:tc>
          <w:tcPr>
            <w:tcW w:w="1224" w:type="dxa"/>
            <w:vAlign w:val="top"/>
          </w:tcPr>
          <w:p w14:paraId="28500E8F">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Mental HRQoL change</w:t>
            </w:r>
          </w:p>
        </w:tc>
        <w:tc>
          <w:tcPr>
            <w:tcW w:w="3224" w:type="dxa"/>
            <w:vAlign w:val="top"/>
          </w:tcPr>
          <w:p w14:paraId="60032B0E">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6-month score − baseline score; SDchange estimated assuming r=0.5</w:t>
            </w:r>
          </w:p>
        </w:tc>
        <w:tc>
          <w:tcPr>
            <w:tcW w:w="1369" w:type="dxa"/>
          </w:tcPr>
          <w:p w14:paraId="7EF2A760">
            <w:pPr>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5.54 ± 10.44</w:t>
            </w:r>
          </w:p>
        </w:tc>
        <w:tc>
          <w:tcPr>
            <w:tcW w:w="1192" w:type="dxa"/>
          </w:tcPr>
          <w:p w14:paraId="0AD8FB0D">
            <w:pPr>
              <w:jc w:val="both"/>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−3.20± 10.57</w:t>
            </w:r>
          </w:p>
        </w:tc>
      </w:tr>
      <w:tr w14:paraId="2A50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restart"/>
          </w:tcPr>
          <w:p w14:paraId="7FA27522">
            <w:pPr>
              <w:numPr>
                <w:ilvl w:val="0"/>
                <w:numId w:val="1"/>
              </w:numPr>
              <w:ind w:left="0" w:leftChars="0" w:firstLine="0" w:firstLineChars="0"/>
              <w:jc w:val="center"/>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b w:val="0"/>
                <w:bCs w:val="0"/>
                <w:color w:val="auto"/>
                <w:kern w:val="2"/>
                <w:sz w:val="18"/>
                <w:szCs w:val="18"/>
                <w:vertAlign w:val="baseline"/>
                <w:lang w:val="en-US" w:eastAsia="zh-CN" w:bidi="ar-SA"/>
              </w:rPr>
              <w:t>Oken et al., 2006</w:t>
            </w:r>
          </w:p>
        </w:tc>
        <w:tc>
          <w:tcPr>
            <w:tcW w:w="1216" w:type="dxa"/>
            <w:vMerge w:val="restart"/>
          </w:tcPr>
          <w:p w14:paraId="7EF1746C">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SF-36</w:t>
            </w:r>
          </w:p>
        </w:tc>
        <w:tc>
          <w:tcPr>
            <w:tcW w:w="1344" w:type="dxa"/>
          </w:tcPr>
          <w:p w14:paraId="19ACE580">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Eight SF-36 domain scores (PF, RP, BP, GH, VT, SF, RE, MH) at baseline and 6 months</w:t>
            </w:r>
          </w:p>
        </w:tc>
        <w:tc>
          <w:tcPr>
            <w:tcW w:w="1224" w:type="dxa"/>
            <w:vAlign w:val="top"/>
          </w:tcPr>
          <w:p w14:paraId="7E01E1E1">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Derived Overall HRQoL change</w:t>
            </w:r>
          </w:p>
        </w:tc>
        <w:tc>
          <w:tcPr>
            <w:tcW w:w="3224" w:type="dxa"/>
            <w:vAlign w:val="top"/>
          </w:tcPr>
          <w:p w14:paraId="4E72534C">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color w:val="auto"/>
                <w:kern w:val="0"/>
                <w:sz w:val="18"/>
                <w:szCs w:val="18"/>
                <w:lang w:val="en-US" w:eastAsia="zh-CN" w:bidi="ar"/>
              </w:rPr>
              <w:t>[(PF+RP+BP+GH+VT+SF+RE+MH)/8]post − [(PF+RP+BP+GH+VT+SF+RE+MH)/8]baseline; SDchange estimated assuming inter-domain correlation r=0.50</w:t>
            </w:r>
          </w:p>
        </w:tc>
        <w:tc>
          <w:tcPr>
            <w:tcW w:w="1369" w:type="dxa"/>
          </w:tcPr>
          <w:p w14:paraId="3C3AE01B">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Yoga: 4.69 ± 13.57(n=44)</w:t>
            </w:r>
          </w:p>
          <w:p w14:paraId="12AC7F7E">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Aerobic: −3.33 ± 16.40(n=47)</w:t>
            </w:r>
          </w:p>
        </w:tc>
        <w:tc>
          <w:tcPr>
            <w:tcW w:w="1192" w:type="dxa"/>
          </w:tcPr>
          <w:p w14:paraId="566EDE96">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−0.49 ± 13.77(n=22)</w:t>
            </w:r>
          </w:p>
          <w:p w14:paraId="00701800">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−0.49 ± 13.77(n=22)</w:t>
            </w:r>
          </w:p>
          <w:p w14:paraId="704BD118">
            <w:pPr>
              <w:jc w:val="center"/>
              <w:rPr>
                <w:rFonts w:hint="default" w:ascii="Times New Roman" w:hAnsi="Times New Roman" w:eastAsia="宋体" w:cs="Times New Roman"/>
                <w:b w:val="0"/>
                <w:bCs w:val="0"/>
                <w:color w:val="auto"/>
                <w:kern w:val="2"/>
                <w:sz w:val="18"/>
                <w:szCs w:val="18"/>
                <w:vertAlign w:val="baseline"/>
                <w:lang w:val="en-US" w:eastAsia="zh-CN" w:bidi="ar-SA"/>
              </w:rPr>
            </w:pPr>
          </w:p>
          <w:p w14:paraId="027B3F7E">
            <w:pPr>
              <w:jc w:val="center"/>
              <w:rPr>
                <w:rFonts w:hint="default" w:ascii="Times New Roman" w:hAnsi="Times New Roman" w:eastAsia="宋体" w:cs="Times New Roman"/>
                <w:b w:val="0"/>
                <w:bCs w:val="0"/>
                <w:color w:val="auto"/>
                <w:kern w:val="2"/>
                <w:sz w:val="18"/>
                <w:szCs w:val="18"/>
                <w:highlight w:val="yellow"/>
                <w:vertAlign w:val="baseline"/>
                <w:lang w:val="en-US" w:eastAsia="zh-CN" w:bidi="ar-SA"/>
              </w:rPr>
            </w:pPr>
          </w:p>
        </w:tc>
      </w:tr>
      <w:tr w14:paraId="59AB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0FCF1652">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709EA31C">
            <w:pPr>
              <w:jc w:val="center"/>
              <w:rPr>
                <w:rFonts w:hint="default" w:ascii="Times New Roman" w:hAnsi="Times New Roman" w:eastAsia="宋体" w:cs="Times New Roman"/>
                <w:b w:val="0"/>
                <w:bCs w:val="0"/>
                <w:color w:val="auto"/>
                <w:kern w:val="2"/>
                <w:sz w:val="18"/>
                <w:szCs w:val="18"/>
                <w:vertAlign w:val="baseline"/>
                <w:lang w:val="en-US" w:eastAsia="zh-CN" w:bidi="ar-SA"/>
              </w:rPr>
            </w:pPr>
          </w:p>
        </w:tc>
        <w:tc>
          <w:tcPr>
            <w:tcW w:w="1344" w:type="dxa"/>
          </w:tcPr>
          <w:p w14:paraId="1499CEFC">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Physical composite score at baseline and 6 months</w:t>
            </w:r>
          </w:p>
        </w:tc>
        <w:tc>
          <w:tcPr>
            <w:tcW w:w="1224" w:type="dxa"/>
            <w:vAlign w:val="top"/>
          </w:tcPr>
          <w:p w14:paraId="78C6D26E">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Physical HRQoL change</w:t>
            </w:r>
          </w:p>
        </w:tc>
        <w:tc>
          <w:tcPr>
            <w:tcW w:w="3224" w:type="dxa"/>
            <w:vAlign w:val="top"/>
          </w:tcPr>
          <w:p w14:paraId="7C16BDB1">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Change = 6-month PCS − baseline PCS; SD change estimated assuming r=0.5</w:t>
            </w:r>
          </w:p>
        </w:tc>
        <w:tc>
          <w:tcPr>
            <w:tcW w:w="1369" w:type="dxa"/>
          </w:tcPr>
          <w:p w14:paraId="4DAADB77">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Yoga: 1.20 ± 6.56; Aerobic: −2.10 ± 8.75</w:t>
            </w:r>
          </w:p>
        </w:tc>
        <w:tc>
          <w:tcPr>
            <w:tcW w:w="1192" w:type="dxa"/>
          </w:tcPr>
          <w:p w14:paraId="5E21A9AE">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−2.10 ± 6.20</w:t>
            </w:r>
          </w:p>
        </w:tc>
      </w:tr>
      <w:tr w14:paraId="05E4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Merge w:val="continue"/>
          </w:tcPr>
          <w:p w14:paraId="5294BB4E">
            <w:pPr>
              <w:jc w:val="center"/>
              <w:rPr>
                <w:rFonts w:hint="default" w:ascii="Times New Roman" w:hAnsi="Times New Roman" w:eastAsia="宋体" w:cs="Times New Roman"/>
                <w:color w:val="auto"/>
                <w:kern w:val="0"/>
                <w:sz w:val="18"/>
                <w:szCs w:val="18"/>
                <w:lang w:val="en-US" w:eastAsia="zh-CN" w:bidi="ar"/>
              </w:rPr>
            </w:pPr>
          </w:p>
        </w:tc>
        <w:tc>
          <w:tcPr>
            <w:tcW w:w="1216" w:type="dxa"/>
            <w:vMerge w:val="continue"/>
          </w:tcPr>
          <w:p w14:paraId="6C6B0322">
            <w:pPr>
              <w:jc w:val="center"/>
              <w:rPr>
                <w:rFonts w:hint="default" w:ascii="Times New Roman" w:hAnsi="Times New Roman" w:eastAsia="宋体" w:cs="Times New Roman"/>
                <w:b w:val="0"/>
                <w:bCs w:val="0"/>
                <w:color w:val="auto"/>
                <w:kern w:val="2"/>
                <w:sz w:val="18"/>
                <w:szCs w:val="18"/>
                <w:vertAlign w:val="baseline"/>
                <w:lang w:val="en-US" w:eastAsia="zh-CN" w:bidi="ar-SA"/>
              </w:rPr>
            </w:pPr>
          </w:p>
        </w:tc>
        <w:tc>
          <w:tcPr>
            <w:tcW w:w="1344" w:type="dxa"/>
          </w:tcPr>
          <w:p w14:paraId="3C18CF6D">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Mental composite score at baseline and 6 months</w:t>
            </w:r>
          </w:p>
        </w:tc>
        <w:tc>
          <w:tcPr>
            <w:tcW w:w="1224" w:type="dxa"/>
            <w:vAlign w:val="top"/>
          </w:tcPr>
          <w:p w14:paraId="2E38E756">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Mental HRQoL change</w:t>
            </w:r>
          </w:p>
        </w:tc>
        <w:tc>
          <w:tcPr>
            <w:tcW w:w="3224" w:type="dxa"/>
            <w:vAlign w:val="top"/>
          </w:tcPr>
          <w:p w14:paraId="3EB4A233">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Change = 6-month MCS − baseline MCS; SD change estimated assuming r=0.5</w:t>
            </w:r>
          </w:p>
        </w:tc>
        <w:tc>
          <w:tcPr>
            <w:tcW w:w="1369" w:type="dxa"/>
          </w:tcPr>
          <w:p w14:paraId="5258D1F7">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Yoga: 2.20 ± 6.10; Aerobic: −0.40 ± 8.82</w:t>
            </w:r>
          </w:p>
        </w:tc>
        <w:tc>
          <w:tcPr>
            <w:tcW w:w="1192" w:type="dxa"/>
          </w:tcPr>
          <w:p w14:paraId="5454499D">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1.70 ± 6.50</w:t>
            </w:r>
          </w:p>
        </w:tc>
      </w:tr>
      <w:tr w14:paraId="3FA4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3" w:type="dxa"/>
            <w:vMerge w:val="restart"/>
          </w:tcPr>
          <w:p w14:paraId="15352136">
            <w:pPr>
              <w:numPr>
                <w:ilvl w:val="0"/>
                <w:numId w:val="1"/>
              </w:numPr>
              <w:ind w:left="0" w:leftChars="0" w:firstLine="0" w:firstLineChars="0"/>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Ericson et al., 2018</w:t>
            </w:r>
          </w:p>
        </w:tc>
        <w:tc>
          <w:tcPr>
            <w:tcW w:w="1216" w:type="dxa"/>
            <w:vMerge w:val="restart"/>
          </w:tcPr>
          <w:p w14:paraId="6F1FC31B">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SF-12</w:t>
            </w:r>
          </w:p>
        </w:tc>
        <w:tc>
          <w:tcPr>
            <w:tcW w:w="1344" w:type="dxa"/>
          </w:tcPr>
          <w:p w14:paraId="2A4DE2A1">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SF-12 PCS</w:t>
            </w:r>
          </w:p>
        </w:tc>
        <w:tc>
          <w:tcPr>
            <w:tcW w:w="1224" w:type="dxa"/>
            <w:vAlign w:val="top"/>
          </w:tcPr>
          <w:p w14:paraId="44D62AF6">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Physical HRQoL change</w:t>
            </w:r>
          </w:p>
        </w:tc>
        <w:tc>
          <w:tcPr>
            <w:tcW w:w="3224" w:type="dxa"/>
            <w:vAlign w:val="top"/>
          </w:tcPr>
          <w:p w14:paraId="15F21C94">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Change = post-intervention PCS − baseline PCS; SDchange estimated assuming r=0.5</w:t>
            </w:r>
          </w:p>
        </w:tc>
        <w:tc>
          <w:tcPr>
            <w:tcW w:w="1369" w:type="dxa"/>
          </w:tcPr>
          <w:p w14:paraId="7BF62982">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0.20 ± 6.26</w:t>
            </w:r>
          </w:p>
          <w:p w14:paraId="6BF93F70">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(n=14)</w:t>
            </w:r>
          </w:p>
        </w:tc>
        <w:tc>
          <w:tcPr>
            <w:tcW w:w="1192" w:type="dxa"/>
          </w:tcPr>
          <w:p w14:paraId="1522F36A">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0.20 ± 6.36</w:t>
            </w:r>
          </w:p>
          <w:p w14:paraId="58F3C3E6">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(n=18)</w:t>
            </w:r>
          </w:p>
        </w:tc>
      </w:tr>
      <w:tr w14:paraId="605E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3" w:type="dxa"/>
            <w:vMerge w:val="continue"/>
          </w:tcPr>
          <w:p w14:paraId="5848E439">
            <w:pPr>
              <w:jc w:val="center"/>
              <w:rPr>
                <w:rFonts w:hint="default" w:ascii="Times New Roman" w:hAnsi="Times New Roman" w:eastAsia="宋体" w:cs="Times New Roman"/>
                <w:b w:val="0"/>
                <w:bCs w:val="0"/>
                <w:color w:val="auto"/>
                <w:kern w:val="2"/>
                <w:sz w:val="18"/>
                <w:szCs w:val="18"/>
                <w:vertAlign w:val="baseline"/>
                <w:lang w:val="en-US" w:eastAsia="zh-CN" w:bidi="ar-SA"/>
              </w:rPr>
            </w:pPr>
          </w:p>
        </w:tc>
        <w:tc>
          <w:tcPr>
            <w:tcW w:w="1216" w:type="dxa"/>
            <w:vMerge w:val="continue"/>
          </w:tcPr>
          <w:p w14:paraId="68C69ABD">
            <w:pPr>
              <w:jc w:val="center"/>
              <w:rPr>
                <w:rFonts w:hint="default" w:ascii="Times New Roman" w:hAnsi="Times New Roman" w:eastAsia="宋体" w:cs="Times New Roman"/>
                <w:b w:val="0"/>
                <w:bCs w:val="0"/>
                <w:color w:val="auto"/>
                <w:kern w:val="2"/>
                <w:sz w:val="18"/>
                <w:szCs w:val="18"/>
                <w:vertAlign w:val="baseline"/>
                <w:lang w:val="en-US" w:eastAsia="zh-CN" w:bidi="ar-SA"/>
              </w:rPr>
            </w:pPr>
          </w:p>
        </w:tc>
        <w:tc>
          <w:tcPr>
            <w:tcW w:w="1344" w:type="dxa"/>
          </w:tcPr>
          <w:p w14:paraId="28229CD0">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SF-12 MCS</w:t>
            </w:r>
          </w:p>
        </w:tc>
        <w:tc>
          <w:tcPr>
            <w:tcW w:w="1224" w:type="dxa"/>
            <w:vAlign w:val="top"/>
          </w:tcPr>
          <w:p w14:paraId="01F97C76">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Mental HRQoL change</w:t>
            </w:r>
          </w:p>
        </w:tc>
        <w:tc>
          <w:tcPr>
            <w:tcW w:w="3224" w:type="dxa"/>
            <w:vAlign w:val="top"/>
          </w:tcPr>
          <w:p w14:paraId="1F3E6D82">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Change = post-intervention MCS − baseline MCS; SDchange estimated assuming r=0.5</w:t>
            </w:r>
          </w:p>
        </w:tc>
        <w:tc>
          <w:tcPr>
            <w:tcW w:w="1369" w:type="dxa"/>
          </w:tcPr>
          <w:p w14:paraId="4FB974E2">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2.50 ± 8.67</w:t>
            </w:r>
          </w:p>
          <w:p w14:paraId="06607393">
            <w:pPr>
              <w:jc w:val="center"/>
              <w:rPr>
                <w:rFonts w:hint="default" w:ascii="Times New Roman" w:hAnsi="Times New Roman" w:eastAsia="宋体" w:cs="Times New Roman"/>
                <w:b w:val="0"/>
                <w:bCs w:val="0"/>
                <w:color w:val="auto"/>
                <w:kern w:val="2"/>
                <w:sz w:val="18"/>
                <w:szCs w:val="18"/>
                <w:vertAlign w:val="baseline"/>
                <w:lang w:val="en-US" w:eastAsia="zh-CN" w:bidi="ar-SA"/>
              </w:rPr>
            </w:pPr>
          </w:p>
        </w:tc>
        <w:tc>
          <w:tcPr>
            <w:tcW w:w="1192" w:type="dxa"/>
          </w:tcPr>
          <w:p w14:paraId="1B6AD747">
            <w:pPr>
              <w:jc w:val="center"/>
              <w:rPr>
                <w:rFonts w:hint="default" w:ascii="Times New Roman" w:hAnsi="Times New Roman" w:eastAsia="宋体" w:cs="Times New Roman"/>
                <w:b w:val="0"/>
                <w:bCs w:val="0"/>
                <w:color w:val="auto"/>
                <w:kern w:val="2"/>
                <w:sz w:val="18"/>
                <w:szCs w:val="18"/>
                <w:vertAlign w:val="baseline"/>
                <w:lang w:val="en-US" w:eastAsia="zh-CN" w:bidi="ar-SA"/>
              </w:rPr>
            </w:pPr>
            <w:r>
              <w:rPr>
                <w:rFonts w:hint="default" w:ascii="Times New Roman" w:hAnsi="Times New Roman" w:eastAsia="宋体" w:cs="Times New Roman"/>
                <w:b w:val="0"/>
                <w:bCs w:val="0"/>
                <w:color w:val="auto"/>
                <w:kern w:val="2"/>
                <w:sz w:val="18"/>
                <w:szCs w:val="18"/>
                <w:vertAlign w:val="baseline"/>
                <w:lang w:val="en-US" w:eastAsia="zh-CN" w:bidi="ar-SA"/>
              </w:rPr>
              <w:t>0.00 ± 8.96</w:t>
            </w:r>
          </w:p>
          <w:p w14:paraId="230D8A41">
            <w:pPr>
              <w:jc w:val="center"/>
              <w:rPr>
                <w:rFonts w:hint="default" w:ascii="Times New Roman" w:hAnsi="Times New Roman" w:eastAsia="宋体" w:cs="Times New Roman"/>
                <w:b w:val="0"/>
                <w:bCs w:val="0"/>
                <w:color w:val="auto"/>
                <w:kern w:val="2"/>
                <w:sz w:val="18"/>
                <w:szCs w:val="18"/>
                <w:vertAlign w:val="baseline"/>
                <w:lang w:val="en-US" w:eastAsia="zh-CN" w:bidi="ar-SA"/>
              </w:rPr>
            </w:pPr>
          </w:p>
        </w:tc>
      </w:tr>
    </w:tbl>
    <w:p w14:paraId="287397D6">
      <w:pPr>
        <w:jc w:val="both"/>
      </w:pPr>
    </w:p>
    <w:p w14:paraId="7B6AADB3">
      <w:pPr>
        <w:jc w:val="center"/>
      </w:pPr>
    </w:p>
    <w:p w14:paraId="28B2F767">
      <w:pPr>
        <w:jc w:val="left"/>
        <w:rPr>
          <w:rFonts w:hint="default" w:ascii="Times New Roman" w:hAnsi="Times New Roman" w:eastAsia="宋体" w:cs="Times New Roman"/>
          <w:sz w:val="24"/>
          <w:szCs w:val="24"/>
        </w:rPr>
      </w:pPr>
    </w:p>
    <w:p w14:paraId="32765D30">
      <w:pPr>
        <w:jc w:val="left"/>
        <w:rPr>
          <w:rFonts w:hint="default" w:ascii="Times New Roman" w:hAnsi="Times New Roman" w:eastAsia="宋体" w:cs="Times New Roman"/>
          <w:sz w:val="24"/>
          <w:szCs w:val="24"/>
        </w:rPr>
      </w:pPr>
    </w:p>
    <w:p w14:paraId="63AEC90A">
      <w:pPr>
        <w:jc w:val="left"/>
        <w:rPr>
          <w:rFonts w:hint="default" w:ascii="Times New Roman" w:hAnsi="Times New Roman" w:eastAsia="宋体" w:cs="Times New Roman"/>
          <w:sz w:val="24"/>
          <w:szCs w:val="24"/>
        </w:rPr>
      </w:pPr>
    </w:p>
    <w:p w14:paraId="30C903B3">
      <w:pPr>
        <w:jc w:val="left"/>
        <w:rPr>
          <w:rFonts w:hint="default" w:ascii="Times New Roman" w:hAnsi="Times New Roman" w:eastAsia="宋体" w:cs="Times New Roman"/>
          <w:sz w:val="24"/>
          <w:szCs w:val="24"/>
        </w:rPr>
      </w:pPr>
    </w:p>
    <w:p w14:paraId="08DAFD19">
      <w:pPr>
        <w:jc w:val="left"/>
        <w:rPr>
          <w:rFonts w:hint="default" w:ascii="Times New Roman" w:hAnsi="Times New Roman" w:eastAsia="宋体" w:cs="Times New Roman"/>
          <w:sz w:val="24"/>
          <w:szCs w:val="24"/>
        </w:rPr>
      </w:pPr>
    </w:p>
    <w:p w14:paraId="495BE5FA">
      <w:pPr>
        <w:jc w:val="left"/>
      </w:pPr>
      <w:r>
        <w:rPr>
          <w:rFonts w:hint="default" w:ascii="Times New Roman" w:hAnsi="Times New Roman" w:eastAsia="宋体" w:cs="Times New Roman"/>
          <w:sz w:val="24"/>
          <w:szCs w:val="24"/>
        </w:rPr>
        <w:t xml:space="preserve">Supplementary </w:t>
      </w:r>
      <w:r>
        <w:rPr>
          <w:rFonts w:hint="eastAsia" w:ascii="Times New Roman" w:hAnsi="Times New Roman" w:eastAsia="宋体" w:cs="Times New Roman"/>
          <w:sz w:val="24"/>
          <w:szCs w:val="24"/>
          <w:lang w:val="en-US" w:eastAsia="zh-CN"/>
        </w:rPr>
        <w:t>Figure</w:t>
      </w:r>
      <w:r>
        <w:rPr>
          <w:rFonts w:hint="default" w:ascii="Times New Roman" w:hAnsi="Times New Roman" w:eastAsia="宋体" w:cs="Times New Roman"/>
          <w:sz w:val="24"/>
          <w:szCs w:val="24"/>
        </w:rPr>
        <w:t xml:space="preserve"> S</w:t>
      </w:r>
      <w:r>
        <w:rPr>
          <w:rFonts w:hint="eastAsia" w:ascii="Times New Roman" w:hAnsi="Times New Roman" w:eastAsia="宋体" w:cs="Times New Roman"/>
          <w:sz w:val="24"/>
          <w:szCs w:val="24"/>
          <w:lang w:val="en-US" w:eastAsia="zh-CN"/>
        </w:rPr>
        <w:t>2</w:t>
      </w:r>
    </w:p>
    <w:p w14:paraId="7EE65F79">
      <w:pPr>
        <w:jc w:val="center"/>
      </w:pPr>
    </w:p>
    <w:p w14:paraId="4B253D29">
      <w:pPr>
        <w:jc w:val="left"/>
        <w:rPr>
          <w:rFonts w:hint="default" w:ascii="Times New Roman" w:hAnsi="Times New Roman" w:eastAsia="宋体" w:cs="Times New Roman"/>
          <w:sz w:val="24"/>
          <w:szCs w:val="24"/>
        </w:rPr>
      </w:pPr>
      <w:r>
        <w:drawing>
          <wp:inline distT="0" distB="0" distL="114300" distR="114300">
            <wp:extent cx="5672455" cy="3380740"/>
            <wp:effectExtent l="0" t="0" r="12065" b="2540"/>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pic:cNvPicPr>
                  </pic:nvPicPr>
                  <pic:blipFill>
                    <a:blip r:embed="rId4"/>
                    <a:stretch>
                      <a:fillRect/>
                    </a:stretch>
                  </pic:blipFill>
                  <pic:spPr>
                    <a:xfrm>
                      <a:off x="0" y="0"/>
                      <a:ext cx="5672455" cy="3380740"/>
                    </a:xfrm>
                    <a:prstGeom prst="rect">
                      <a:avLst/>
                    </a:prstGeom>
                    <a:noFill/>
                    <a:ln w="9525">
                      <a:noFill/>
                    </a:ln>
                  </pic:spPr>
                </pic:pic>
              </a:graphicData>
            </a:graphic>
          </wp:inline>
        </w:drawing>
      </w:r>
      <w:r>
        <w:rPr>
          <w:rFonts w:hint="default" w:ascii="Times New Roman" w:hAnsi="Times New Roman" w:eastAsia="宋体" w:cs="Times New Roman"/>
          <w:sz w:val="24"/>
          <w:szCs w:val="24"/>
        </w:rPr>
        <w:t xml:space="preserve"> </w:t>
      </w:r>
    </w:p>
    <w:p w14:paraId="0CEB337F">
      <w:pPr>
        <w:jc w:val="center"/>
        <w:rPr>
          <w:rFonts w:hint="default" w:ascii="Times New Roman" w:hAnsi="Times New Roman" w:eastAsia="宋体" w:cs="Times New Roman"/>
          <w:sz w:val="24"/>
          <w:szCs w:val="24"/>
        </w:rPr>
      </w:pPr>
    </w:p>
    <w:p w14:paraId="3DC5A97C">
      <w:pPr>
        <w:jc w:val="left"/>
        <w:rPr>
          <w:rFonts w:hint="eastAsia" w:eastAsia="宋体"/>
          <w:lang w:val="en-US" w:eastAsia="zh-CN"/>
        </w:rPr>
      </w:pPr>
      <w:r>
        <w:rPr>
          <w:rFonts w:hint="default" w:ascii="Times New Roman" w:hAnsi="Times New Roman" w:eastAsia="宋体" w:cs="Times New Roman"/>
          <w:sz w:val="24"/>
          <w:szCs w:val="24"/>
        </w:rPr>
        <w:t xml:space="preserve">Supplementary </w:t>
      </w:r>
      <w:r>
        <w:rPr>
          <w:rFonts w:hint="eastAsia" w:ascii="Times New Roman" w:hAnsi="Times New Roman" w:eastAsia="宋体" w:cs="Times New Roman"/>
          <w:sz w:val="24"/>
          <w:szCs w:val="24"/>
          <w:lang w:val="en-US" w:eastAsia="zh-CN"/>
        </w:rPr>
        <w:t>Figure</w:t>
      </w:r>
      <w:r>
        <w:rPr>
          <w:rFonts w:hint="default" w:ascii="Times New Roman" w:hAnsi="Times New Roman" w:eastAsia="宋体" w:cs="Times New Roman"/>
          <w:sz w:val="24"/>
          <w:szCs w:val="24"/>
        </w:rPr>
        <w:t xml:space="preserve"> S</w:t>
      </w:r>
      <w:r>
        <w:rPr>
          <w:rFonts w:hint="eastAsia" w:ascii="Times New Roman" w:hAnsi="Times New Roman" w:eastAsia="宋体" w:cs="Times New Roman"/>
          <w:sz w:val="24"/>
          <w:szCs w:val="24"/>
          <w:lang w:val="en-US" w:eastAsia="zh-CN"/>
        </w:rPr>
        <w:t>3</w:t>
      </w:r>
    </w:p>
    <w:p w14:paraId="58CD5205">
      <w:pPr>
        <w:jc w:val="left"/>
        <w:rPr>
          <w:rFonts w:hint="default" w:ascii="Times New Roman" w:hAnsi="Times New Roman" w:eastAsia="宋体" w:cs="Times New Roman"/>
          <w:sz w:val="24"/>
          <w:szCs w:val="24"/>
        </w:rPr>
      </w:pPr>
    </w:p>
    <w:p w14:paraId="201074A9">
      <w:pPr>
        <w:jc w:val="both"/>
        <w:rPr>
          <w:rFonts w:hint="default" w:ascii="Times New Roman" w:hAnsi="Times New Roman" w:eastAsia="MuseoSans-500" w:cs="Times New Roman"/>
          <w:b/>
          <w:bCs/>
          <w:color w:val="282828"/>
          <w:kern w:val="0"/>
          <w:sz w:val="28"/>
          <w:szCs w:val="28"/>
          <w:lang w:val="en-US" w:eastAsia="zh-CN" w:bidi="ar"/>
        </w:rPr>
      </w:pPr>
      <w:r>
        <w:drawing>
          <wp:inline distT="0" distB="0" distL="114300" distR="114300">
            <wp:extent cx="5737225" cy="3758565"/>
            <wp:effectExtent l="0" t="0" r="8255"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5737225" cy="3758565"/>
                    </a:xfrm>
                    <a:prstGeom prst="rect">
                      <a:avLst/>
                    </a:prstGeom>
                    <a:noFill/>
                    <a:ln>
                      <a:noFill/>
                    </a:ln>
                  </pic:spPr>
                </pic:pic>
              </a:graphicData>
            </a:graphic>
          </wp:inline>
        </w:drawing>
      </w:r>
    </w:p>
    <w:p w14:paraId="4F1D4B81">
      <w:pPr>
        <w:jc w:val="both"/>
        <w:rPr>
          <w:rFonts w:hint="default" w:ascii="Times New Roman" w:hAnsi="Times New Roman" w:eastAsia="宋体" w:cs="Times New Roman"/>
          <w:kern w:val="0"/>
          <w:sz w:val="24"/>
          <w:szCs w:val="24"/>
          <w:lang w:val="en-US" w:eastAsia="zh-CN" w:bidi="ar"/>
        </w:rPr>
      </w:pPr>
    </w:p>
    <w:p w14:paraId="1113DEF6">
      <w:pPr>
        <w:jc w:val="both"/>
        <w:rPr>
          <w:rFonts w:hint="default" w:ascii="Times New Roman" w:hAnsi="Times New Roman" w:eastAsia="宋体" w:cs="Times New Roman"/>
          <w:kern w:val="0"/>
          <w:sz w:val="24"/>
          <w:szCs w:val="24"/>
          <w:lang w:val="en-US" w:eastAsia="zh-CN" w:bidi="ar"/>
        </w:rPr>
      </w:pPr>
    </w:p>
    <w:p w14:paraId="42F9CA7A">
      <w:pPr>
        <w:jc w:val="both"/>
        <w:rPr>
          <w:rFonts w:hint="default" w:ascii="Times New Roman" w:hAnsi="Times New Roman" w:eastAsia="宋体" w:cs="Times New Roman"/>
          <w:kern w:val="0"/>
          <w:sz w:val="24"/>
          <w:szCs w:val="24"/>
          <w:lang w:val="en-US" w:eastAsia="zh-CN" w:bidi="ar"/>
        </w:rPr>
      </w:pPr>
    </w:p>
    <w:p w14:paraId="4848FC9B">
      <w:pPr>
        <w:jc w:val="both"/>
        <w:rPr>
          <w:rFonts w:hint="default" w:ascii="Times New Roman" w:hAnsi="Times New Roman" w:eastAsia="宋体" w:cs="Times New Roman"/>
          <w:kern w:val="0"/>
          <w:sz w:val="24"/>
          <w:szCs w:val="24"/>
          <w:lang w:val="en-US" w:eastAsia="zh-CN" w:bidi="ar"/>
        </w:rPr>
      </w:pPr>
    </w:p>
    <w:p w14:paraId="0F2B7E48">
      <w:pPr>
        <w:jc w:val="both"/>
        <w:rPr>
          <w:rFonts w:hint="default" w:ascii="Times New Roman" w:hAnsi="Times New Roman" w:eastAsia="宋体" w:cs="Times New Roman"/>
          <w:kern w:val="0"/>
          <w:sz w:val="24"/>
          <w:szCs w:val="24"/>
          <w:lang w:val="en-US" w:eastAsia="zh-CN" w:bidi="ar"/>
        </w:rPr>
      </w:pPr>
    </w:p>
    <w:p w14:paraId="4B78B580">
      <w:pPr>
        <w:jc w:val="both"/>
        <w:rPr>
          <w:rFonts w:hint="default" w:ascii="Times New Roman" w:hAnsi="Times New Roman" w:eastAsia="宋体" w:cs="Times New Roman"/>
          <w:kern w:val="0"/>
          <w:sz w:val="24"/>
          <w:szCs w:val="24"/>
          <w:lang w:val="en-US" w:eastAsia="zh-CN" w:bidi="ar"/>
        </w:rPr>
      </w:pPr>
    </w:p>
    <w:p w14:paraId="459886A1">
      <w:pPr>
        <w:jc w:val="both"/>
        <w:rPr>
          <w:rFonts w:hint="default" w:ascii="Times New Roman" w:hAnsi="Times New Roman" w:eastAsia="宋体" w:cs="Times New Roman"/>
          <w:kern w:val="0"/>
          <w:sz w:val="24"/>
          <w:szCs w:val="24"/>
          <w:lang w:val="en-US" w:eastAsia="zh-CN" w:bidi="ar"/>
        </w:rPr>
      </w:pPr>
    </w:p>
    <w:p w14:paraId="5BFB5CD3">
      <w:pPr>
        <w:jc w:val="both"/>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Figure</w:t>
      </w:r>
      <w:r>
        <w:rPr>
          <w:rFonts w:hint="eastAsia" w:ascii="Times New Roman" w:hAnsi="Times New Roman" w:eastAsia="宋体" w:cs="Times New Roman"/>
          <w:kern w:val="0"/>
          <w:sz w:val="24"/>
          <w:szCs w:val="24"/>
          <w:lang w:val="en-US" w:eastAsia="zh-CN" w:bidi="ar"/>
        </w:rPr>
        <w:t xml:space="preserve"> </w:t>
      </w:r>
      <w:r>
        <w:rPr>
          <w:rFonts w:hint="default" w:ascii="Times New Roman" w:hAnsi="Times New Roman" w:eastAsia="宋体" w:cs="Times New Roman"/>
          <w:kern w:val="0"/>
          <w:sz w:val="24"/>
          <w:szCs w:val="24"/>
          <w:lang w:val="en-US" w:eastAsia="zh-CN" w:bidi="ar"/>
        </w:rPr>
        <w:t>S</w:t>
      </w:r>
      <w:r>
        <w:rPr>
          <w:rFonts w:hint="eastAsia" w:ascii="Times New Roman" w:hAnsi="Times New Roman" w:eastAsia="宋体" w:cs="Times New Roman"/>
          <w:kern w:val="0"/>
          <w:sz w:val="24"/>
          <w:szCs w:val="24"/>
          <w:lang w:val="en-US" w:eastAsia="zh-CN" w:bidi="ar"/>
        </w:rPr>
        <w:t>4</w:t>
      </w:r>
      <w:r>
        <w:rPr>
          <w:rFonts w:hint="default" w:ascii="Times New Roman" w:hAnsi="Times New Roman" w:eastAsia="宋体" w:cs="Times New Roman"/>
          <w:kern w:val="0"/>
          <w:sz w:val="24"/>
          <w:szCs w:val="24"/>
          <w:lang w:val="en-US" w:eastAsia="zh-CN" w:bidi="ar"/>
        </w:rPr>
        <w:t>. Meta-regression analyses of potential moderators of overall HRQoL. Panels show the associations between the effect of exercise on overall HRQoL and (A) weekly exercise frequency, (B) session duration, (C) total intervention duration, (D) mean age, and (E) female proportion. Each point represents an individual comparison included in the corresponding meta-regression analysis, and the solid line represents the fitted univariable random-effects meta-regression model. None of the examined moderators was significantly associated with the magnitude of the effect on overall HRQoL.</w:t>
      </w:r>
    </w:p>
    <w:p w14:paraId="4070D9FF">
      <w:pPr>
        <w:jc w:val="both"/>
        <w:rPr>
          <w:rFonts w:hint="default" w:ascii="Times New Roman" w:hAnsi="Times New Roman" w:eastAsia="宋体" w:cs="Times New Roman"/>
          <w:kern w:val="0"/>
          <w:sz w:val="24"/>
          <w:szCs w:val="24"/>
          <w:lang w:val="en-US" w:eastAsia="zh-CN" w:bidi="ar"/>
        </w:rPr>
      </w:pPr>
    </w:p>
    <w:p w14:paraId="44BE0931">
      <w:pPr>
        <w:numPr>
          <w:ilvl w:val="0"/>
          <w:numId w:val="2"/>
        </w:numPr>
        <w:jc w:val="both"/>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Weekly exercise frequency</w:t>
      </w:r>
    </w:p>
    <w:p w14:paraId="03276B7D">
      <w:pPr>
        <w:jc w:val="left"/>
        <w:rPr>
          <w:rFonts w:hint="default" w:ascii="Times New Roman" w:hAnsi="Times New Roman" w:eastAsia="MuseoSans-500" w:cs="Times New Roman"/>
          <w:b/>
          <w:bCs/>
          <w:color w:val="282828"/>
          <w:kern w:val="0"/>
          <w:sz w:val="28"/>
          <w:szCs w:val="28"/>
          <w:lang w:val="en-US" w:eastAsia="zh-CN" w:bidi="ar"/>
        </w:rPr>
      </w:pPr>
      <w:r>
        <w:drawing>
          <wp:inline distT="0" distB="0" distL="114300" distR="114300">
            <wp:extent cx="3705225" cy="2280285"/>
            <wp:effectExtent l="0" t="0" r="13335" b="571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6"/>
                    <a:stretch>
                      <a:fillRect/>
                    </a:stretch>
                  </pic:blipFill>
                  <pic:spPr>
                    <a:xfrm>
                      <a:off x="0" y="0"/>
                      <a:ext cx="3705225" cy="2280285"/>
                    </a:xfrm>
                    <a:prstGeom prst="rect">
                      <a:avLst/>
                    </a:prstGeom>
                    <a:noFill/>
                    <a:ln w="9525">
                      <a:noFill/>
                    </a:ln>
                  </pic:spPr>
                </pic:pic>
              </a:graphicData>
            </a:graphic>
          </wp:inline>
        </w:drawing>
      </w:r>
    </w:p>
    <w:p w14:paraId="2FBA899D">
      <w:pPr>
        <w:jc w:val="left"/>
        <w:rPr>
          <w:rFonts w:hint="eastAsia" w:ascii="Times New Roman" w:hAnsi="Times New Roman" w:eastAsia="宋体" w:cs="Times New Roman"/>
          <w:kern w:val="0"/>
          <w:sz w:val="24"/>
          <w:szCs w:val="24"/>
          <w:lang w:val="en-US" w:eastAsia="zh-CN" w:bidi="ar"/>
        </w:rPr>
      </w:pPr>
    </w:p>
    <w:p w14:paraId="405DFE0B">
      <w:pPr>
        <w:numPr>
          <w:ilvl w:val="0"/>
          <w:numId w:val="2"/>
        </w:numPr>
        <w:ind w:left="0" w:leftChars="0" w:firstLine="0" w:firstLineChars="0"/>
        <w:jc w:val="left"/>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Session duration</w:t>
      </w:r>
    </w:p>
    <w:p w14:paraId="4B693282">
      <w:pPr>
        <w:jc w:val="left"/>
        <w:rPr>
          <w:rFonts w:hint="default" w:ascii="宋体" w:hAnsi="宋体" w:eastAsia="宋体" w:cs="宋体"/>
          <w:sz w:val="24"/>
          <w:szCs w:val="24"/>
          <w:lang w:val="en-US" w:eastAsia="zh-CN"/>
        </w:rPr>
      </w:pPr>
      <w:r>
        <w:drawing>
          <wp:inline distT="0" distB="0" distL="114300" distR="114300">
            <wp:extent cx="3741420" cy="2210435"/>
            <wp:effectExtent l="0" t="0" r="7620" b="1460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7"/>
                    <a:stretch>
                      <a:fillRect/>
                    </a:stretch>
                  </pic:blipFill>
                  <pic:spPr>
                    <a:xfrm>
                      <a:off x="0" y="0"/>
                      <a:ext cx="3741420" cy="2210435"/>
                    </a:xfrm>
                    <a:prstGeom prst="rect">
                      <a:avLst/>
                    </a:prstGeom>
                    <a:noFill/>
                    <a:ln w="9525">
                      <a:noFill/>
                    </a:ln>
                  </pic:spPr>
                </pic:pic>
              </a:graphicData>
            </a:graphic>
          </wp:inline>
        </w:drawing>
      </w:r>
    </w:p>
    <w:p w14:paraId="67A50C88">
      <w:pPr>
        <w:numPr>
          <w:ilvl w:val="0"/>
          <w:numId w:val="0"/>
        </w:numPr>
        <w:jc w:val="both"/>
        <w:rPr>
          <w:rFonts w:hint="default" w:ascii="宋体" w:hAnsi="宋体" w:eastAsia="宋体" w:cs="宋体"/>
          <w:sz w:val="24"/>
          <w:szCs w:val="24"/>
          <w:lang w:val="en-US" w:eastAsia="zh-CN"/>
        </w:rPr>
      </w:pPr>
    </w:p>
    <w:p w14:paraId="20851502">
      <w:pPr>
        <w:numPr>
          <w:ilvl w:val="0"/>
          <w:numId w:val="0"/>
        </w:numPr>
        <w:jc w:val="both"/>
        <w:rPr>
          <w:rFonts w:hint="default" w:ascii="宋体" w:hAnsi="宋体" w:eastAsia="宋体" w:cs="宋体"/>
          <w:sz w:val="24"/>
          <w:szCs w:val="24"/>
          <w:lang w:val="en-US" w:eastAsia="zh-CN"/>
        </w:rPr>
      </w:pPr>
    </w:p>
    <w:p w14:paraId="470E4AD6">
      <w:pPr>
        <w:numPr>
          <w:ilvl w:val="0"/>
          <w:numId w:val="2"/>
        </w:numPr>
        <w:ind w:left="0" w:leftChars="0" w:firstLine="0" w:firstLineChars="0"/>
        <w:jc w:val="both"/>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Total intervention duration</w:t>
      </w:r>
    </w:p>
    <w:p w14:paraId="329271B8">
      <w:pPr>
        <w:numPr>
          <w:ilvl w:val="0"/>
          <w:numId w:val="0"/>
        </w:numPr>
        <w:ind w:leftChars="0"/>
        <w:jc w:val="both"/>
        <w:rPr>
          <w:rFonts w:hint="default" w:ascii="宋体" w:hAnsi="宋体" w:eastAsia="宋体" w:cs="宋体"/>
          <w:sz w:val="24"/>
          <w:szCs w:val="24"/>
          <w:lang w:val="en-US" w:eastAsia="zh-CN"/>
        </w:rPr>
      </w:pPr>
      <w:r>
        <w:drawing>
          <wp:inline distT="0" distB="0" distL="114300" distR="114300">
            <wp:extent cx="3787775" cy="2297430"/>
            <wp:effectExtent l="0" t="0" r="6985" b="381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3787775" cy="2297430"/>
                    </a:xfrm>
                    <a:prstGeom prst="rect">
                      <a:avLst/>
                    </a:prstGeom>
                    <a:noFill/>
                    <a:ln>
                      <a:noFill/>
                    </a:ln>
                  </pic:spPr>
                </pic:pic>
              </a:graphicData>
            </a:graphic>
          </wp:inline>
        </w:drawing>
      </w:r>
    </w:p>
    <w:p w14:paraId="56B3D196">
      <w:pPr>
        <w:numPr>
          <w:ilvl w:val="0"/>
          <w:numId w:val="0"/>
        </w:numPr>
        <w:ind w:leftChars="0"/>
        <w:jc w:val="both"/>
        <w:rPr>
          <w:rFonts w:hint="default" w:ascii="宋体" w:hAnsi="宋体" w:eastAsia="宋体" w:cs="宋体"/>
          <w:sz w:val="24"/>
          <w:szCs w:val="24"/>
          <w:lang w:val="en-US" w:eastAsia="zh-CN"/>
        </w:rPr>
      </w:pPr>
    </w:p>
    <w:p w14:paraId="5D902998">
      <w:pPr>
        <w:numPr>
          <w:ilvl w:val="0"/>
          <w:numId w:val="2"/>
        </w:numPr>
        <w:ind w:left="0" w:leftChars="0" w:firstLine="0" w:firstLineChars="0"/>
        <w:jc w:val="both"/>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Mean age</w:t>
      </w:r>
    </w:p>
    <w:p w14:paraId="49E94321">
      <w:pPr>
        <w:numPr>
          <w:ilvl w:val="0"/>
          <w:numId w:val="0"/>
        </w:numPr>
        <w:ind w:leftChars="0"/>
        <w:jc w:val="both"/>
        <w:rPr>
          <w:rFonts w:hint="default" w:ascii="宋体" w:hAnsi="宋体" w:eastAsia="宋体" w:cs="宋体"/>
          <w:sz w:val="24"/>
          <w:szCs w:val="24"/>
          <w:lang w:val="en-US" w:eastAsia="zh-CN"/>
        </w:rPr>
      </w:pPr>
      <w:r>
        <w:drawing>
          <wp:inline distT="0" distB="0" distL="114300" distR="114300">
            <wp:extent cx="3941445" cy="2507615"/>
            <wp:effectExtent l="0" t="0" r="1905" b="698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9"/>
                    <a:stretch>
                      <a:fillRect/>
                    </a:stretch>
                  </pic:blipFill>
                  <pic:spPr>
                    <a:xfrm>
                      <a:off x="0" y="0"/>
                      <a:ext cx="3941445" cy="2507615"/>
                    </a:xfrm>
                    <a:prstGeom prst="rect">
                      <a:avLst/>
                    </a:prstGeom>
                    <a:noFill/>
                    <a:ln>
                      <a:noFill/>
                    </a:ln>
                  </pic:spPr>
                </pic:pic>
              </a:graphicData>
            </a:graphic>
          </wp:inline>
        </w:drawing>
      </w:r>
    </w:p>
    <w:p w14:paraId="7B5FE661">
      <w:pPr>
        <w:numPr>
          <w:ilvl w:val="0"/>
          <w:numId w:val="0"/>
        </w:numPr>
        <w:ind w:leftChars="0"/>
        <w:jc w:val="both"/>
        <w:rPr>
          <w:rFonts w:hint="default" w:ascii="宋体" w:hAnsi="宋体" w:eastAsia="宋体" w:cs="宋体"/>
          <w:sz w:val="24"/>
          <w:szCs w:val="24"/>
          <w:lang w:val="en-US" w:eastAsia="zh-CN"/>
        </w:rPr>
      </w:pPr>
    </w:p>
    <w:p w14:paraId="180E65D8">
      <w:pPr>
        <w:numPr>
          <w:ilvl w:val="0"/>
          <w:numId w:val="0"/>
        </w:numPr>
        <w:ind w:leftChars="0"/>
        <w:jc w:val="both"/>
        <w:rPr>
          <w:rFonts w:ascii="宋体" w:hAnsi="宋体" w:eastAsia="宋体" w:cs="宋体"/>
          <w:sz w:val="24"/>
          <w:szCs w:val="24"/>
        </w:rPr>
      </w:pPr>
    </w:p>
    <w:p w14:paraId="1ADE3137">
      <w:pPr>
        <w:numPr>
          <w:ilvl w:val="0"/>
          <w:numId w:val="2"/>
        </w:numPr>
        <w:ind w:left="0" w:leftChars="0" w:firstLine="0" w:firstLineChars="0"/>
        <w:jc w:val="left"/>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Female proportion</w:t>
      </w:r>
    </w:p>
    <w:p w14:paraId="035E560F">
      <w:pPr>
        <w:numPr>
          <w:ilvl w:val="0"/>
          <w:numId w:val="0"/>
        </w:numPr>
        <w:ind w:leftChars="0"/>
        <w:jc w:val="left"/>
        <w:rPr>
          <w:rFonts w:hint="default" w:ascii="宋体" w:hAnsi="宋体" w:eastAsia="宋体" w:cs="宋体"/>
          <w:sz w:val="24"/>
          <w:szCs w:val="24"/>
          <w:lang w:val="en-US" w:eastAsia="zh-CN"/>
        </w:rPr>
      </w:pPr>
      <w:r>
        <w:drawing>
          <wp:inline distT="0" distB="0" distL="114300" distR="114300">
            <wp:extent cx="3946525" cy="2367280"/>
            <wp:effectExtent l="0" t="0" r="15875" b="1397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0"/>
                    <a:stretch>
                      <a:fillRect/>
                    </a:stretch>
                  </pic:blipFill>
                  <pic:spPr>
                    <a:xfrm>
                      <a:off x="0" y="0"/>
                      <a:ext cx="3946525" cy="2367280"/>
                    </a:xfrm>
                    <a:prstGeom prst="rect">
                      <a:avLst/>
                    </a:prstGeom>
                    <a:noFill/>
                    <a:ln>
                      <a:noFill/>
                    </a:ln>
                  </pic:spPr>
                </pic:pic>
              </a:graphicData>
            </a:graphic>
          </wp:inline>
        </w:drawing>
      </w:r>
      <w:bookmarkStart w:id="0" w:name="_GoBack"/>
      <w:bookmarkEnd w:id="0"/>
    </w:p>
    <w:p w14:paraId="16D841CA">
      <w:pPr>
        <w:jc w:val="both"/>
        <w:rPr>
          <w:rFonts w:hint="default" w:ascii="Times New Roman" w:hAnsi="Times New Roman" w:eastAsia="宋体" w:cs="Times New Roman"/>
          <w:kern w:val="0"/>
          <w:sz w:val="24"/>
          <w:szCs w:val="24"/>
          <w:lang w:val="en-US" w:eastAsia="zh-CN" w:bidi="ar"/>
        </w:rPr>
      </w:pPr>
    </w:p>
    <w:p w14:paraId="58A8AD19">
      <w:pPr>
        <w:jc w:val="both"/>
        <w:rPr>
          <w:rFonts w:hint="default" w:ascii="Times New Roman" w:hAnsi="Times New Roman" w:eastAsia="宋体" w:cs="Times New Roman"/>
          <w:kern w:val="0"/>
          <w:sz w:val="24"/>
          <w:szCs w:val="24"/>
          <w:lang w:val="en-US" w:eastAsia="zh-CN" w:bidi="ar"/>
        </w:rPr>
      </w:pPr>
    </w:p>
    <w:p w14:paraId="7C1E1AED">
      <w:pPr>
        <w:jc w:val="left"/>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rPr>
        <w:t xml:space="preserve">Supplementary </w:t>
      </w:r>
      <w:r>
        <w:rPr>
          <w:rFonts w:hint="default" w:ascii="Times New Roman" w:hAnsi="Times New Roman" w:eastAsia="宋体" w:cs="Times New Roman"/>
          <w:sz w:val="22"/>
          <w:szCs w:val="22"/>
          <w:lang w:val="en-US" w:eastAsia="zh-CN"/>
        </w:rPr>
        <w:t>Figure</w:t>
      </w:r>
      <w:r>
        <w:rPr>
          <w:rFonts w:hint="default" w:ascii="Times New Roman" w:hAnsi="Times New Roman" w:eastAsia="宋体" w:cs="Times New Roman"/>
          <w:sz w:val="22"/>
          <w:szCs w:val="22"/>
        </w:rPr>
        <w:t xml:space="preserve"> S</w:t>
      </w:r>
      <w:r>
        <w:rPr>
          <w:rFonts w:hint="default" w:ascii="Times New Roman" w:hAnsi="Times New Roman" w:eastAsia="宋体" w:cs="Times New Roman"/>
          <w:sz w:val="22"/>
          <w:szCs w:val="22"/>
          <w:lang w:val="en-US" w:eastAsia="zh-CN"/>
        </w:rPr>
        <w:t xml:space="preserve">5 </w:t>
      </w:r>
      <w:r>
        <w:rPr>
          <w:rFonts w:hint="default" w:ascii="Times New Roman" w:hAnsi="Times New Roman" w:eastAsia="宋体" w:cs="Times New Roman"/>
          <w:sz w:val="22"/>
          <w:szCs w:val="22"/>
        </w:rPr>
        <w:t xml:space="preserve"> Sensitivity analysis excluding studies with derived composite overall HRQoL scores.</w:t>
      </w:r>
    </w:p>
    <w:p w14:paraId="55451D32">
      <w:pPr>
        <w:jc w:val="both"/>
        <w:rPr>
          <w:rFonts w:hint="default" w:ascii="Times New Roman" w:hAnsi="Times New Roman" w:eastAsia="宋体" w:cs="Times New Roman"/>
          <w:kern w:val="0"/>
          <w:sz w:val="24"/>
          <w:szCs w:val="24"/>
          <w:lang w:val="en-US" w:eastAsia="zh-CN" w:bidi="ar"/>
        </w:rPr>
      </w:pPr>
    </w:p>
    <w:p w14:paraId="27C07CD7">
      <w:pPr>
        <w:jc w:val="both"/>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drawing>
          <wp:inline distT="0" distB="0" distL="114300" distR="114300">
            <wp:extent cx="6640830" cy="1713865"/>
            <wp:effectExtent l="0" t="0" r="3810" b="8255"/>
            <wp:docPr id="7" name="图片 7" descr="28e642b428981b6bede0b0fb05c5f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8e642b428981b6bede0b0fb05c5f063"/>
                    <pic:cNvPicPr>
                      <a:picLocks noChangeAspect="1"/>
                    </pic:cNvPicPr>
                  </pic:nvPicPr>
                  <pic:blipFill>
                    <a:blip r:embed="rId11"/>
                    <a:stretch>
                      <a:fillRect/>
                    </a:stretch>
                  </pic:blipFill>
                  <pic:spPr>
                    <a:xfrm>
                      <a:off x="0" y="0"/>
                      <a:ext cx="6640830" cy="1713865"/>
                    </a:xfrm>
                    <a:prstGeom prst="rect">
                      <a:avLst/>
                    </a:prstGeom>
                  </pic:spPr>
                </pic:pic>
              </a:graphicData>
            </a:graphic>
          </wp:inline>
        </w:drawing>
      </w: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MuseoSans-500">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895A22"/>
    <w:multiLevelType w:val="singleLevel"/>
    <w:tmpl w:val="2E895A22"/>
    <w:lvl w:ilvl="0" w:tentative="0">
      <w:start w:val="1"/>
      <w:numFmt w:val="upperLetter"/>
      <w:suff w:val="space"/>
      <w:lvlText w:val="%1."/>
      <w:lvlJc w:val="left"/>
    </w:lvl>
  </w:abstractNum>
  <w:abstractNum w:abstractNumId="1">
    <w:nsid w:val="5BEA52F0"/>
    <w:multiLevelType w:val="singleLevel"/>
    <w:tmpl w:val="5BEA52F0"/>
    <w:lvl w:ilvl="0" w:tentative="0">
      <w:start w:val="9"/>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F31B6E"/>
    <w:rsid w:val="01934780"/>
    <w:rsid w:val="03247659"/>
    <w:rsid w:val="03CA0201"/>
    <w:rsid w:val="04085613"/>
    <w:rsid w:val="04F31B6E"/>
    <w:rsid w:val="07D16002"/>
    <w:rsid w:val="085207C5"/>
    <w:rsid w:val="09945539"/>
    <w:rsid w:val="0A51342A"/>
    <w:rsid w:val="0A7F34B8"/>
    <w:rsid w:val="0C102B9C"/>
    <w:rsid w:val="0C8650FE"/>
    <w:rsid w:val="0C8A49D1"/>
    <w:rsid w:val="0E4617CA"/>
    <w:rsid w:val="0EE74802"/>
    <w:rsid w:val="0F3D5D2B"/>
    <w:rsid w:val="100131FC"/>
    <w:rsid w:val="10043762"/>
    <w:rsid w:val="14634486"/>
    <w:rsid w:val="15966195"/>
    <w:rsid w:val="15C90318"/>
    <w:rsid w:val="16C7464B"/>
    <w:rsid w:val="17084E70"/>
    <w:rsid w:val="19C05ED6"/>
    <w:rsid w:val="19E44C91"/>
    <w:rsid w:val="1D036806"/>
    <w:rsid w:val="1F494278"/>
    <w:rsid w:val="1FFE1506"/>
    <w:rsid w:val="220B3A67"/>
    <w:rsid w:val="239C706C"/>
    <w:rsid w:val="24FC02D0"/>
    <w:rsid w:val="262B0B7B"/>
    <w:rsid w:val="27971AD4"/>
    <w:rsid w:val="27AB1F74"/>
    <w:rsid w:val="28773C04"/>
    <w:rsid w:val="28F200CC"/>
    <w:rsid w:val="29475CCC"/>
    <w:rsid w:val="29F22DCF"/>
    <w:rsid w:val="2A28543A"/>
    <w:rsid w:val="2B2966F5"/>
    <w:rsid w:val="2C1F2791"/>
    <w:rsid w:val="2E156399"/>
    <w:rsid w:val="2EB3170E"/>
    <w:rsid w:val="2EF57F78"/>
    <w:rsid w:val="2FB93629"/>
    <w:rsid w:val="302E3742"/>
    <w:rsid w:val="31991295"/>
    <w:rsid w:val="31F167D5"/>
    <w:rsid w:val="32D305D1"/>
    <w:rsid w:val="347A51A8"/>
    <w:rsid w:val="38F45878"/>
    <w:rsid w:val="3A8A4029"/>
    <w:rsid w:val="3C7B0352"/>
    <w:rsid w:val="3DC023A9"/>
    <w:rsid w:val="42DB1D8F"/>
    <w:rsid w:val="43827BD5"/>
    <w:rsid w:val="43BB51E3"/>
    <w:rsid w:val="446E1F07"/>
    <w:rsid w:val="45DC4A98"/>
    <w:rsid w:val="473D3E13"/>
    <w:rsid w:val="475D7565"/>
    <w:rsid w:val="48580F04"/>
    <w:rsid w:val="4B0F02D7"/>
    <w:rsid w:val="4BB1070D"/>
    <w:rsid w:val="4BEA5524"/>
    <w:rsid w:val="4E742810"/>
    <w:rsid w:val="4ECF5C98"/>
    <w:rsid w:val="50716B10"/>
    <w:rsid w:val="51A013CF"/>
    <w:rsid w:val="53071EA5"/>
    <w:rsid w:val="555111B5"/>
    <w:rsid w:val="55780E38"/>
    <w:rsid w:val="5705494D"/>
    <w:rsid w:val="572D5C52"/>
    <w:rsid w:val="57980B81"/>
    <w:rsid w:val="5A92187A"/>
    <w:rsid w:val="5D2378DB"/>
    <w:rsid w:val="5D5246B7"/>
    <w:rsid w:val="5D680F34"/>
    <w:rsid w:val="5E371164"/>
    <w:rsid w:val="61E810F3"/>
    <w:rsid w:val="6497295D"/>
    <w:rsid w:val="66A64762"/>
    <w:rsid w:val="675A4404"/>
    <w:rsid w:val="677B36DE"/>
    <w:rsid w:val="69BA19B2"/>
    <w:rsid w:val="6ABF5F8E"/>
    <w:rsid w:val="6BAB5D34"/>
    <w:rsid w:val="6CEC0DE6"/>
    <w:rsid w:val="6D7B0E47"/>
    <w:rsid w:val="6EA74BA6"/>
    <w:rsid w:val="6F433E0D"/>
    <w:rsid w:val="707A1AB0"/>
    <w:rsid w:val="71CD5C10"/>
    <w:rsid w:val="737C5B3F"/>
    <w:rsid w:val="73E568F8"/>
    <w:rsid w:val="740F42BD"/>
    <w:rsid w:val="75175B49"/>
    <w:rsid w:val="75E4177A"/>
    <w:rsid w:val="76593785"/>
    <w:rsid w:val="76742AFE"/>
    <w:rsid w:val="78863205"/>
    <w:rsid w:val="78B30AF5"/>
    <w:rsid w:val="79782905"/>
    <w:rsid w:val="7A97500D"/>
    <w:rsid w:val="7B900058"/>
    <w:rsid w:val="7C2E6448"/>
    <w:rsid w:val="7C7D2F74"/>
    <w:rsid w:val="7D0107D4"/>
    <w:rsid w:val="7DC66335"/>
    <w:rsid w:val="7EFF3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emf"/><Relationship Id="rId8" Type="http://schemas.openxmlformats.org/officeDocument/2006/relationships/image" Target="media/image5.emf"/><Relationship Id="rId7" Type="http://schemas.openxmlformats.org/officeDocument/2006/relationships/image" Target="media/image4.emf"/><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1117</Words>
  <Characters>6265</Characters>
  <Lines>0</Lines>
  <Paragraphs>0</Paragraphs>
  <TotalTime>4</TotalTime>
  <ScaleCrop>false</ScaleCrop>
  <LinksUpToDate>false</LinksUpToDate>
  <CharactersWithSpaces>7139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2026-08-21T06:52:00Z</dcterms:created>
  <dc:creator>Chen Peng</dc:creator>
  <cp:lastModifiedBy>Chen Peng</cp:lastModifiedBy>
  <dcterms:modified xsi:type="dcterms:W3CDTF">2026-09-29T05:22:42Z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2E23E10D0F94424A9939E910AB022A94_13</vt:lpwstr>
  </property>
  <property fmtid="{D5CDD505-2E9C-101B-9397-08002B2CF9AE}" pid="4" name="KSOTemplateDocerSaveRecord">
    <vt:lpwstr>eyJoZGlkIjoiN2YzNjBkOTgyNWQ1YTMxYzM3MzMwNWFiODNmOWIzYWMiLCJ1c2VySWQiOiI3ODA5MzEzMzIifQ==</vt:lpwstr>
  </property>
</Properties>
</file>