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2E4" w:rsidRDefault="009B0B28">
      <w:pPr>
        <w:jc w:val="center"/>
      </w:pPr>
      <w:r>
        <w:rPr>
          <w:b/>
          <w:sz w:val="32"/>
        </w:rPr>
        <w:t>Supplementary Material</w:t>
      </w:r>
    </w:p>
    <w:p w:rsidR="0007757A" w:rsidRDefault="0007757A" w:rsidP="0007757A">
      <w:pPr>
        <w:spacing w:before="160" w:after="80"/>
        <w:jc w:val="center"/>
        <w:rPr>
          <w:b/>
          <w:sz w:val="22"/>
        </w:rPr>
      </w:pPr>
      <w:r w:rsidRPr="0007757A">
        <w:rPr>
          <w:b/>
          <w:sz w:val="22"/>
        </w:rPr>
        <w:t>Psychological Symptom Burden in Older Dermatology Outpatients: Clinical, Social, and Medication-Related Associations</w:t>
      </w:r>
    </w:p>
    <w:p w:rsidR="008702E4" w:rsidRDefault="009B0B28">
      <w:pPr>
        <w:spacing w:before="160" w:after="80"/>
      </w:pPr>
      <w:r>
        <w:rPr>
          <w:b/>
          <w:sz w:val="20"/>
        </w:rPr>
        <w:t>Supplementary Table S1. Detailed sociodemographic, clinical, medication-related, and dermatological characteristics of the study population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702E4">
        <w:trPr>
          <w:tblHeader/>
          <w:jc w:val="center"/>
        </w:trPr>
        <w:tc>
          <w:tcPr>
            <w:tcW w:w="2592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Variable</w:t>
            </w:r>
          </w:p>
        </w:tc>
        <w:tc>
          <w:tcPr>
            <w:tcW w:w="2592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Category / summary</w:t>
            </w:r>
          </w:p>
        </w:tc>
        <w:tc>
          <w:tcPr>
            <w:tcW w:w="2592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n</w:t>
            </w:r>
          </w:p>
        </w:tc>
        <w:tc>
          <w:tcPr>
            <w:tcW w:w="2592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%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Age, years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Mean ± SD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72.2 ± 4.8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—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Sex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Female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150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50.0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Sex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Male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150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50.0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Marital status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Married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196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65.3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Marital status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Not married / widowed / divorced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104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34.7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Education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&lt; High school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176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58.7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Education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≥ High school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124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41.3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Employment status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Currently employed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54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18.0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Employment status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Not currently employed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246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82.0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Income level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Low income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158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52.7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Income level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Not low income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142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47.3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Smoking status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Current smoker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91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30.3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Smoking status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Non-smoker / former smoker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209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69.7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Living arrangement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Living alone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86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28.7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Living arrangement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Living with others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214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71.3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Psychiatric history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Present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74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24.7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Psychiatric history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Absent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226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75.3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Family psychiatric history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Present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57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19.0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Family psychiatric history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Absent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243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81.0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Number of comorbidities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Median (IQR)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2 (1–3)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—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Chronic disease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At least one chronic disease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224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74.7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Total number of medications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Median (IQR)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5 (3–7)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—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Polypharmacy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≥5 medications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175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58.3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Excessive polypharmacy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≥10 medications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35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11.7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Psychotropic medication use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Current use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52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17.3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Dermatological treatment use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Current use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202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67.3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Primary dermatological diagnosis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Xerosis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38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12.7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Primary dermatological diagnosis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Pruritus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27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9.0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Primary dermatological diagnosis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Eczema / chronic dermatitis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60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20.0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Primary dermatological diagnosis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Psoriasis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39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13.0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Primary dermatological diagnosis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Urticaria / allergic dermatoses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34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11.3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Primary dermatological diagnosis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Alopecia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28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9.3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Primary dermatological diagnosis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Nail disorders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23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7.7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Primary dermatological diagnosis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Ulcer / stasis dermatitis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21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7.0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Primary dermatological diagnosis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Other dermatological conditions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30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10.0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Visible skin involvement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Face, scalp, and/or hands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149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49.7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Disease duration, months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Median (IQR)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24 (8–60)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—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HADS-A score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Mean ± SD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9.1 ± 3.9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—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HADS-D score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Mean ± SD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7.6 ± 3.4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—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Clinically significant anxiety symptoms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HADS-A &gt;10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110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36.7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Clinically significant depressive symptoms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HADS-D &gt;7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130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43.3</w:t>
            </w:r>
          </w:p>
        </w:tc>
      </w:tr>
      <w:tr w:rsidR="008702E4">
        <w:trPr>
          <w:jc w:val="center"/>
        </w:trPr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Coexisting anxiety and depressive symptoms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Both thresholds met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57</w:t>
            </w:r>
          </w:p>
        </w:tc>
        <w:tc>
          <w:tcPr>
            <w:tcW w:w="2592" w:type="dxa"/>
            <w:vAlign w:val="center"/>
          </w:tcPr>
          <w:p w:rsidR="008702E4" w:rsidRDefault="009B0B28">
            <w:r>
              <w:rPr>
                <w:sz w:val="16"/>
              </w:rPr>
              <w:t>19.0</w:t>
            </w:r>
          </w:p>
        </w:tc>
      </w:tr>
    </w:tbl>
    <w:p w:rsidR="008702E4" w:rsidRDefault="009B0B28">
      <w:pPr>
        <w:spacing w:before="40" w:after="120"/>
      </w:pPr>
      <w:r>
        <w:rPr>
          <w:i/>
          <w:sz w:val="16"/>
        </w:rPr>
        <w:t>SD, standard deviation; IQR, interquartile range; HADS-A, Hospital Anxiety and Depression Scale–Anxiety subscale; HADS-D, Hospital Anxiety and Depression Scale–Depression subscale. Xerosis and pruritus were recorded as separate primary dermatological diagnoses under distinct ICD-coded diagnoses and are presented separately.</w:t>
      </w:r>
      <w:r w:rsidR="00F9759F">
        <w:rPr>
          <w:i/>
          <w:sz w:val="16"/>
        </w:rPr>
      </w:r>
      <w:bookmarkStart w:id="0" w:name="_GoBack"/>
      <w:bookmarkEnd w:id="0"/>
      <w:r w:rsidR="00F9759F" w:rsidRPr="00F9759F">
        <w:rPr>
          <w:i/>
          <w:sz w:val="16"/>
          <w:highlight w:val="yellow"/>
        </w:rPr>
      </w:r>
    </w:p>
    <w:p w:rsidR="008702E4" w:rsidRDefault="009B0B28">
      <w:pPr>
        <w:spacing w:before="160" w:after="80"/>
      </w:pPr>
      <w:r>
        <w:rPr>
          <w:b/>
          <w:sz w:val="20"/>
        </w:rPr>
        <w:t>Supplementary Table S2. Univariable logistic regression analyses for clinically significant anxiety and depressive symptoms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8702E4">
        <w:trPr>
          <w:tblHeader/>
          <w:jc w:val="center"/>
        </w:trPr>
        <w:tc>
          <w:tcPr>
            <w:tcW w:w="2074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Variable</w:t>
            </w:r>
          </w:p>
        </w:tc>
        <w:tc>
          <w:tcPr>
            <w:tcW w:w="2074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Anxiety OR (95% CI)</w:t>
            </w:r>
          </w:p>
        </w:tc>
        <w:tc>
          <w:tcPr>
            <w:tcW w:w="2074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p-value</w:t>
            </w:r>
          </w:p>
        </w:tc>
        <w:tc>
          <w:tcPr>
            <w:tcW w:w="2074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Depressive symptoms OR (95% CI)</w:t>
            </w:r>
          </w:p>
        </w:tc>
        <w:tc>
          <w:tcPr>
            <w:tcW w:w="2074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p-value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Age, per year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1.04 (0.99–1.09)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0.136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1.07 (1.02–1.12)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0.004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Female sex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1.19 (0.75–1.90)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0.466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1.31 (0.83–2.07)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0.246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Living alone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1.67 (1.00–2.78)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0.049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2.67 (1.62–4.39)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&lt;0.001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Low income level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1.51 (0.94–2.42)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0.088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1.51 (0.95–2.40)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0.082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Currently employed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0.81 (0.43–1.53)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0.516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0.70 (0.37–1.31)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0.264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Current smoking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1.13 (0.68–1.87)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0.636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1.10 (0.67–1.80)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0.709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lastRenderedPageBreak/>
              <w:t>Psychiatric history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1.95 (1.12–3.38)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0.018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3.00 (1.74–5.17)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&lt;0.001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Family psychiatric history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1.42 (0.79–2.56)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0.239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1.55 (0.87–2.76)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0.136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Number of comorbidities, per condition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1.25 (1.08–1.45)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0.003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1.21 (1.05–1.40)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0.009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Chronic disease present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1.69 (0.96–2.98)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0.069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1.62 (0.94–2.81)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0.084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Total number of medications, per medication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1.31 (1.18–1.45)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&lt;0.001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1.27 (1.15–1.40)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&lt;0.001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Polypharmacy (≥5 medications)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3.78 (2.25–6.34)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&lt;0.001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2.87 (1.75–4.70)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&lt;0.001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Current psychotropic medication use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4.27 (2.27–8.04)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&lt;0.001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2.99 (1.60–5.59)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0.001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Dermatological treatment use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1.18 (0.72–1.95)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0.510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1.13 (0.69–1.84)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0.627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Visible skin involvement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1.53 (0.96–2.45)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0.074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1.02 (0.64–1.61)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0.943</w:t>
            </w:r>
          </w:p>
        </w:tc>
      </w:tr>
    </w:tbl>
    <w:p w:rsidR="008702E4" w:rsidRDefault="009B0B28">
      <w:pPr>
        <w:spacing w:before="40" w:after="120"/>
      </w:pPr>
      <w:r>
        <w:rPr>
          <w:i/>
          <w:sz w:val="16"/>
        </w:rPr>
        <w:t>OR, odds ratio; CI, confidence interval. Each variable was entered separately in an univariable logistic regression model. Clinically significant anxiety symptoms were defined as HADS-A &gt;10 and clinically significant depressive symptoms as HADS-D &gt;7.</w:t>
      </w:r>
    </w:p>
    <w:p w:rsidR="008702E4" w:rsidRDefault="009B0B28">
      <w:pPr>
        <w:spacing w:before="160" w:after="80"/>
      </w:pPr>
      <w:r>
        <w:rPr>
          <w:b/>
          <w:sz w:val="20"/>
        </w:rPr>
        <w:t>Supplementary Table S3. Sensitivity analysis using polypharmacy instead of total medication count in the fully adjusted models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8702E4">
        <w:trPr>
          <w:tblHeader/>
          <w:jc w:val="center"/>
        </w:trPr>
        <w:tc>
          <w:tcPr>
            <w:tcW w:w="2074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Variable</w:t>
            </w:r>
          </w:p>
        </w:tc>
        <w:tc>
          <w:tcPr>
            <w:tcW w:w="2074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Anxiety OR (95% CI)</w:t>
            </w:r>
          </w:p>
        </w:tc>
        <w:tc>
          <w:tcPr>
            <w:tcW w:w="2074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p-value</w:t>
            </w:r>
          </w:p>
        </w:tc>
        <w:tc>
          <w:tcPr>
            <w:tcW w:w="2074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Depressive symptoms OR (95% CI)</w:t>
            </w:r>
          </w:p>
        </w:tc>
        <w:tc>
          <w:tcPr>
            <w:tcW w:w="2074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p-value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Age, per year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1.02 (0.97–1.08)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0.455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1.05 (1.00–1.11)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0.067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Female sex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1.11 (0.66–1.88)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0.689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1.16 (0.69–1.95)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0.582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Living alone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1.48 (0.84–2.61)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0.176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2.29 (1.30–4.05)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0.004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Low income level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1.39 (0.83–2.32)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0.209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1.43 (0.85–2.39)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0.175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Psychiatric history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2.02 (1.12–3.63)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0.019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2.85 (1.57–5.17)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0.001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Number of comorbidities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1.10 (0.89–1.36)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0.382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1.03 (0.83–1.28)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0.782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Polypharmacy (≥5 medications)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3.41 (1.90–6.12)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&lt;0.001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2.60 (1.48–4.57)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0.001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Visible skin involvement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1.73 (1.03–2.91)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0.039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1.11 (0.66–1.86)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0.696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AUC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0.719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—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0.742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—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Hosmer–Lemeshow p-value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—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0.646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—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sz w:val="16"/>
              </w:rPr>
              <w:t>0.303</w:t>
            </w:r>
          </w:p>
        </w:tc>
      </w:tr>
    </w:tbl>
    <w:p w:rsidR="008702E4" w:rsidRDefault="009B0B28">
      <w:pPr>
        <w:spacing w:before="40" w:after="120"/>
      </w:pPr>
      <w:r>
        <w:rPr>
          <w:i/>
          <w:sz w:val="16"/>
        </w:rPr>
        <w:t>OR, odds ratio; CI, confidence interval; AUC, area under the receiver operating characteristic curve. These sensitivity models contained the same covariates as the final primary models, except that total medication count was replaced by polypharmacy (≥5 medications).</w:t>
      </w:r>
    </w:p>
    <w:p w:rsidR="008702E4" w:rsidRDefault="009B0B28">
      <w:pPr>
        <w:spacing w:before="160" w:after="80"/>
      </w:pPr>
      <w:r>
        <w:rPr>
          <w:b/>
          <w:sz w:val="20"/>
        </w:rPr>
        <w:t>Supplementary Table S4. Sensitivity analysis separating non-psychotropic medication count and current psychotropic medication use in the fully adjusted models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8702E4">
        <w:trPr>
          <w:tblHeader/>
          <w:jc w:val="center"/>
        </w:trPr>
        <w:tc>
          <w:tcPr>
            <w:tcW w:w="2074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Variable</w:t>
            </w:r>
          </w:p>
        </w:tc>
        <w:tc>
          <w:tcPr>
            <w:tcW w:w="2074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Anxiety OR (95% CI)</w:t>
            </w:r>
          </w:p>
        </w:tc>
        <w:tc>
          <w:tcPr>
            <w:tcW w:w="2074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p-value</w:t>
            </w:r>
          </w:p>
        </w:tc>
        <w:tc>
          <w:tcPr>
            <w:tcW w:w="2074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Depressive symptoms OR (95% CI)</w:t>
            </w:r>
          </w:p>
        </w:tc>
        <w:tc>
          <w:tcPr>
            <w:tcW w:w="2074" w:type="dxa"/>
            <w:shd w:val="clear" w:color="auto" w:fill="D9E2F3"/>
            <w:vAlign w:val="center"/>
          </w:tcPr>
          <w:p w:rsidR="008702E4" w:rsidRDefault="009B0B28">
            <w:r>
              <w:rPr>
                <w:b/>
                <w:sz w:val="16"/>
              </w:rPr>
              <w:t>p-value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Age, per year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1.01 (0.96–1.07)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0.734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1.05 (0.99–1.11)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0.079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Female sex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1.08 (0.64–1.83)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0.772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1.14 (0.67–1.93)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0.628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Living alone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1.49 (0.84–2.64)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0.171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2.20 (1.23–3.92)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0.008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Low income level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1.39 (0.83–2.34)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0.208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1.43 (0.85–2.41)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0.178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Psychiatric history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1.78 (0.96–3.29)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0.066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2.41 (1.29–4.51)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0.006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Number of comorbidities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1.07 (0.86–1.33)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0.527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1.01 (0.81–1.26)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0.934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Non-psychotropic medication count, per medication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1.18 (1.04–1.34)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0.010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1.19 (1.05–1.35)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0.006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Visible skin involvement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1.68 (0.99–2.86)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0.055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1.12 (0.67–1.87)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0.669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Current psychotropic medication use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2.55 (1.27–5.14)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0.009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1.75 (0.88–3.47)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0.110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AUC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0.735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—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0.747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—</w:t>
            </w:r>
          </w:p>
        </w:tc>
      </w:tr>
      <w:tr w:rsidR="008702E4">
        <w:trPr>
          <w:jc w:val="center"/>
        </w:trPr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Hosmer–Lemeshow p-value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—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0.612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—</w:t>
            </w:r>
          </w:p>
        </w:tc>
        <w:tc>
          <w:tcPr>
            <w:tcW w:w="2074" w:type="dxa"/>
            <w:vAlign w:val="center"/>
          </w:tcPr>
          <w:p w:rsidR="008702E4" w:rsidRDefault="009B0B28">
            <w:r>
              <w:rPr>
                <w:b w:val="0"/>
                <w:sz w:val="16"/>
              </w:rPr>
              <w:t>0.284</w:t>
            </w:r>
          </w:p>
        </w:tc>
      </w:tr>
    </w:tbl>
    <w:p w:rsidR="008702E4" w:rsidRDefault="009B0B28">
      <w:pPr>
        <w:spacing w:before="40" w:after="120"/>
      </w:pPr>
      <w:r>
        <w:rPr>
          <w:i/>
          <w:sz w:val="16"/>
        </w:rPr>
        <w:t>OR, odds ratio; CI, confidence interval; AUC, area under the receiver operating characteristic curve. Models included age, sex, living arrangement, income level, psychiatric history, number of comorbidities, non-psychotropic medication count, visible skin involvement, and current psychotropic medication use. Psychotropic medications were excluded from the medication-count variable in this sensitivity analysis and modeled separately as a binary covariate. Variance inflation factors ranged from 1.04 to 1.43.</w:t>
      </w:r>
    </w:p>
    <w:sectPr w:rsidR="008702E4" w:rsidSect="00034616">
      <w:footerReference w:type="default" r:id="rId8"/>
      <w:pgSz w:w="12240" w:h="15840"/>
      <w:pgMar w:top="1008" w:right="936" w:bottom="1008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844" w:rsidRDefault="00737844">
      <w:pPr>
        <w:spacing w:after="0" w:line="240" w:lineRule="auto"/>
      </w:pPr>
      <w:r>
        <w:separator/>
      </w:r>
    </w:p>
  </w:endnote>
  <w:endnote w:type="continuationSeparator" w:id="0">
    <w:p w:rsidR="00737844" w:rsidRDefault="00737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2E4" w:rsidRDefault="009B0B28">
    <w:pPr>
      <w:pStyle w:val="Altbilgi"/>
      <w:jc w:val="center"/>
    </w:pPr>
    <w:r>
      <w:rPr>
        <w:sz w:val="16"/>
      </w:rPr>
      <w:t>Supplementary Material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844" w:rsidRDefault="00737844">
      <w:pPr>
        <w:spacing w:after="0" w:line="240" w:lineRule="auto"/>
      </w:pPr>
      <w:r>
        <w:separator/>
      </w:r>
    </w:p>
  </w:footnote>
  <w:footnote w:type="continuationSeparator" w:id="0">
    <w:p w:rsidR="00737844" w:rsidRDefault="00737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757A"/>
    <w:rsid w:val="0015074B"/>
    <w:rsid w:val="0029639D"/>
    <w:rsid w:val="00326F90"/>
    <w:rsid w:val="00737844"/>
    <w:rsid w:val="008702E4"/>
    <w:rsid w:val="009B0B28"/>
    <w:rsid w:val="00AA1D8D"/>
    <w:rsid w:val="00B47730"/>
    <w:rsid w:val="00CB0664"/>
    <w:rsid w:val="00F975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B5FE915-BC81-4EF5-A4C1-60252F336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30EF2F-2F40-4335-8499-9DB5DF951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6402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DRODA</cp:lastModifiedBy>
  <cp:revision>3</cp:revision>
  <dcterms:created xsi:type="dcterms:W3CDTF">2013-12-23T23:15:00Z</dcterms:created>
  <dcterms:modified xsi:type="dcterms:W3CDTF">2026-10-01T11:49:00Z</dcterms:modified>
  <cp:category/>
</cp:coreProperties>
</file>