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B17DA">
      <w:pPr>
        <w:spacing w:line="480" w:lineRule="auto"/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 xml:space="preserve">Hip fracture burden and projected incidence among older adults in China to 2035: a GBD 2023 modelling study with exploratory hospital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case-mix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 xml:space="preserve"> comparison</w:t>
      </w:r>
    </w:p>
    <w:p w14:paraId="15270822">
      <w:pPr>
        <w:spacing w:line="480" w:lineRule="auto"/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</w:pPr>
    </w:p>
    <w:p w14:paraId="4F881353">
      <w:pPr>
        <w:rPr>
          <w:rFonts w:hint="default" w:ascii="Times New Roman" w:hAnsi="Times New Roman" w:cs="Times New Roman" w:eastAsiaTheme="minorEastAsia"/>
          <w:b/>
          <w:bCs/>
          <w:i w:val="0"/>
          <w:iCs w:val="0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1"/>
          <w:szCs w:val="21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i w:val="0"/>
          <w:iCs w:val="0"/>
          <w:color w:val="auto"/>
          <w:sz w:val="21"/>
          <w:szCs w:val="21"/>
          <w:lang w:val="en-US" w:eastAsia="zh-CN"/>
        </w:rPr>
        <w:t xml:space="preserve">file Fig. 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1"/>
          <w:szCs w:val="21"/>
        </w:rPr>
        <w:t>1</w:t>
      </w:r>
      <w:r>
        <w:rPr>
          <w:rFonts w:hint="eastAsia" w:ascii="Times New Roman" w:hAnsi="Times New Roman" w:cs="Times New Roman"/>
          <w:b/>
          <w:bCs/>
          <w:i w:val="0"/>
          <w:iCs w:val="0"/>
          <w:color w:val="auto"/>
          <w:sz w:val="21"/>
          <w:szCs w:val="21"/>
          <w:lang w:val="en-US" w:eastAsia="zh-CN"/>
        </w:rPr>
        <w:t>. Study design flowchart</w:t>
      </w:r>
    </w:p>
    <w:p w14:paraId="4A7A79DC">
      <w:pPr>
        <w:rPr>
          <w:rFonts w:hint="eastAsia" w:ascii="Times New Roman" w:hAnsi="Times New Roman" w:cs="Times New Roman" w:eastAsiaTheme="minorEastAsia"/>
          <w:b/>
          <w:bCs/>
          <w:i w:val="0"/>
          <w:iCs w:val="0"/>
          <w:color w:val="auto"/>
          <w:sz w:val="21"/>
          <w:szCs w:val="21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i w:val="0"/>
          <w:iCs w:val="0"/>
          <w:color w:val="auto"/>
          <w:sz w:val="21"/>
          <w:szCs w:val="21"/>
          <w:lang w:eastAsia="zh-CN"/>
        </w:rPr>
        <w:drawing>
          <wp:inline distT="0" distB="0" distL="114300" distR="114300">
            <wp:extent cx="4192270" cy="4305300"/>
            <wp:effectExtent l="0" t="0" r="0" b="0"/>
            <wp:docPr id="2" name="E657119C-6982-421D-8BA7-E74DEB70A7D9-1" descr="C:/Users/35558/AppData/Roaming/Kingsoft/wps/addons/data/win-i386/kinsertprocesson/insertimage.oxOvUKinsert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657119C-6982-421D-8BA7-E74DEB70A7D9-1" descr="C:/Users/35558/AppData/Roaming/Kingsoft/wps/addons/data/win-i386/kinsertprocesson/insertimage.oxOvUKinsertimag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9227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B758C">
      <w:pPr>
        <w:rPr>
          <w:rFonts w:hint="eastAsia" w:ascii="Times New Roman" w:hAnsi="Times New Roman" w:cs="Times New Roman" w:eastAsiaTheme="minorEastAsia"/>
          <w:b/>
          <w:bCs/>
          <w:i w:val="0"/>
          <w:iCs w:val="0"/>
          <w:color w:val="auto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i/>
          <w:iCs/>
          <w:caps w:val="0"/>
          <w:color w:val="000000"/>
          <w:spacing w:val="0"/>
          <w:sz w:val="19"/>
          <w:szCs w:val="19"/>
          <w:shd w:val="clear" w:fill="FFFFFF"/>
        </w:rPr>
        <w:t xml:space="preserve">GBD modelling and hospital </w:t>
      </w:r>
      <w:r>
        <w:rPr>
          <w:rFonts w:hint="eastAsia" w:ascii="Times New Roman" w:hAnsi="Times New Roman" w:eastAsia="宋体" w:cs="Times New Roman"/>
          <w:i/>
          <w:iCs/>
          <w:caps w:val="0"/>
          <w:color w:val="000000"/>
          <w:spacing w:val="0"/>
          <w:sz w:val="19"/>
          <w:szCs w:val="19"/>
          <w:shd w:val="clear" w:fill="FFFFFF"/>
          <w:lang w:eastAsia="zh-CN"/>
        </w:rPr>
        <w:t>case-mix</w:t>
      </w:r>
      <w:r>
        <w:rPr>
          <w:rFonts w:hint="default" w:ascii="Times New Roman" w:hAnsi="Times New Roman" w:eastAsia="宋体" w:cs="Times New Roman"/>
          <w:i/>
          <w:iCs/>
          <w:caps w:val="0"/>
          <w:color w:val="000000"/>
          <w:spacing w:val="0"/>
          <w:sz w:val="19"/>
          <w:szCs w:val="19"/>
          <w:shd w:val="clear" w:fill="FFFFFF"/>
        </w:rPr>
        <w:t xml:space="preserve"> analyses were conducted separately and integrated at the interpretation stage; hospital data were not used for model fitting or selection.</w:t>
      </w:r>
    </w:p>
    <w:p w14:paraId="69F11D74">
      <w:pP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i w:val="0"/>
          <w:iCs w:val="0"/>
          <w:color w:val="auto"/>
          <w:sz w:val="21"/>
          <w:szCs w:val="21"/>
          <w:lang w:val="en-US" w:eastAsia="zh-CN"/>
        </w:rPr>
        <w:t xml:space="preserve">file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Table 1. Clinical correspondence used to align the GBD hip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fracture category and hospital case definition.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5"/>
        <w:gridCol w:w="2968"/>
        <w:gridCol w:w="2986"/>
      </w:tblGrid>
      <w:tr w14:paraId="65A8F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5" w:type="dxa"/>
            <w:vAlign w:val="center"/>
          </w:tcPr>
          <w:p w14:paraId="28673A2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7"/>
                <w:szCs w:val="17"/>
              </w:rPr>
              <w:t>Component</w:t>
            </w:r>
          </w:p>
        </w:tc>
        <w:tc>
          <w:tcPr>
            <w:tcW w:w="2968" w:type="dxa"/>
            <w:vAlign w:val="center"/>
          </w:tcPr>
          <w:p w14:paraId="3A2C26B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7"/>
                <w:szCs w:val="17"/>
              </w:rPr>
              <w:t>Clinical/ICD-10 correspondence</w:t>
            </w:r>
          </w:p>
        </w:tc>
        <w:tc>
          <w:tcPr>
            <w:tcW w:w="2986" w:type="dxa"/>
            <w:vAlign w:val="center"/>
          </w:tcPr>
          <w:p w14:paraId="0E222A1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7"/>
                <w:szCs w:val="17"/>
              </w:rPr>
              <w:t>Use in this study</w:t>
            </w:r>
          </w:p>
        </w:tc>
      </w:tr>
      <w:tr w14:paraId="29F8F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5" w:type="dxa"/>
            <w:vAlign w:val="center"/>
          </w:tcPr>
          <w:p w14:paraId="4807246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7"/>
                <w:szCs w:val="17"/>
              </w:rPr>
              <w:t>Femoral neck fracture</w:t>
            </w:r>
          </w:p>
        </w:tc>
        <w:tc>
          <w:tcPr>
            <w:tcW w:w="2968" w:type="dxa"/>
            <w:vAlign w:val="center"/>
          </w:tcPr>
          <w:p w14:paraId="07E73A3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7"/>
                <w:szCs w:val="17"/>
              </w:rPr>
              <w:t>S72.0</w:t>
            </w:r>
          </w:p>
        </w:tc>
        <w:tc>
          <w:tcPr>
            <w:tcW w:w="2986" w:type="dxa"/>
            <w:vAlign w:val="center"/>
          </w:tcPr>
          <w:p w14:paraId="15A2AC2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7"/>
                <w:szCs w:val="17"/>
              </w:rPr>
              <w:t>Included</w:t>
            </w:r>
          </w:p>
        </w:tc>
      </w:tr>
      <w:tr w14:paraId="1E9F7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5" w:type="dxa"/>
            <w:vAlign w:val="center"/>
          </w:tcPr>
          <w:p w14:paraId="0CA9BEF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7"/>
                <w:szCs w:val="17"/>
              </w:rPr>
              <w:t>Pertrochanteric/intertrochanteric fracture</w:t>
            </w:r>
          </w:p>
        </w:tc>
        <w:tc>
          <w:tcPr>
            <w:tcW w:w="2968" w:type="dxa"/>
            <w:vAlign w:val="center"/>
          </w:tcPr>
          <w:p w14:paraId="09D124C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7"/>
                <w:szCs w:val="17"/>
              </w:rPr>
              <w:t>S72.1</w:t>
            </w:r>
          </w:p>
        </w:tc>
        <w:tc>
          <w:tcPr>
            <w:tcW w:w="2986" w:type="dxa"/>
            <w:vAlign w:val="center"/>
          </w:tcPr>
          <w:p w14:paraId="11EF483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7"/>
                <w:szCs w:val="17"/>
              </w:rPr>
              <w:t>Included</w:t>
            </w:r>
          </w:p>
        </w:tc>
      </w:tr>
      <w:tr w14:paraId="6E8E5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5" w:type="dxa"/>
            <w:vAlign w:val="center"/>
          </w:tcPr>
          <w:p w14:paraId="17FC180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7"/>
                <w:szCs w:val="17"/>
              </w:rPr>
              <w:t>Subtrochanteric fracture</w:t>
            </w:r>
          </w:p>
        </w:tc>
        <w:tc>
          <w:tcPr>
            <w:tcW w:w="2968" w:type="dxa"/>
            <w:vAlign w:val="center"/>
          </w:tcPr>
          <w:p w14:paraId="6199A4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7"/>
                <w:szCs w:val="17"/>
              </w:rPr>
              <w:t>S72.2</w:t>
            </w:r>
          </w:p>
        </w:tc>
        <w:tc>
          <w:tcPr>
            <w:tcW w:w="2986" w:type="dxa"/>
            <w:vAlign w:val="center"/>
          </w:tcPr>
          <w:p w14:paraId="2E5836A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7"/>
                <w:szCs w:val="17"/>
              </w:rPr>
              <w:t>Included</w:t>
            </w:r>
          </w:p>
        </w:tc>
      </w:tr>
      <w:tr w14:paraId="4BF6F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5" w:type="dxa"/>
            <w:vAlign w:val="center"/>
          </w:tcPr>
          <w:p w14:paraId="52916A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7"/>
                <w:szCs w:val="17"/>
              </w:rPr>
              <w:t>Other non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7"/>
                <w:szCs w:val="17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7"/>
                <w:szCs w:val="17"/>
              </w:rPr>
              <w:t>proximal or non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7"/>
                <w:szCs w:val="17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7"/>
                <w:szCs w:val="17"/>
              </w:rPr>
              <w:t>target fractures</w:t>
            </w:r>
          </w:p>
        </w:tc>
        <w:tc>
          <w:tcPr>
            <w:tcW w:w="2968" w:type="dxa"/>
            <w:vAlign w:val="center"/>
          </w:tcPr>
          <w:p w14:paraId="6F7B59B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7"/>
                <w:szCs w:val="17"/>
              </w:rPr>
              <w:t>Acetabular/pelvic, femoral shaft/distal femur, pathological/periprosthetic and other prespecified exclusions</w:t>
            </w:r>
          </w:p>
        </w:tc>
        <w:tc>
          <w:tcPr>
            <w:tcW w:w="2986" w:type="dxa"/>
            <w:vAlign w:val="center"/>
          </w:tcPr>
          <w:p w14:paraId="09978D7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7"/>
                <w:szCs w:val="17"/>
              </w:rPr>
              <w:t>Excluded from hospital cohort</w:t>
            </w:r>
          </w:p>
        </w:tc>
      </w:tr>
    </w:tbl>
    <w:p w14:paraId="16B5C56D">
      <w:pP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r>
        <w:rPr>
          <w:rFonts w:hint="default" w:ascii="Times New Roman" w:hAnsi="Times New Roman" w:eastAsia="宋体" w:cs="Times New Roman"/>
          <w:i/>
          <w:iCs/>
          <w:caps w:val="0"/>
          <w:color w:val="000000"/>
          <w:spacing w:val="0"/>
          <w:sz w:val="22"/>
          <w:szCs w:val="22"/>
          <w:shd w:val="clear" w:fill="FFFFFF"/>
        </w:rPr>
        <w:t>Note: ICD-10 labels are provided as clinical coding correspondence for harmonization. GBD estimates were extracted directly from the GBD 2023 Results Tool and were not reconstructed from the hospital ICD-coded records.</w:t>
      </w:r>
    </w:p>
    <w:p w14:paraId="23D10AF2"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file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Table 2. Candidate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model performance across temporal evaluation horizons.</w:t>
      </w:r>
    </w:p>
    <w:p w14:paraId="1720FDF3"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 xml:space="preserve">A.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  <w:lang w:eastAsia="zh-CN"/>
        </w:rPr>
        <w:t>held-out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 xml:space="preserve"> GBD temporal evaluation, 2016-2020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5"/>
        <w:gridCol w:w="1889"/>
        <w:gridCol w:w="2076"/>
        <w:gridCol w:w="2303"/>
        <w:gridCol w:w="719"/>
      </w:tblGrid>
      <w:tr w14:paraId="7053D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  <w:vAlign w:val="bottom"/>
          </w:tcPr>
          <w:p w14:paraId="4DC9F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</w:t>
            </w:r>
          </w:p>
        </w:tc>
        <w:tc>
          <w:tcPr>
            <w:tcW w:w="1889" w:type="dxa"/>
            <w:vAlign w:val="bottom"/>
          </w:tcPr>
          <w:p w14:paraId="4C7CF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MAE</w:t>
            </w:r>
          </w:p>
        </w:tc>
        <w:tc>
          <w:tcPr>
            <w:tcW w:w="2076" w:type="dxa"/>
            <w:vAlign w:val="bottom"/>
          </w:tcPr>
          <w:p w14:paraId="42E55A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RMSE</w:t>
            </w:r>
          </w:p>
        </w:tc>
        <w:tc>
          <w:tcPr>
            <w:tcW w:w="2303" w:type="dxa"/>
            <w:vAlign w:val="bottom"/>
          </w:tcPr>
          <w:p w14:paraId="36B53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MAPE</w:t>
            </w:r>
          </w:p>
        </w:tc>
        <w:tc>
          <w:tcPr>
            <w:tcW w:w="719" w:type="dxa"/>
            <w:vAlign w:val="bottom"/>
          </w:tcPr>
          <w:p w14:paraId="659843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2</w:t>
            </w:r>
          </w:p>
        </w:tc>
      </w:tr>
      <w:tr w14:paraId="0B7CD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  <w:vAlign w:val="bottom"/>
          </w:tcPr>
          <w:p w14:paraId="49EC10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log-linear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</w:t>
            </w:r>
          </w:p>
        </w:tc>
        <w:tc>
          <w:tcPr>
            <w:tcW w:w="1889" w:type="dxa"/>
            <w:vAlign w:val="bottom"/>
          </w:tcPr>
          <w:p w14:paraId="0FF35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755.93</w:t>
            </w:r>
          </w:p>
        </w:tc>
        <w:tc>
          <w:tcPr>
            <w:tcW w:w="2076" w:type="dxa"/>
            <w:vAlign w:val="bottom"/>
          </w:tcPr>
          <w:p w14:paraId="50AD9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1362.89</w:t>
            </w:r>
          </w:p>
        </w:tc>
        <w:tc>
          <w:tcPr>
            <w:tcW w:w="2303" w:type="dxa"/>
            <w:vAlign w:val="bottom"/>
          </w:tcPr>
          <w:p w14:paraId="7D065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  <w:tc>
          <w:tcPr>
            <w:tcW w:w="719" w:type="dxa"/>
            <w:vAlign w:val="bottom"/>
          </w:tcPr>
          <w:p w14:paraId="1DF7A5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0.671</w:t>
            </w:r>
          </w:p>
        </w:tc>
      </w:tr>
      <w:tr w14:paraId="388BE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  <w:vAlign w:val="bottom"/>
          </w:tcPr>
          <w:p w14:paraId="04D0D5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GAM</w:t>
            </w:r>
          </w:p>
        </w:tc>
        <w:tc>
          <w:tcPr>
            <w:tcW w:w="1889" w:type="dxa"/>
            <w:vAlign w:val="bottom"/>
          </w:tcPr>
          <w:p w14:paraId="2C4837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341.90</w:t>
            </w:r>
          </w:p>
        </w:tc>
        <w:tc>
          <w:tcPr>
            <w:tcW w:w="2076" w:type="dxa"/>
            <w:vAlign w:val="bottom"/>
          </w:tcPr>
          <w:p w14:paraId="56379B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661.64</w:t>
            </w:r>
          </w:p>
        </w:tc>
        <w:tc>
          <w:tcPr>
            <w:tcW w:w="2303" w:type="dxa"/>
            <w:vAlign w:val="bottom"/>
          </w:tcPr>
          <w:p w14:paraId="3A0D8C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  <w:tc>
          <w:tcPr>
            <w:tcW w:w="719" w:type="dxa"/>
            <w:vAlign w:val="bottom"/>
          </w:tcPr>
          <w:p w14:paraId="1377E8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0.923</w:t>
            </w:r>
          </w:p>
        </w:tc>
      </w:tr>
      <w:tr w14:paraId="02763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  <w:vAlign w:val="bottom"/>
          </w:tcPr>
          <w:p w14:paraId="55E147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GAM AR1</w:t>
            </w:r>
          </w:p>
        </w:tc>
        <w:tc>
          <w:tcPr>
            <w:tcW w:w="1889" w:type="dxa"/>
            <w:vAlign w:val="bottom"/>
          </w:tcPr>
          <w:p w14:paraId="319816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194.17</w:t>
            </w:r>
          </w:p>
        </w:tc>
        <w:tc>
          <w:tcPr>
            <w:tcW w:w="2076" w:type="dxa"/>
            <w:vAlign w:val="bottom"/>
          </w:tcPr>
          <w:p w14:paraId="4D324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338.30</w:t>
            </w:r>
          </w:p>
        </w:tc>
        <w:tc>
          <w:tcPr>
            <w:tcW w:w="2303" w:type="dxa"/>
            <w:vAlign w:val="bottom"/>
          </w:tcPr>
          <w:p w14:paraId="57D2C6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  <w:tc>
          <w:tcPr>
            <w:tcW w:w="719" w:type="dxa"/>
            <w:vAlign w:val="bottom"/>
          </w:tcPr>
          <w:p w14:paraId="79F120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0.980</w:t>
            </w:r>
          </w:p>
        </w:tc>
      </w:tr>
      <w:tr w14:paraId="7EF56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" w:type="dxa"/>
            <w:vAlign w:val="bottom"/>
          </w:tcPr>
          <w:p w14:paraId="6EF447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89" w:type="dxa"/>
            <w:vAlign w:val="bottom"/>
          </w:tcPr>
          <w:p w14:paraId="5C69E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415.43</w:t>
            </w:r>
          </w:p>
        </w:tc>
        <w:tc>
          <w:tcPr>
            <w:tcW w:w="2076" w:type="dxa"/>
            <w:vAlign w:val="bottom"/>
          </w:tcPr>
          <w:p w14:paraId="158A4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891.82</w:t>
            </w:r>
          </w:p>
        </w:tc>
        <w:tc>
          <w:tcPr>
            <w:tcW w:w="2303" w:type="dxa"/>
            <w:vAlign w:val="bottom"/>
          </w:tcPr>
          <w:p w14:paraId="39E81F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  <w:tc>
          <w:tcPr>
            <w:tcW w:w="719" w:type="dxa"/>
            <w:vAlign w:val="bottom"/>
          </w:tcPr>
          <w:p w14:paraId="5D25AD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0.859</w:t>
            </w:r>
          </w:p>
        </w:tc>
      </w:tr>
    </w:tbl>
    <w:p w14:paraId="085E0B40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2"/>
          <w:sz w:val="20"/>
          <w:szCs w:val="20"/>
          <w:shd w:val="clear" w:fill="FFFFFF"/>
          <w:lang w:val="en-US" w:eastAsia="zh-CN" w:bidi="ar-SA"/>
        </w:rPr>
        <w:t>B.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 xml:space="preserve">Later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  <w:lang w:eastAsia="zh-CN"/>
        </w:rPr>
        <w:t>held-out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 xml:space="preserve"> GBD temporal evaluation, 2021-2023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2092"/>
        <w:gridCol w:w="2303"/>
        <w:gridCol w:w="719"/>
      </w:tblGrid>
      <w:tr w14:paraId="469C1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bottom"/>
          </w:tcPr>
          <w:p w14:paraId="68FA1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</w:t>
            </w:r>
          </w:p>
        </w:tc>
        <w:tc>
          <w:tcPr>
            <w:tcW w:w="1704" w:type="dxa"/>
            <w:vAlign w:val="bottom"/>
          </w:tcPr>
          <w:p w14:paraId="2AAC81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MAE</w:t>
            </w:r>
          </w:p>
        </w:tc>
        <w:tc>
          <w:tcPr>
            <w:tcW w:w="2092" w:type="dxa"/>
            <w:vAlign w:val="bottom"/>
          </w:tcPr>
          <w:p w14:paraId="77CDB6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RMSE</w:t>
            </w:r>
          </w:p>
        </w:tc>
        <w:tc>
          <w:tcPr>
            <w:tcW w:w="2303" w:type="dxa"/>
            <w:vAlign w:val="bottom"/>
          </w:tcPr>
          <w:p w14:paraId="2EB94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MAPE</w:t>
            </w:r>
          </w:p>
        </w:tc>
        <w:tc>
          <w:tcPr>
            <w:tcW w:w="719" w:type="dxa"/>
            <w:vAlign w:val="bottom"/>
          </w:tcPr>
          <w:p w14:paraId="09FD4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2</w:t>
            </w:r>
          </w:p>
        </w:tc>
      </w:tr>
      <w:tr w14:paraId="61F1A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bottom"/>
          </w:tcPr>
          <w:p w14:paraId="50F456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log-linear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model</w:t>
            </w:r>
          </w:p>
        </w:tc>
        <w:tc>
          <w:tcPr>
            <w:tcW w:w="1704" w:type="dxa"/>
            <w:vAlign w:val="bottom"/>
          </w:tcPr>
          <w:p w14:paraId="65E4CB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599.63</w:t>
            </w:r>
          </w:p>
        </w:tc>
        <w:tc>
          <w:tcPr>
            <w:tcW w:w="2092" w:type="dxa"/>
            <w:vAlign w:val="bottom"/>
          </w:tcPr>
          <w:p w14:paraId="332353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1121.5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303" w:type="dxa"/>
            <w:vAlign w:val="bottom"/>
          </w:tcPr>
          <w:p w14:paraId="006D8F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8%</w:t>
            </w:r>
          </w:p>
        </w:tc>
        <w:tc>
          <w:tcPr>
            <w:tcW w:w="719" w:type="dxa"/>
            <w:vAlign w:val="bottom"/>
          </w:tcPr>
          <w:p w14:paraId="78858E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0.831</w:t>
            </w:r>
          </w:p>
        </w:tc>
      </w:tr>
      <w:tr w14:paraId="296F1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bottom"/>
          </w:tcPr>
          <w:p w14:paraId="24B70E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GAM</w:t>
            </w:r>
          </w:p>
        </w:tc>
        <w:tc>
          <w:tcPr>
            <w:tcW w:w="1704" w:type="dxa"/>
            <w:vAlign w:val="bottom"/>
          </w:tcPr>
          <w:p w14:paraId="21296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092" w:type="dxa"/>
            <w:vAlign w:val="bottom"/>
          </w:tcPr>
          <w:p w14:paraId="68DEB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303" w:type="dxa"/>
            <w:vAlign w:val="bottom"/>
          </w:tcPr>
          <w:p w14:paraId="37FD58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6%</w:t>
            </w:r>
          </w:p>
        </w:tc>
        <w:tc>
          <w:tcPr>
            <w:tcW w:w="719" w:type="dxa"/>
            <w:vAlign w:val="bottom"/>
          </w:tcPr>
          <w:p w14:paraId="51CB08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2C885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bottom"/>
          </w:tcPr>
          <w:p w14:paraId="1F447C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AR1</w:t>
            </w:r>
          </w:p>
        </w:tc>
        <w:tc>
          <w:tcPr>
            <w:tcW w:w="1704" w:type="dxa"/>
            <w:vAlign w:val="bottom"/>
          </w:tcPr>
          <w:p w14:paraId="29B38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301.30</w:t>
            </w:r>
          </w:p>
        </w:tc>
        <w:tc>
          <w:tcPr>
            <w:tcW w:w="2092" w:type="dxa"/>
            <w:vAlign w:val="bottom"/>
          </w:tcPr>
          <w:p w14:paraId="3A836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559.03</w:t>
            </w:r>
          </w:p>
        </w:tc>
        <w:tc>
          <w:tcPr>
            <w:tcW w:w="2303" w:type="dxa"/>
            <w:vAlign w:val="bottom"/>
          </w:tcPr>
          <w:p w14:paraId="3CECF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9%</w:t>
            </w:r>
          </w:p>
        </w:tc>
        <w:tc>
          <w:tcPr>
            <w:tcW w:w="719" w:type="dxa"/>
            <w:vAlign w:val="bottom"/>
          </w:tcPr>
          <w:p w14:paraId="1CC357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0.958</w:t>
            </w:r>
          </w:p>
        </w:tc>
      </w:tr>
      <w:tr w14:paraId="4A286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bottom"/>
          </w:tcPr>
          <w:p w14:paraId="42727D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704" w:type="dxa"/>
            <w:vAlign w:val="bottom"/>
          </w:tcPr>
          <w:p w14:paraId="5FD17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98.62</w:t>
            </w:r>
          </w:p>
        </w:tc>
        <w:tc>
          <w:tcPr>
            <w:tcW w:w="2092" w:type="dxa"/>
            <w:vAlign w:val="bottom"/>
          </w:tcPr>
          <w:p w14:paraId="582914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303" w:type="dxa"/>
            <w:vAlign w:val="bottom"/>
          </w:tcPr>
          <w:p w14:paraId="1AEDB1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  <w:tc>
          <w:tcPr>
            <w:tcW w:w="719" w:type="dxa"/>
            <w:vAlign w:val="bottom"/>
          </w:tcPr>
          <w:p w14:paraId="157D51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</w:tbl>
    <w:p w14:paraId="05097810">
      <w:pPr>
        <w:numPr>
          <w:ilvl w:val="0"/>
          <w:numId w:val="0"/>
        </w:numPr>
        <w:ind w:left="0" w:leftChars="0" w:firstLine="0" w:firstLineChars="0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2"/>
          <w:sz w:val="20"/>
          <w:szCs w:val="20"/>
          <w:shd w:val="clear" w:fill="FFFFFF"/>
          <w:lang w:val="en-US" w:eastAsia="zh-CN" w:bidi="ar-SA"/>
        </w:rPr>
        <w:t>C.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>Short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 xml:space="preserve">horizon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  <w:lang w:eastAsia="zh-CN"/>
        </w:rPr>
        <w:t>rolling-origin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 xml:space="preserve"> evaluation (1-3 years)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699"/>
        <w:gridCol w:w="2080"/>
        <w:gridCol w:w="2295"/>
        <w:gridCol w:w="759"/>
      </w:tblGrid>
      <w:tr w14:paraId="561D6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9" w:type="dxa"/>
            <w:vAlign w:val="bottom"/>
          </w:tcPr>
          <w:p w14:paraId="250F22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</w:t>
            </w:r>
          </w:p>
        </w:tc>
        <w:tc>
          <w:tcPr>
            <w:tcW w:w="1699" w:type="dxa"/>
            <w:vAlign w:val="bottom"/>
          </w:tcPr>
          <w:p w14:paraId="623D6C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MAE</w:t>
            </w:r>
          </w:p>
        </w:tc>
        <w:tc>
          <w:tcPr>
            <w:tcW w:w="2080" w:type="dxa"/>
            <w:vAlign w:val="bottom"/>
          </w:tcPr>
          <w:p w14:paraId="662DC0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RMSE</w:t>
            </w:r>
          </w:p>
        </w:tc>
        <w:tc>
          <w:tcPr>
            <w:tcW w:w="2295" w:type="dxa"/>
            <w:vAlign w:val="bottom"/>
          </w:tcPr>
          <w:p w14:paraId="581D9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MAPE</w:t>
            </w:r>
          </w:p>
        </w:tc>
        <w:tc>
          <w:tcPr>
            <w:tcW w:w="759" w:type="dxa"/>
            <w:vAlign w:val="bottom"/>
          </w:tcPr>
          <w:p w14:paraId="6B47C4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2</w:t>
            </w:r>
          </w:p>
        </w:tc>
      </w:tr>
      <w:tr w14:paraId="00DD3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9" w:type="dxa"/>
            <w:vAlign w:val="bottom"/>
          </w:tcPr>
          <w:p w14:paraId="320636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699" w:type="dxa"/>
            <w:vAlign w:val="bottom"/>
          </w:tcPr>
          <w:p w14:paraId="12AC6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108.62</w:t>
            </w:r>
          </w:p>
        </w:tc>
        <w:tc>
          <w:tcPr>
            <w:tcW w:w="2080" w:type="dxa"/>
            <w:vAlign w:val="bottom"/>
          </w:tcPr>
          <w:p w14:paraId="366599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295" w:type="dxa"/>
            <w:vAlign w:val="bottom"/>
          </w:tcPr>
          <w:p w14:paraId="407123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8%</w:t>
            </w:r>
          </w:p>
        </w:tc>
        <w:tc>
          <w:tcPr>
            <w:tcW w:w="759" w:type="dxa"/>
            <w:vAlign w:val="bottom"/>
          </w:tcPr>
          <w:p w14:paraId="191E9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0.988</w:t>
            </w:r>
          </w:p>
        </w:tc>
      </w:tr>
      <w:tr w14:paraId="38938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9" w:type="dxa"/>
            <w:vAlign w:val="bottom"/>
          </w:tcPr>
          <w:p w14:paraId="2C6DA8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GAM</w:t>
            </w:r>
          </w:p>
        </w:tc>
        <w:tc>
          <w:tcPr>
            <w:tcW w:w="1699" w:type="dxa"/>
            <w:vAlign w:val="bottom"/>
          </w:tcPr>
          <w:p w14:paraId="0358D6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80" w:type="dxa"/>
            <w:vAlign w:val="bottom"/>
          </w:tcPr>
          <w:p w14:paraId="5FECC8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95" w:type="dxa"/>
            <w:vAlign w:val="bottom"/>
          </w:tcPr>
          <w:p w14:paraId="5BD002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1%</w:t>
            </w:r>
          </w:p>
        </w:tc>
        <w:tc>
          <w:tcPr>
            <w:tcW w:w="759" w:type="dxa"/>
            <w:vAlign w:val="bottom"/>
          </w:tcPr>
          <w:p w14:paraId="6C847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0.972</w:t>
            </w:r>
          </w:p>
        </w:tc>
      </w:tr>
      <w:tr w14:paraId="77112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9" w:type="dxa"/>
            <w:vAlign w:val="bottom"/>
          </w:tcPr>
          <w:p w14:paraId="75EC7D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GAM AR1</w:t>
            </w:r>
          </w:p>
        </w:tc>
        <w:tc>
          <w:tcPr>
            <w:tcW w:w="1699" w:type="dxa"/>
            <w:vAlign w:val="bottom"/>
          </w:tcPr>
          <w:p w14:paraId="21FDA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80" w:type="dxa"/>
            <w:vAlign w:val="bottom"/>
          </w:tcPr>
          <w:p w14:paraId="29C73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339.52</w:t>
            </w:r>
          </w:p>
        </w:tc>
        <w:tc>
          <w:tcPr>
            <w:tcW w:w="2295" w:type="dxa"/>
            <w:vAlign w:val="bottom"/>
          </w:tcPr>
          <w:p w14:paraId="2A68AC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4%</w:t>
            </w:r>
          </w:p>
        </w:tc>
        <w:tc>
          <w:tcPr>
            <w:tcW w:w="759" w:type="dxa"/>
            <w:vAlign w:val="bottom"/>
          </w:tcPr>
          <w:p w14:paraId="3ADBF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0.981</w:t>
            </w:r>
          </w:p>
        </w:tc>
      </w:tr>
      <w:tr w14:paraId="1C0C5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9" w:type="dxa"/>
            <w:vAlign w:val="bottom"/>
          </w:tcPr>
          <w:p w14:paraId="409861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log-linear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model</w:t>
            </w:r>
          </w:p>
        </w:tc>
        <w:tc>
          <w:tcPr>
            <w:tcW w:w="1699" w:type="dxa"/>
            <w:vAlign w:val="bottom"/>
          </w:tcPr>
          <w:p w14:paraId="3AB72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675.51</w:t>
            </w:r>
          </w:p>
        </w:tc>
        <w:tc>
          <w:tcPr>
            <w:tcW w:w="2080" w:type="dxa"/>
            <w:vAlign w:val="bottom"/>
          </w:tcPr>
          <w:p w14:paraId="393B9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1220.5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95" w:type="dxa"/>
            <w:vAlign w:val="bottom"/>
          </w:tcPr>
          <w:p w14:paraId="6E0AB5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  <w:tc>
          <w:tcPr>
            <w:tcW w:w="759" w:type="dxa"/>
            <w:vAlign w:val="bottom"/>
          </w:tcPr>
          <w:p w14:paraId="53693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0.760</w:t>
            </w:r>
          </w:p>
        </w:tc>
      </w:tr>
    </w:tbl>
    <w:p w14:paraId="0ABA5FB8">
      <w:pPr>
        <w:numPr>
          <w:ilvl w:val="0"/>
          <w:numId w:val="0"/>
        </w:numPr>
        <w:ind w:left="0" w:leftChars="0" w:firstLine="0" w:firstLineChars="0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2"/>
          <w:sz w:val="20"/>
          <w:szCs w:val="20"/>
          <w:shd w:val="clear" w:fill="FFFFFF"/>
          <w:lang w:val="en-US" w:eastAsia="zh-CN" w:bidi="ar-SA"/>
        </w:rPr>
        <w:t>D.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>Long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 xml:space="preserve">horizon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  <w:lang w:eastAsia="zh-CN"/>
        </w:rPr>
        <w:t>rolling-origin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 xml:space="preserve"> evaluation (5-10 years)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703"/>
        <w:gridCol w:w="1704"/>
        <w:gridCol w:w="2653"/>
        <w:gridCol w:w="755"/>
      </w:tblGrid>
      <w:tr w14:paraId="7C5C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bottom"/>
          </w:tcPr>
          <w:p w14:paraId="0A3A4A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</w:t>
            </w:r>
          </w:p>
        </w:tc>
        <w:tc>
          <w:tcPr>
            <w:tcW w:w="1703" w:type="dxa"/>
            <w:vAlign w:val="bottom"/>
          </w:tcPr>
          <w:p w14:paraId="43017B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MAE</w:t>
            </w:r>
          </w:p>
        </w:tc>
        <w:tc>
          <w:tcPr>
            <w:tcW w:w="1704" w:type="dxa"/>
            <w:vAlign w:val="bottom"/>
          </w:tcPr>
          <w:p w14:paraId="0DD13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RMSE</w:t>
            </w:r>
          </w:p>
        </w:tc>
        <w:tc>
          <w:tcPr>
            <w:tcW w:w="2653" w:type="dxa"/>
            <w:vAlign w:val="bottom"/>
          </w:tcPr>
          <w:p w14:paraId="690C4E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MAPE</w:t>
            </w:r>
          </w:p>
        </w:tc>
        <w:tc>
          <w:tcPr>
            <w:tcW w:w="755" w:type="dxa"/>
            <w:vAlign w:val="bottom"/>
          </w:tcPr>
          <w:p w14:paraId="57F49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2</w:t>
            </w:r>
          </w:p>
        </w:tc>
      </w:tr>
      <w:tr w14:paraId="61163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bottom"/>
          </w:tcPr>
          <w:p w14:paraId="71C765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703" w:type="dxa"/>
            <w:vAlign w:val="bottom"/>
          </w:tcPr>
          <w:p w14:paraId="420426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04" w:type="dxa"/>
            <w:vAlign w:val="bottom"/>
          </w:tcPr>
          <w:p w14:paraId="6E032F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653" w:type="dxa"/>
            <w:vAlign w:val="bottom"/>
          </w:tcPr>
          <w:p w14:paraId="60016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8%</w:t>
            </w:r>
          </w:p>
        </w:tc>
        <w:tc>
          <w:tcPr>
            <w:tcW w:w="755" w:type="dxa"/>
            <w:vAlign w:val="bottom"/>
          </w:tcPr>
          <w:p w14:paraId="790FD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0.691</w:t>
            </w:r>
          </w:p>
        </w:tc>
      </w:tr>
      <w:tr w14:paraId="1EF47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bottom"/>
          </w:tcPr>
          <w:p w14:paraId="0DE03D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GAM</w:t>
            </w:r>
          </w:p>
        </w:tc>
        <w:tc>
          <w:tcPr>
            <w:tcW w:w="1703" w:type="dxa"/>
            <w:vAlign w:val="bottom"/>
          </w:tcPr>
          <w:p w14:paraId="589421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480.14</w:t>
            </w:r>
          </w:p>
        </w:tc>
        <w:tc>
          <w:tcPr>
            <w:tcW w:w="1704" w:type="dxa"/>
            <w:vAlign w:val="bottom"/>
          </w:tcPr>
          <w:p w14:paraId="7BE7CE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820.30</w:t>
            </w:r>
          </w:p>
        </w:tc>
        <w:tc>
          <w:tcPr>
            <w:tcW w:w="2653" w:type="dxa"/>
            <w:vAlign w:val="bottom"/>
          </w:tcPr>
          <w:p w14:paraId="024080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26.39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  <w:tc>
          <w:tcPr>
            <w:tcW w:w="755" w:type="dxa"/>
            <w:vAlign w:val="bottom"/>
          </w:tcPr>
          <w:p w14:paraId="37E5A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0.889</w:t>
            </w:r>
          </w:p>
        </w:tc>
      </w:tr>
      <w:tr w14:paraId="0EFF9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bottom"/>
          </w:tcPr>
          <w:p w14:paraId="05E540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GAM AR1</w:t>
            </w:r>
          </w:p>
        </w:tc>
        <w:tc>
          <w:tcPr>
            <w:tcW w:w="1703" w:type="dxa"/>
            <w:vAlign w:val="bottom"/>
          </w:tcPr>
          <w:p w14:paraId="39BB59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525.15</w:t>
            </w:r>
          </w:p>
        </w:tc>
        <w:tc>
          <w:tcPr>
            <w:tcW w:w="1704" w:type="dxa"/>
            <w:vAlign w:val="bottom"/>
          </w:tcPr>
          <w:p w14:paraId="788A38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653" w:type="dxa"/>
            <w:vAlign w:val="bottom"/>
          </w:tcPr>
          <w:p w14:paraId="726BDA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25.91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  <w:tc>
          <w:tcPr>
            <w:tcW w:w="755" w:type="dxa"/>
            <w:vAlign w:val="bottom"/>
          </w:tcPr>
          <w:p w14:paraId="6F6D05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0.872</w:t>
            </w:r>
          </w:p>
        </w:tc>
      </w:tr>
      <w:tr w14:paraId="65FED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bottom"/>
          </w:tcPr>
          <w:p w14:paraId="433A99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log-linear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model</w:t>
            </w:r>
          </w:p>
        </w:tc>
        <w:tc>
          <w:tcPr>
            <w:tcW w:w="1703" w:type="dxa"/>
            <w:vAlign w:val="bottom"/>
          </w:tcPr>
          <w:p w14:paraId="378F5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04" w:type="dxa"/>
            <w:vAlign w:val="bottom"/>
          </w:tcPr>
          <w:p w14:paraId="00C1C7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1611.4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53" w:type="dxa"/>
            <w:vAlign w:val="bottom"/>
          </w:tcPr>
          <w:p w14:paraId="556EF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5%</w:t>
            </w:r>
          </w:p>
        </w:tc>
        <w:tc>
          <w:tcPr>
            <w:tcW w:w="755" w:type="dxa"/>
            <w:vAlign w:val="bottom"/>
          </w:tcPr>
          <w:p w14:paraId="5855F8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0.572</w:t>
            </w:r>
          </w:p>
        </w:tc>
      </w:tr>
    </w:tbl>
    <w:p w14:paraId="13A36DCF">
      <w:pPr>
        <w:numPr>
          <w:ilvl w:val="0"/>
          <w:numId w:val="0"/>
        </w:numPr>
        <w:ind w:left="0" w:leftChars="0" w:firstLine="0" w:firstLineChars="0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2"/>
          <w:sz w:val="20"/>
          <w:szCs w:val="20"/>
          <w:shd w:val="clear" w:fill="FFFFFF"/>
          <w:lang w:val="en-US" w:eastAsia="zh-CN" w:bidi="ar-SA"/>
        </w:rPr>
        <w:t>E.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>Long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 xml:space="preserve">horizon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  <w:lang w:eastAsia="zh-CN"/>
        </w:rPr>
        <w:t>rolling-origin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 xml:space="preserve"> evaluation among adults aged ≥80 years (5-10 years)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703"/>
        <w:gridCol w:w="1704"/>
        <w:gridCol w:w="2653"/>
        <w:gridCol w:w="755"/>
      </w:tblGrid>
      <w:tr w14:paraId="0A5D1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bottom"/>
          </w:tcPr>
          <w:p w14:paraId="2AE66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</w:t>
            </w:r>
          </w:p>
        </w:tc>
        <w:tc>
          <w:tcPr>
            <w:tcW w:w="1703" w:type="dxa"/>
            <w:vAlign w:val="bottom"/>
          </w:tcPr>
          <w:p w14:paraId="7D16F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MAE</w:t>
            </w:r>
          </w:p>
        </w:tc>
        <w:tc>
          <w:tcPr>
            <w:tcW w:w="1704" w:type="dxa"/>
            <w:vAlign w:val="bottom"/>
          </w:tcPr>
          <w:p w14:paraId="74F3B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RMSE</w:t>
            </w:r>
          </w:p>
        </w:tc>
        <w:tc>
          <w:tcPr>
            <w:tcW w:w="2653" w:type="dxa"/>
            <w:vAlign w:val="bottom"/>
          </w:tcPr>
          <w:p w14:paraId="00E8FC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MAPE</w:t>
            </w:r>
          </w:p>
        </w:tc>
        <w:tc>
          <w:tcPr>
            <w:tcW w:w="755" w:type="dxa"/>
            <w:vAlign w:val="bottom"/>
          </w:tcPr>
          <w:p w14:paraId="1074D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2</w:t>
            </w:r>
          </w:p>
        </w:tc>
      </w:tr>
      <w:tr w14:paraId="551AB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bottom"/>
          </w:tcPr>
          <w:p w14:paraId="7DDD9F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703" w:type="dxa"/>
            <w:vAlign w:val="bottom"/>
          </w:tcPr>
          <w:p w14:paraId="6CFBC1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1421.53</w:t>
            </w:r>
          </w:p>
        </w:tc>
        <w:tc>
          <w:tcPr>
            <w:tcW w:w="1704" w:type="dxa"/>
            <w:vAlign w:val="bottom"/>
          </w:tcPr>
          <w:p w14:paraId="68728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1929.62</w:t>
            </w:r>
          </w:p>
        </w:tc>
        <w:tc>
          <w:tcPr>
            <w:tcW w:w="2653" w:type="dxa"/>
            <w:vAlign w:val="bottom"/>
          </w:tcPr>
          <w:p w14:paraId="63F1D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  <w:tc>
          <w:tcPr>
            <w:tcW w:w="755" w:type="dxa"/>
            <w:vAlign w:val="bottom"/>
          </w:tcPr>
          <w:p w14:paraId="6A6FC6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 w14:paraId="400CC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bottom"/>
          </w:tcPr>
          <w:p w14:paraId="09AB0D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GAM</w:t>
            </w:r>
          </w:p>
        </w:tc>
        <w:tc>
          <w:tcPr>
            <w:tcW w:w="1703" w:type="dxa"/>
            <w:vAlign w:val="bottom"/>
          </w:tcPr>
          <w:p w14:paraId="3981A0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682.90</w:t>
            </w:r>
          </w:p>
        </w:tc>
        <w:tc>
          <w:tcPr>
            <w:tcW w:w="1704" w:type="dxa"/>
            <w:vAlign w:val="bottom"/>
          </w:tcPr>
          <w:p w14:paraId="7F7761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1118.8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653" w:type="dxa"/>
            <w:vAlign w:val="bottom"/>
          </w:tcPr>
          <w:p w14:paraId="0A6F4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6%</w:t>
            </w:r>
          </w:p>
        </w:tc>
        <w:tc>
          <w:tcPr>
            <w:tcW w:w="755" w:type="dxa"/>
            <w:vAlign w:val="bottom"/>
          </w:tcPr>
          <w:p w14:paraId="22FF5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3764A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bottom"/>
          </w:tcPr>
          <w:p w14:paraId="476511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AR1</w:t>
            </w:r>
          </w:p>
        </w:tc>
        <w:tc>
          <w:tcPr>
            <w:tcW w:w="1703" w:type="dxa"/>
            <w:vAlign w:val="bottom"/>
          </w:tcPr>
          <w:p w14:paraId="3F3A0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04" w:type="dxa"/>
            <w:vAlign w:val="bottom"/>
          </w:tcPr>
          <w:p w14:paraId="6F2DCA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653" w:type="dxa"/>
            <w:vAlign w:val="bottom"/>
          </w:tcPr>
          <w:p w14:paraId="0D57DF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20%</w:t>
            </w:r>
          </w:p>
        </w:tc>
        <w:tc>
          <w:tcPr>
            <w:tcW w:w="755" w:type="dxa"/>
            <w:vAlign w:val="bottom"/>
          </w:tcPr>
          <w:p w14:paraId="08B7B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 w14:paraId="2B964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vAlign w:val="bottom"/>
          </w:tcPr>
          <w:p w14:paraId="4A697B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log-linear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model</w:t>
            </w:r>
          </w:p>
        </w:tc>
        <w:tc>
          <w:tcPr>
            <w:tcW w:w="1703" w:type="dxa"/>
            <w:vAlign w:val="bottom"/>
          </w:tcPr>
          <w:p w14:paraId="3D7F1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4" w:type="dxa"/>
            <w:vAlign w:val="bottom"/>
          </w:tcPr>
          <w:p w14:paraId="27252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2274.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653" w:type="dxa"/>
            <w:vAlign w:val="bottom"/>
          </w:tcPr>
          <w:p w14:paraId="314728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34.51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  <w:tc>
          <w:tcPr>
            <w:tcW w:w="755" w:type="dxa"/>
            <w:vAlign w:val="bottom"/>
          </w:tcPr>
          <w:p w14:paraId="782EF2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0.081</w:t>
            </w:r>
          </w:p>
        </w:tc>
      </w:tr>
    </w:tbl>
    <w:p w14:paraId="56BEDAAF">
      <w:pPr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b w:val="0"/>
          <w:bCs w:val="0"/>
          <w:i/>
          <w:iCs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宋体" w:cs="Times New Roman"/>
          <w:b w:val="0"/>
          <w:bCs w:val="0"/>
          <w:i/>
          <w:iCs/>
          <w:caps w:val="0"/>
          <w:color w:val="000000"/>
          <w:spacing w:val="0"/>
          <w:sz w:val="21"/>
          <w:szCs w:val="21"/>
          <w:shd w:val="clear" w:fill="FFFFFF"/>
        </w:rPr>
        <w:t>Model selection prioritized long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aps w:val="0"/>
          <w:color w:val="000000"/>
          <w:spacing w:val="0"/>
          <w:sz w:val="21"/>
          <w:szCs w:val="21"/>
          <w:shd w:val="clear" w:fill="FFFFFF"/>
        </w:rPr>
        <w:t>horizon RMSE and then long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aps w:val="0"/>
          <w:color w:val="000000"/>
          <w:spacing w:val="0"/>
          <w:sz w:val="21"/>
          <w:szCs w:val="21"/>
          <w:shd w:val="clear" w:fill="FFFFFF"/>
        </w:rPr>
        <w:t>horizon RMSE in adults aged ≥80 years because projection through 2035 was the principal planning objective. GAM was selected.</w:t>
      </w:r>
    </w:p>
    <w:p w14:paraId="1B92165A">
      <w:pPr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file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Table 3. GAM specification and residual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structure sensitivity analyses.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29CB6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3E5C7C1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Analysis</w:t>
            </w:r>
          </w:p>
        </w:tc>
        <w:tc>
          <w:tcPr>
            <w:tcW w:w="4261" w:type="dxa"/>
            <w:vAlign w:val="center"/>
          </w:tcPr>
          <w:p w14:paraId="304DF6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Key result</w:t>
            </w:r>
          </w:p>
        </w:tc>
      </w:tr>
      <w:tr w14:paraId="491DA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2201BF4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Selected GAM</w:t>
            </w:r>
          </w:p>
        </w:tc>
        <w:tc>
          <w:tcPr>
            <w:tcW w:w="4261" w:type="dxa"/>
            <w:vAlign w:val="center"/>
          </w:tcPr>
          <w:p w14:paraId="12A3FA6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 xml:space="preserve">sex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lang w:val="en-US" w:eastAsia="zh-CN"/>
              </w:rPr>
              <w:t>×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 xml:space="preserve"> age + overall year smooth (k=7) + sex-specific sum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to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zero temporal deviations (k=6) + age-specific sum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to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zero temporal deviations (k=6); REML, gamma=1.4, select=TRUE</w:t>
            </w:r>
          </w:p>
        </w:tc>
      </w:tr>
      <w:tr w14:paraId="4E3E5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6FC9B31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Final GAM k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check: overall year smooth</w:t>
            </w:r>
          </w:p>
        </w:tc>
        <w:tc>
          <w:tcPr>
            <w:tcW w:w="4261" w:type="dxa"/>
            <w:vAlign w:val="center"/>
          </w:tcPr>
          <w:p w14:paraId="70C5D3B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EDF=5.95; k-index=0.261; P&lt;0.001</w:t>
            </w:r>
          </w:p>
        </w:tc>
      </w:tr>
      <w:tr w14:paraId="3C1C1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78CE2BF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GAM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AR1 sensitivity: estimated rho</w:t>
            </w:r>
          </w:p>
        </w:tc>
        <w:tc>
          <w:tcPr>
            <w:tcW w:w="4261" w:type="dxa"/>
            <w:vAlign w:val="center"/>
          </w:tcPr>
          <w:p w14:paraId="6831EFD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0.924</w:t>
            </w:r>
          </w:p>
        </w:tc>
      </w:tr>
      <w:tr w14:paraId="219AB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6642742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GAM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AR1 sensitivity: median absolute lag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1 residual correlation</w:t>
            </w:r>
          </w:p>
        </w:tc>
        <w:tc>
          <w:tcPr>
            <w:tcW w:w="4261" w:type="dxa"/>
            <w:vAlign w:val="center"/>
          </w:tcPr>
          <w:p w14:paraId="197E965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Initial 0.924; AR(1)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standardized 0.604</w:t>
            </w:r>
          </w:p>
        </w:tc>
      </w:tr>
      <w:tr w14:paraId="3C755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2837F3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GAM-AR1 sensitivity: Ljung-Box summary</w:t>
            </w:r>
          </w:p>
        </w:tc>
        <w:tc>
          <w:tcPr>
            <w:tcW w:w="4261" w:type="dxa"/>
            <w:vAlign w:val="center"/>
          </w:tcPr>
          <w:p w14:paraId="69934FA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Minimum P=2.03e-06; proportion P&gt;0.05=0.125</w:t>
            </w:r>
          </w:p>
        </w:tc>
      </w:tr>
    </w:tbl>
    <w:p w14:paraId="285581F5">
      <w:pPr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>Basis-dimension sensitivity: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5700D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383FFF0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k overall</w:t>
            </w:r>
          </w:p>
        </w:tc>
        <w:tc>
          <w:tcPr>
            <w:tcW w:w="1420" w:type="dxa"/>
            <w:vAlign w:val="center"/>
          </w:tcPr>
          <w:p w14:paraId="4907F77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k deviations</w:t>
            </w:r>
          </w:p>
        </w:tc>
        <w:tc>
          <w:tcPr>
            <w:tcW w:w="1420" w:type="dxa"/>
            <w:vAlign w:val="center"/>
          </w:tcPr>
          <w:p w14:paraId="3B8DF5F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rho</w:t>
            </w:r>
          </w:p>
        </w:tc>
        <w:tc>
          <w:tcPr>
            <w:tcW w:w="1420" w:type="dxa"/>
            <w:vAlign w:val="center"/>
          </w:tcPr>
          <w:p w14:paraId="180662F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AIC</w:t>
            </w:r>
          </w:p>
        </w:tc>
        <w:tc>
          <w:tcPr>
            <w:tcW w:w="1421" w:type="dxa"/>
            <w:vAlign w:val="center"/>
          </w:tcPr>
          <w:p w14:paraId="2043A7F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Deviance explained</w:t>
            </w:r>
          </w:p>
        </w:tc>
        <w:tc>
          <w:tcPr>
            <w:tcW w:w="1421" w:type="dxa"/>
            <w:vAlign w:val="center"/>
          </w:tcPr>
          <w:p w14:paraId="0F9FF80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 xml:space="preserve">Median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6"/>
                <w:szCs w:val="16"/>
                <w:lang w:val="en-US" w:eastAsia="zh-CN"/>
              </w:rPr>
              <w:t>[</w:t>
            </w: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lag-1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6"/>
                <w:szCs w:val="16"/>
                <w:lang w:val="en-US" w:eastAsia="zh-CN"/>
              </w:rPr>
              <w:t>]</w:t>
            </w:r>
          </w:p>
        </w:tc>
      </w:tr>
      <w:tr w14:paraId="2D463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12D228E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8</w:t>
            </w:r>
          </w:p>
        </w:tc>
        <w:tc>
          <w:tcPr>
            <w:tcW w:w="1420" w:type="dxa"/>
            <w:vAlign w:val="center"/>
          </w:tcPr>
          <w:p w14:paraId="7717251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6</w:t>
            </w:r>
          </w:p>
        </w:tc>
        <w:tc>
          <w:tcPr>
            <w:tcW w:w="1420" w:type="dxa"/>
            <w:vAlign w:val="center"/>
          </w:tcPr>
          <w:p w14:paraId="6C3D049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0.890</w:t>
            </w:r>
          </w:p>
        </w:tc>
        <w:tc>
          <w:tcPr>
            <w:tcW w:w="1420" w:type="dxa"/>
            <w:vAlign w:val="center"/>
          </w:tcPr>
          <w:p w14:paraId="294ADB0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-2605.70</w:t>
            </w:r>
          </w:p>
        </w:tc>
        <w:tc>
          <w:tcPr>
            <w:tcW w:w="1421" w:type="dxa"/>
            <w:vAlign w:val="center"/>
          </w:tcPr>
          <w:p w14:paraId="1A365E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99.76%</w:t>
            </w:r>
          </w:p>
        </w:tc>
        <w:tc>
          <w:tcPr>
            <w:tcW w:w="1421" w:type="dxa"/>
            <w:vAlign w:val="center"/>
          </w:tcPr>
          <w:p w14:paraId="61C029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0.698</w:t>
            </w:r>
          </w:p>
        </w:tc>
      </w:tr>
      <w:tr w14:paraId="6D827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6DD4F8C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10</w:t>
            </w:r>
          </w:p>
        </w:tc>
        <w:tc>
          <w:tcPr>
            <w:tcW w:w="1420" w:type="dxa"/>
            <w:vAlign w:val="center"/>
          </w:tcPr>
          <w:p w14:paraId="72296EF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8</w:t>
            </w:r>
          </w:p>
        </w:tc>
        <w:tc>
          <w:tcPr>
            <w:tcW w:w="1420" w:type="dxa"/>
            <w:vAlign w:val="center"/>
          </w:tcPr>
          <w:p w14:paraId="13DDD2A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0.924</w:t>
            </w:r>
          </w:p>
        </w:tc>
        <w:tc>
          <w:tcPr>
            <w:tcW w:w="1420" w:type="dxa"/>
            <w:vAlign w:val="center"/>
          </w:tcPr>
          <w:p w14:paraId="3771746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-2889.22</w:t>
            </w:r>
          </w:p>
        </w:tc>
        <w:tc>
          <w:tcPr>
            <w:tcW w:w="1421" w:type="dxa"/>
            <w:vAlign w:val="center"/>
          </w:tcPr>
          <w:p w14:paraId="79A834A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99.82%</w:t>
            </w:r>
          </w:p>
        </w:tc>
        <w:tc>
          <w:tcPr>
            <w:tcW w:w="1421" w:type="dxa"/>
            <w:vAlign w:val="center"/>
          </w:tcPr>
          <w:p w14:paraId="58C7E17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0.604</w:t>
            </w:r>
          </w:p>
        </w:tc>
      </w:tr>
      <w:tr w14:paraId="18676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19ACFFF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12</w:t>
            </w:r>
          </w:p>
        </w:tc>
        <w:tc>
          <w:tcPr>
            <w:tcW w:w="1420" w:type="dxa"/>
            <w:vAlign w:val="center"/>
          </w:tcPr>
          <w:p w14:paraId="68A36A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8</w:t>
            </w:r>
          </w:p>
        </w:tc>
        <w:tc>
          <w:tcPr>
            <w:tcW w:w="1420" w:type="dxa"/>
            <w:vAlign w:val="center"/>
          </w:tcPr>
          <w:p w14:paraId="318F9C0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0.924</w:t>
            </w:r>
          </w:p>
        </w:tc>
        <w:tc>
          <w:tcPr>
            <w:tcW w:w="1420" w:type="dxa"/>
            <w:vAlign w:val="center"/>
          </w:tcPr>
          <w:p w14:paraId="6E9E63B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-2929.64</w:t>
            </w:r>
          </w:p>
        </w:tc>
        <w:tc>
          <w:tcPr>
            <w:tcW w:w="1421" w:type="dxa"/>
            <w:vAlign w:val="center"/>
          </w:tcPr>
          <w:p w14:paraId="731BF4B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99.83%</w:t>
            </w:r>
          </w:p>
        </w:tc>
        <w:tc>
          <w:tcPr>
            <w:tcW w:w="1421" w:type="dxa"/>
            <w:vAlign w:val="center"/>
          </w:tcPr>
          <w:p w14:paraId="3C481AC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0.593</w:t>
            </w:r>
          </w:p>
        </w:tc>
      </w:tr>
    </w:tbl>
    <w:p w14:paraId="3271D75A">
      <w:pPr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Supplementary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file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 Table 4. ARIMA orders and residual diagnostics for the full 1990-2023 age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sex series.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4F130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4A60CC0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Sex</w:t>
            </w:r>
          </w:p>
        </w:tc>
        <w:tc>
          <w:tcPr>
            <w:tcW w:w="1217" w:type="dxa"/>
            <w:vAlign w:val="center"/>
          </w:tcPr>
          <w:p w14:paraId="5E06304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Age, years</w:t>
            </w:r>
          </w:p>
        </w:tc>
        <w:tc>
          <w:tcPr>
            <w:tcW w:w="1217" w:type="dxa"/>
            <w:vAlign w:val="center"/>
          </w:tcPr>
          <w:p w14:paraId="77C0230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p</w:t>
            </w:r>
          </w:p>
        </w:tc>
        <w:tc>
          <w:tcPr>
            <w:tcW w:w="1217" w:type="dxa"/>
            <w:vAlign w:val="center"/>
          </w:tcPr>
          <w:p w14:paraId="4EDF233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d</w:t>
            </w:r>
          </w:p>
        </w:tc>
        <w:tc>
          <w:tcPr>
            <w:tcW w:w="1218" w:type="dxa"/>
            <w:vAlign w:val="center"/>
          </w:tcPr>
          <w:p w14:paraId="0E9F0DC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q</w:t>
            </w:r>
          </w:p>
        </w:tc>
        <w:tc>
          <w:tcPr>
            <w:tcW w:w="1218" w:type="dxa"/>
            <w:vAlign w:val="center"/>
          </w:tcPr>
          <w:p w14:paraId="3365FE0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AICc</w:t>
            </w:r>
          </w:p>
        </w:tc>
        <w:tc>
          <w:tcPr>
            <w:tcW w:w="1218" w:type="dxa"/>
            <w:vAlign w:val="center"/>
          </w:tcPr>
          <w:p w14:paraId="0A8CB7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Ljung-Box P</w:t>
            </w:r>
          </w:p>
        </w:tc>
      </w:tr>
      <w:tr w14:paraId="29818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217" w:type="dxa"/>
            <w:vAlign w:val="center"/>
          </w:tcPr>
          <w:p w14:paraId="3C0819E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Male</w:t>
            </w:r>
          </w:p>
        </w:tc>
        <w:tc>
          <w:tcPr>
            <w:tcW w:w="1217" w:type="dxa"/>
            <w:vAlign w:val="center"/>
          </w:tcPr>
          <w:p w14:paraId="68871DD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≥95</w:t>
            </w:r>
          </w:p>
        </w:tc>
        <w:tc>
          <w:tcPr>
            <w:tcW w:w="1217" w:type="dxa"/>
            <w:vAlign w:val="center"/>
          </w:tcPr>
          <w:p w14:paraId="4813871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</w:t>
            </w:r>
          </w:p>
        </w:tc>
        <w:tc>
          <w:tcPr>
            <w:tcW w:w="1217" w:type="dxa"/>
            <w:vAlign w:val="center"/>
          </w:tcPr>
          <w:p w14:paraId="3D4442E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</w:t>
            </w:r>
          </w:p>
        </w:tc>
        <w:tc>
          <w:tcPr>
            <w:tcW w:w="1218" w:type="dxa"/>
            <w:vAlign w:val="center"/>
          </w:tcPr>
          <w:p w14:paraId="140FB21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</w:t>
            </w:r>
          </w:p>
        </w:tc>
        <w:tc>
          <w:tcPr>
            <w:tcW w:w="1218" w:type="dxa"/>
            <w:vAlign w:val="center"/>
          </w:tcPr>
          <w:p w14:paraId="7069BEE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-176.79</w:t>
            </w:r>
          </w:p>
        </w:tc>
        <w:tc>
          <w:tcPr>
            <w:tcW w:w="1218" w:type="dxa"/>
            <w:vAlign w:val="center"/>
          </w:tcPr>
          <w:p w14:paraId="165FF7E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0.940</w:t>
            </w:r>
          </w:p>
        </w:tc>
      </w:tr>
      <w:tr w14:paraId="03366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35FAC7A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Male</w:t>
            </w:r>
          </w:p>
        </w:tc>
        <w:tc>
          <w:tcPr>
            <w:tcW w:w="1217" w:type="dxa"/>
            <w:vAlign w:val="center"/>
          </w:tcPr>
          <w:p w14:paraId="035C7AD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90-94</w:t>
            </w:r>
          </w:p>
        </w:tc>
        <w:tc>
          <w:tcPr>
            <w:tcW w:w="1217" w:type="dxa"/>
            <w:vAlign w:val="center"/>
          </w:tcPr>
          <w:p w14:paraId="15CE17A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</w:t>
            </w:r>
          </w:p>
        </w:tc>
        <w:tc>
          <w:tcPr>
            <w:tcW w:w="1217" w:type="dxa"/>
            <w:vAlign w:val="center"/>
          </w:tcPr>
          <w:p w14:paraId="4FDCC62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</w:t>
            </w:r>
          </w:p>
        </w:tc>
        <w:tc>
          <w:tcPr>
            <w:tcW w:w="1218" w:type="dxa"/>
            <w:vAlign w:val="center"/>
          </w:tcPr>
          <w:p w14:paraId="2B465E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</w:t>
            </w:r>
          </w:p>
        </w:tc>
        <w:tc>
          <w:tcPr>
            <w:tcW w:w="1218" w:type="dxa"/>
            <w:vAlign w:val="center"/>
          </w:tcPr>
          <w:p w14:paraId="5D4B67E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-192.38</w:t>
            </w:r>
          </w:p>
        </w:tc>
        <w:tc>
          <w:tcPr>
            <w:tcW w:w="1218" w:type="dxa"/>
            <w:vAlign w:val="center"/>
          </w:tcPr>
          <w:p w14:paraId="130685D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0.842</w:t>
            </w:r>
          </w:p>
        </w:tc>
      </w:tr>
      <w:tr w14:paraId="20241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24D8A2B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Male</w:t>
            </w:r>
          </w:p>
        </w:tc>
        <w:tc>
          <w:tcPr>
            <w:tcW w:w="1217" w:type="dxa"/>
            <w:vAlign w:val="center"/>
          </w:tcPr>
          <w:p w14:paraId="176DB29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85-89</w:t>
            </w:r>
          </w:p>
        </w:tc>
        <w:tc>
          <w:tcPr>
            <w:tcW w:w="1217" w:type="dxa"/>
            <w:vAlign w:val="center"/>
          </w:tcPr>
          <w:p w14:paraId="6FD3DB7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</w:t>
            </w:r>
          </w:p>
        </w:tc>
        <w:tc>
          <w:tcPr>
            <w:tcW w:w="1217" w:type="dxa"/>
            <w:vAlign w:val="center"/>
          </w:tcPr>
          <w:p w14:paraId="04F5BA3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</w:t>
            </w:r>
          </w:p>
        </w:tc>
        <w:tc>
          <w:tcPr>
            <w:tcW w:w="1218" w:type="dxa"/>
            <w:vAlign w:val="center"/>
          </w:tcPr>
          <w:p w14:paraId="641D75A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</w:t>
            </w:r>
          </w:p>
        </w:tc>
        <w:tc>
          <w:tcPr>
            <w:tcW w:w="1218" w:type="dxa"/>
            <w:vAlign w:val="center"/>
          </w:tcPr>
          <w:p w14:paraId="1AF77A5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-203.21</w:t>
            </w:r>
          </w:p>
        </w:tc>
        <w:tc>
          <w:tcPr>
            <w:tcW w:w="1218" w:type="dxa"/>
            <w:vAlign w:val="center"/>
          </w:tcPr>
          <w:p w14:paraId="49D9DC5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0.889</w:t>
            </w:r>
          </w:p>
        </w:tc>
      </w:tr>
      <w:tr w14:paraId="25F13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60870BE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Male</w:t>
            </w:r>
          </w:p>
        </w:tc>
        <w:tc>
          <w:tcPr>
            <w:tcW w:w="1217" w:type="dxa"/>
            <w:vAlign w:val="center"/>
          </w:tcPr>
          <w:p w14:paraId="0D1CD3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80-84</w:t>
            </w:r>
          </w:p>
        </w:tc>
        <w:tc>
          <w:tcPr>
            <w:tcW w:w="1217" w:type="dxa"/>
            <w:vAlign w:val="center"/>
          </w:tcPr>
          <w:p w14:paraId="30A3FF9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</w:t>
            </w:r>
          </w:p>
        </w:tc>
        <w:tc>
          <w:tcPr>
            <w:tcW w:w="1217" w:type="dxa"/>
            <w:vAlign w:val="center"/>
          </w:tcPr>
          <w:p w14:paraId="0A165BC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</w:t>
            </w:r>
          </w:p>
        </w:tc>
        <w:tc>
          <w:tcPr>
            <w:tcW w:w="1218" w:type="dxa"/>
            <w:vAlign w:val="center"/>
          </w:tcPr>
          <w:p w14:paraId="7EE4F6D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</w:t>
            </w:r>
          </w:p>
        </w:tc>
        <w:tc>
          <w:tcPr>
            <w:tcW w:w="1218" w:type="dxa"/>
            <w:vAlign w:val="center"/>
          </w:tcPr>
          <w:p w14:paraId="3C8269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-197.45</w:t>
            </w:r>
          </w:p>
        </w:tc>
        <w:tc>
          <w:tcPr>
            <w:tcW w:w="1218" w:type="dxa"/>
            <w:vAlign w:val="center"/>
          </w:tcPr>
          <w:p w14:paraId="5377C48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0.989</w:t>
            </w:r>
          </w:p>
        </w:tc>
      </w:tr>
      <w:tr w14:paraId="59BC9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51F1A8C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Male</w:t>
            </w:r>
          </w:p>
        </w:tc>
        <w:tc>
          <w:tcPr>
            <w:tcW w:w="1217" w:type="dxa"/>
            <w:vAlign w:val="center"/>
          </w:tcPr>
          <w:p w14:paraId="60862FB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75-79</w:t>
            </w:r>
          </w:p>
        </w:tc>
        <w:tc>
          <w:tcPr>
            <w:tcW w:w="1217" w:type="dxa"/>
            <w:vAlign w:val="center"/>
          </w:tcPr>
          <w:p w14:paraId="373F115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</w:t>
            </w:r>
          </w:p>
        </w:tc>
        <w:tc>
          <w:tcPr>
            <w:tcW w:w="1217" w:type="dxa"/>
            <w:vAlign w:val="center"/>
          </w:tcPr>
          <w:p w14:paraId="430600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</w:t>
            </w:r>
          </w:p>
        </w:tc>
        <w:tc>
          <w:tcPr>
            <w:tcW w:w="1218" w:type="dxa"/>
            <w:vAlign w:val="center"/>
          </w:tcPr>
          <w:p w14:paraId="01FCC1B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</w:t>
            </w:r>
          </w:p>
        </w:tc>
        <w:tc>
          <w:tcPr>
            <w:tcW w:w="1218" w:type="dxa"/>
            <w:vAlign w:val="center"/>
          </w:tcPr>
          <w:p w14:paraId="3FAE6DB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-205.14</w:t>
            </w:r>
          </w:p>
        </w:tc>
        <w:tc>
          <w:tcPr>
            <w:tcW w:w="1218" w:type="dxa"/>
            <w:vAlign w:val="center"/>
          </w:tcPr>
          <w:p w14:paraId="17A7AC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0.917</w:t>
            </w:r>
          </w:p>
        </w:tc>
      </w:tr>
      <w:tr w14:paraId="36554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1BDBDDD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Male</w:t>
            </w:r>
          </w:p>
        </w:tc>
        <w:tc>
          <w:tcPr>
            <w:tcW w:w="1217" w:type="dxa"/>
            <w:vAlign w:val="center"/>
          </w:tcPr>
          <w:p w14:paraId="3984619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70-74</w:t>
            </w:r>
          </w:p>
        </w:tc>
        <w:tc>
          <w:tcPr>
            <w:tcW w:w="1217" w:type="dxa"/>
            <w:vAlign w:val="center"/>
          </w:tcPr>
          <w:p w14:paraId="42C460C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</w:t>
            </w:r>
          </w:p>
        </w:tc>
        <w:tc>
          <w:tcPr>
            <w:tcW w:w="1217" w:type="dxa"/>
            <w:vAlign w:val="center"/>
          </w:tcPr>
          <w:p w14:paraId="3B7602C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</w:t>
            </w:r>
          </w:p>
        </w:tc>
        <w:tc>
          <w:tcPr>
            <w:tcW w:w="1218" w:type="dxa"/>
            <w:vAlign w:val="center"/>
          </w:tcPr>
          <w:p w14:paraId="4004571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</w:t>
            </w:r>
          </w:p>
        </w:tc>
        <w:tc>
          <w:tcPr>
            <w:tcW w:w="1218" w:type="dxa"/>
            <w:vAlign w:val="center"/>
          </w:tcPr>
          <w:p w14:paraId="753F864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-205.84</w:t>
            </w:r>
          </w:p>
        </w:tc>
        <w:tc>
          <w:tcPr>
            <w:tcW w:w="1218" w:type="dxa"/>
            <w:vAlign w:val="center"/>
          </w:tcPr>
          <w:p w14:paraId="39C01F8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0.718</w:t>
            </w:r>
          </w:p>
        </w:tc>
      </w:tr>
      <w:tr w14:paraId="66584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28F0B22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Male</w:t>
            </w:r>
          </w:p>
        </w:tc>
        <w:tc>
          <w:tcPr>
            <w:tcW w:w="1217" w:type="dxa"/>
            <w:vAlign w:val="center"/>
          </w:tcPr>
          <w:p w14:paraId="410BE2A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65-69</w:t>
            </w:r>
          </w:p>
        </w:tc>
        <w:tc>
          <w:tcPr>
            <w:tcW w:w="1217" w:type="dxa"/>
            <w:vAlign w:val="center"/>
          </w:tcPr>
          <w:p w14:paraId="17205F1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</w:t>
            </w:r>
          </w:p>
        </w:tc>
        <w:tc>
          <w:tcPr>
            <w:tcW w:w="1217" w:type="dxa"/>
            <w:vAlign w:val="center"/>
          </w:tcPr>
          <w:p w14:paraId="68191A0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</w:t>
            </w:r>
          </w:p>
        </w:tc>
        <w:tc>
          <w:tcPr>
            <w:tcW w:w="1218" w:type="dxa"/>
            <w:vAlign w:val="center"/>
          </w:tcPr>
          <w:p w14:paraId="7374F68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</w:t>
            </w:r>
          </w:p>
        </w:tc>
        <w:tc>
          <w:tcPr>
            <w:tcW w:w="1218" w:type="dxa"/>
            <w:vAlign w:val="center"/>
          </w:tcPr>
          <w:p w14:paraId="0786368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-206.58</w:t>
            </w:r>
          </w:p>
        </w:tc>
        <w:tc>
          <w:tcPr>
            <w:tcW w:w="1218" w:type="dxa"/>
            <w:vAlign w:val="center"/>
          </w:tcPr>
          <w:p w14:paraId="32F05C4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0.911</w:t>
            </w:r>
          </w:p>
        </w:tc>
      </w:tr>
      <w:tr w14:paraId="4B173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3A90A0F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Male</w:t>
            </w:r>
          </w:p>
        </w:tc>
        <w:tc>
          <w:tcPr>
            <w:tcW w:w="1217" w:type="dxa"/>
            <w:vAlign w:val="center"/>
          </w:tcPr>
          <w:p w14:paraId="7EACA3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60-64</w:t>
            </w:r>
          </w:p>
        </w:tc>
        <w:tc>
          <w:tcPr>
            <w:tcW w:w="1217" w:type="dxa"/>
            <w:vAlign w:val="center"/>
          </w:tcPr>
          <w:p w14:paraId="58DD0F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3</w:t>
            </w:r>
          </w:p>
        </w:tc>
        <w:tc>
          <w:tcPr>
            <w:tcW w:w="1217" w:type="dxa"/>
            <w:vAlign w:val="center"/>
          </w:tcPr>
          <w:p w14:paraId="6BA2EA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</w:t>
            </w:r>
          </w:p>
        </w:tc>
        <w:tc>
          <w:tcPr>
            <w:tcW w:w="1218" w:type="dxa"/>
            <w:vAlign w:val="center"/>
          </w:tcPr>
          <w:p w14:paraId="6316904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</w:t>
            </w:r>
          </w:p>
        </w:tc>
        <w:tc>
          <w:tcPr>
            <w:tcW w:w="1218" w:type="dxa"/>
            <w:vAlign w:val="center"/>
          </w:tcPr>
          <w:p w14:paraId="3EAF39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-221.51</w:t>
            </w:r>
          </w:p>
        </w:tc>
        <w:tc>
          <w:tcPr>
            <w:tcW w:w="1218" w:type="dxa"/>
            <w:vAlign w:val="center"/>
          </w:tcPr>
          <w:p w14:paraId="38319F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0.870</w:t>
            </w:r>
          </w:p>
        </w:tc>
      </w:tr>
      <w:tr w14:paraId="07F6D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21E2334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Female</w:t>
            </w:r>
          </w:p>
        </w:tc>
        <w:tc>
          <w:tcPr>
            <w:tcW w:w="1217" w:type="dxa"/>
            <w:vAlign w:val="center"/>
          </w:tcPr>
          <w:p w14:paraId="3094ED5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≥95</w:t>
            </w:r>
          </w:p>
        </w:tc>
        <w:tc>
          <w:tcPr>
            <w:tcW w:w="1217" w:type="dxa"/>
            <w:vAlign w:val="center"/>
          </w:tcPr>
          <w:p w14:paraId="4AE38C7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</w:t>
            </w:r>
          </w:p>
        </w:tc>
        <w:tc>
          <w:tcPr>
            <w:tcW w:w="1217" w:type="dxa"/>
            <w:vAlign w:val="center"/>
          </w:tcPr>
          <w:p w14:paraId="0E47BD4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</w:t>
            </w:r>
          </w:p>
        </w:tc>
        <w:tc>
          <w:tcPr>
            <w:tcW w:w="1218" w:type="dxa"/>
            <w:vAlign w:val="center"/>
          </w:tcPr>
          <w:p w14:paraId="4BB347E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</w:t>
            </w:r>
          </w:p>
        </w:tc>
        <w:tc>
          <w:tcPr>
            <w:tcW w:w="1218" w:type="dxa"/>
            <w:vAlign w:val="center"/>
          </w:tcPr>
          <w:p w14:paraId="7A1088A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-144.49</w:t>
            </w:r>
          </w:p>
        </w:tc>
        <w:tc>
          <w:tcPr>
            <w:tcW w:w="1218" w:type="dxa"/>
            <w:vAlign w:val="center"/>
          </w:tcPr>
          <w:p w14:paraId="4736768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0.850</w:t>
            </w:r>
          </w:p>
        </w:tc>
      </w:tr>
      <w:tr w14:paraId="2F371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0CCDA0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Female</w:t>
            </w:r>
          </w:p>
        </w:tc>
        <w:tc>
          <w:tcPr>
            <w:tcW w:w="1217" w:type="dxa"/>
            <w:vAlign w:val="center"/>
          </w:tcPr>
          <w:p w14:paraId="056609B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90-94</w:t>
            </w:r>
          </w:p>
        </w:tc>
        <w:tc>
          <w:tcPr>
            <w:tcW w:w="1217" w:type="dxa"/>
            <w:vAlign w:val="center"/>
          </w:tcPr>
          <w:p w14:paraId="59E7674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</w:t>
            </w:r>
          </w:p>
        </w:tc>
        <w:tc>
          <w:tcPr>
            <w:tcW w:w="1217" w:type="dxa"/>
            <w:vAlign w:val="center"/>
          </w:tcPr>
          <w:p w14:paraId="20E618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</w:t>
            </w:r>
          </w:p>
        </w:tc>
        <w:tc>
          <w:tcPr>
            <w:tcW w:w="1218" w:type="dxa"/>
            <w:vAlign w:val="center"/>
          </w:tcPr>
          <w:p w14:paraId="59C0A42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</w:t>
            </w:r>
          </w:p>
        </w:tc>
        <w:tc>
          <w:tcPr>
            <w:tcW w:w="1218" w:type="dxa"/>
            <w:vAlign w:val="center"/>
          </w:tcPr>
          <w:p w14:paraId="6BF4236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-153.92</w:t>
            </w:r>
          </w:p>
        </w:tc>
        <w:tc>
          <w:tcPr>
            <w:tcW w:w="1218" w:type="dxa"/>
            <w:vAlign w:val="center"/>
          </w:tcPr>
          <w:p w14:paraId="126A318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0.827</w:t>
            </w:r>
          </w:p>
        </w:tc>
      </w:tr>
      <w:tr w14:paraId="01E54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14143E5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Female</w:t>
            </w:r>
          </w:p>
        </w:tc>
        <w:tc>
          <w:tcPr>
            <w:tcW w:w="1217" w:type="dxa"/>
            <w:vAlign w:val="center"/>
          </w:tcPr>
          <w:p w14:paraId="6BCF86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85-89</w:t>
            </w:r>
          </w:p>
        </w:tc>
        <w:tc>
          <w:tcPr>
            <w:tcW w:w="1217" w:type="dxa"/>
            <w:vAlign w:val="center"/>
          </w:tcPr>
          <w:p w14:paraId="768BB48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</w:t>
            </w:r>
          </w:p>
        </w:tc>
        <w:tc>
          <w:tcPr>
            <w:tcW w:w="1217" w:type="dxa"/>
            <w:vAlign w:val="center"/>
          </w:tcPr>
          <w:p w14:paraId="3DC72D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</w:t>
            </w:r>
          </w:p>
        </w:tc>
        <w:tc>
          <w:tcPr>
            <w:tcW w:w="1218" w:type="dxa"/>
            <w:vAlign w:val="center"/>
          </w:tcPr>
          <w:p w14:paraId="24E1B4C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</w:t>
            </w:r>
          </w:p>
        </w:tc>
        <w:tc>
          <w:tcPr>
            <w:tcW w:w="1218" w:type="dxa"/>
            <w:vAlign w:val="center"/>
          </w:tcPr>
          <w:p w14:paraId="3AE6DA1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-170.43</w:t>
            </w:r>
          </w:p>
        </w:tc>
        <w:tc>
          <w:tcPr>
            <w:tcW w:w="1218" w:type="dxa"/>
            <w:vAlign w:val="center"/>
          </w:tcPr>
          <w:p w14:paraId="2BC36A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0.623</w:t>
            </w:r>
          </w:p>
        </w:tc>
      </w:tr>
      <w:tr w14:paraId="12B87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2AA619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Female</w:t>
            </w:r>
          </w:p>
        </w:tc>
        <w:tc>
          <w:tcPr>
            <w:tcW w:w="1217" w:type="dxa"/>
            <w:vAlign w:val="center"/>
          </w:tcPr>
          <w:p w14:paraId="7C6E0EC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80-84</w:t>
            </w:r>
          </w:p>
        </w:tc>
        <w:tc>
          <w:tcPr>
            <w:tcW w:w="1217" w:type="dxa"/>
            <w:vAlign w:val="center"/>
          </w:tcPr>
          <w:p w14:paraId="72CDD7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</w:t>
            </w:r>
          </w:p>
        </w:tc>
        <w:tc>
          <w:tcPr>
            <w:tcW w:w="1217" w:type="dxa"/>
            <w:vAlign w:val="center"/>
          </w:tcPr>
          <w:p w14:paraId="6CFB8CF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</w:t>
            </w:r>
          </w:p>
        </w:tc>
        <w:tc>
          <w:tcPr>
            <w:tcW w:w="1218" w:type="dxa"/>
            <w:vAlign w:val="center"/>
          </w:tcPr>
          <w:p w14:paraId="7C69D9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</w:t>
            </w:r>
          </w:p>
        </w:tc>
        <w:tc>
          <w:tcPr>
            <w:tcW w:w="1218" w:type="dxa"/>
            <w:vAlign w:val="center"/>
          </w:tcPr>
          <w:p w14:paraId="4D9A053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-201.01</w:t>
            </w:r>
          </w:p>
        </w:tc>
        <w:tc>
          <w:tcPr>
            <w:tcW w:w="1218" w:type="dxa"/>
            <w:vAlign w:val="center"/>
          </w:tcPr>
          <w:p w14:paraId="6215CB9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0.789</w:t>
            </w:r>
          </w:p>
        </w:tc>
      </w:tr>
      <w:tr w14:paraId="04BBB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217" w:type="dxa"/>
            <w:vAlign w:val="center"/>
          </w:tcPr>
          <w:p w14:paraId="7B0A65E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Female</w:t>
            </w:r>
          </w:p>
        </w:tc>
        <w:tc>
          <w:tcPr>
            <w:tcW w:w="1217" w:type="dxa"/>
            <w:vAlign w:val="center"/>
          </w:tcPr>
          <w:p w14:paraId="3B24FF6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75-79</w:t>
            </w:r>
          </w:p>
        </w:tc>
        <w:tc>
          <w:tcPr>
            <w:tcW w:w="1217" w:type="dxa"/>
            <w:vAlign w:val="center"/>
          </w:tcPr>
          <w:p w14:paraId="57A113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</w:t>
            </w:r>
          </w:p>
        </w:tc>
        <w:tc>
          <w:tcPr>
            <w:tcW w:w="1217" w:type="dxa"/>
            <w:vAlign w:val="center"/>
          </w:tcPr>
          <w:p w14:paraId="04264A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</w:t>
            </w:r>
          </w:p>
        </w:tc>
        <w:tc>
          <w:tcPr>
            <w:tcW w:w="1218" w:type="dxa"/>
            <w:vAlign w:val="center"/>
          </w:tcPr>
          <w:p w14:paraId="29276AD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</w:t>
            </w:r>
          </w:p>
        </w:tc>
        <w:tc>
          <w:tcPr>
            <w:tcW w:w="1218" w:type="dxa"/>
            <w:vAlign w:val="center"/>
          </w:tcPr>
          <w:p w14:paraId="2FF862B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-211.32</w:t>
            </w:r>
          </w:p>
        </w:tc>
        <w:tc>
          <w:tcPr>
            <w:tcW w:w="1218" w:type="dxa"/>
            <w:vAlign w:val="center"/>
          </w:tcPr>
          <w:p w14:paraId="3F11BA8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0.842</w:t>
            </w:r>
          </w:p>
        </w:tc>
      </w:tr>
      <w:tr w14:paraId="21FFE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4F9788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Female</w:t>
            </w:r>
          </w:p>
        </w:tc>
        <w:tc>
          <w:tcPr>
            <w:tcW w:w="1217" w:type="dxa"/>
            <w:vAlign w:val="center"/>
          </w:tcPr>
          <w:p w14:paraId="0909BC3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70-74</w:t>
            </w:r>
          </w:p>
        </w:tc>
        <w:tc>
          <w:tcPr>
            <w:tcW w:w="1217" w:type="dxa"/>
            <w:vAlign w:val="center"/>
          </w:tcPr>
          <w:p w14:paraId="1B41429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</w:t>
            </w:r>
          </w:p>
        </w:tc>
        <w:tc>
          <w:tcPr>
            <w:tcW w:w="1217" w:type="dxa"/>
            <w:vAlign w:val="center"/>
          </w:tcPr>
          <w:p w14:paraId="7202D03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</w:t>
            </w:r>
          </w:p>
        </w:tc>
        <w:tc>
          <w:tcPr>
            <w:tcW w:w="1218" w:type="dxa"/>
            <w:vAlign w:val="center"/>
          </w:tcPr>
          <w:p w14:paraId="67A4550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</w:t>
            </w:r>
          </w:p>
        </w:tc>
        <w:tc>
          <w:tcPr>
            <w:tcW w:w="1218" w:type="dxa"/>
            <w:vAlign w:val="center"/>
          </w:tcPr>
          <w:p w14:paraId="1EC188C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-191.59</w:t>
            </w:r>
          </w:p>
        </w:tc>
        <w:tc>
          <w:tcPr>
            <w:tcW w:w="1218" w:type="dxa"/>
            <w:vAlign w:val="center"/>
          </w:tcPr>
          <w:p w14:paraId="7EEF2E9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0.826</w:t>
            </w:r>
          </w:p>
        </w:tc>
      </w:tr>
      <w:tr w14:paraId="345A0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4B288DC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Female</w:t>
            </w:r>
          </w:p>
        </w:tc>
        <w:tc>
          <w:tcPr>
            <w:tcW w:w="1217" w:type="dxa"/>
            <w:vAlign w:val="center"/>
          </w:tcPr>
          <w:p w14:paraId="74EE289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65-69</w:t>
            </w:r>
          </w:p>
        </w:tc>
        <w:tc>
          <w:tcPr>
            <w:tcW w:w="1217" w:type="dxa"/>
            <w:vAlign w:val="center"/>
          </w:tcPr>
          <w:p w14:paraId="67BD623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</w:t>
            </w:r>
          </w:p>
        </w:tc>
        <w:tc>
          <w:tcPr>
            <w:tcW w:w="1217" w:type="dxa"/>
            <w:vAlign w:val="center"/>
          </w:tcPr>
          <w:p w14:paraId="62F0AA6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</w:t>
            </w:r>
          </w:p>
        </w:tc>
        <w:tc>
          <w:tcPr>
            <w:tcW w:w="1218" w:type="dxa"/>
            <w:vAlign w:val="center"/>
          </w:tcPr>
          <w:p w14:paraId="693F267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</w:t>
            </w:r>
          </w:p>
        </w:tc>
        <w:tc>
          <w:tcPr>
            <w:tcW w:w="1218" w:type="dxa"/>
            <w:vAlign w:val="center"/>
          </w:tcPr>
          <w:p w14:paraId="51C8262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-179.54</w:t>
            </w:r>
          </w:p>
        </w:tc>
        <w:tc>
          <w:tcPr>
            <w:tcW w:w="1218" w:type="dxa"/>
            <w:vAlign w:val="center"/>
          </w:tcPr>
          <w:p w14:paraId="76FF317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0.751</w:t>
            </w:r>
          </w:p>
        </w:tc>
      </w:tr>
      <w:tr w14:paraId="4090D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31EA7D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Female</w:t>
            </w:r>
          </w:p>
        </w:tc>
        <w:tc>
          <w:tcPr>
            <w:tcW w:w="1217" w:type="dxa"/>
            <w:vAlign w:val="center"/>
          </w:tcPr>
          <w:p w14:paraId="12D409E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60-64</w:t>
            </w:r>
          </w:p>
        </w:tc>
        <w:tc>
          <w:tcPr>
            <w:tcW w:w="1217" w:type="dxa"/>
            <w:vAlign w:val="center"/>
          </w:tcPr>
          <w:p w14:paraId="36A0CE4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3</w:t>
            </w:r>
          </w:p>
        </w:tc>
        <w:tc>
          <w:tcPr>
            <w:tcW w:w="1217" w:type="dxa"/>
            <w:vAlign w:val="center"/>
          </w:tcPr>
          <w:p w14:paraId="3F72DE2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</w:t>
            </w:r>
          </w:p>
        </w:tc>
        <w:tc>
          <w:tcPr>
            <w:tcW w:w="1218" w:type="dxa"/>
            <w:vAlign w:val="center"/>
          </w:tcPr>
          <w:p w14:paraId="3471D2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0</w:t>
            </w:r>
          </w:p>
        </w:tc>
        <w:tc>
          <w:tcPr>
            <w:tcW w:w="1218" w:type="dxa"/>
            <w:vAlign w:val="center"/>
          </w:tcPr>
          <w:p w14:paraId="77A080A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-200.40</w:t>
            </w:r>
          </w:p>
        </w:tc>
        <w:tc>
          <w:tcPr>
            <w:tcW w:w="1218" w:type="dxa"/>
            <w:vAlign w:val="center"/>
          </w:tcPr>
          <w:p w14:paraId="19E8881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1.000</w:t>
            </w:r>
          </w:p>
        </w:tc>
      </w:tr>
    </w:tbl>
    <w:p w14:paraId="1AF7313A">
      <w:pPr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i/>
          <w:iCs/>
          <w:caps w:val="0"/>
          <w:color w:val="000000"/>
          <w:spacing w:val="0"/>
          <w:sz w:val="18"/>
          <w:szCs w:val="18"/>
          <w:shd w:val="clear" w:fill="FFFFFF"/>
        </w:rPr>
      </w:pPr>
      <w:r>
        <w:rPr>
          <w:rFonts w:hint="default" w:ascii="Times New Roman" w:hAnsi="Times New Roman" w:eastAsia="宋体" w:cs="Times New Roman"/>
          <w:i/>
          <w:iCs/>
          <w:caps w:val="0"/>
          <w:color w:val="000000"/>
          <w:spacing w:val="0"/>
          <w:sz w:val="18"/>
          <w:szCs w:val="18"/>
          <w:shd w:val="clear" w:fill="FFFFFF"/>
        </w:rPr>
        <w:t>All selected ARIMA models were non</w:t>
      </w:r>
      <w:r>
        <w:rPr>
          <w:rFonts w:hint="eastAsia" w:ascii="Times New Roman" w:hAnsi="Times New Roman" w:eastAsia="宋体" w:cs="Times New Roman"/>
          <w:i/>
          <w:iCs/>
          <w:caps w:val="0"/>
          <w:color w:val="000000"/>
          <w:spacing w:val="0"/>
          <w:sz w:val="18"/>
          <w:szCs w:val="18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/>
          <w:iCs/>
          <w:caps w:val="0"/>
          <w:color w:val="000000"/>
          <w:spacing w:val="0"/>
          <w:sz w:val="18"/>
          <w:szCs w:val="18"/>
          <w:shd w:val="clear" w:fill="FFFFFF"/>
        </w:rPr>
        <w:t>seasonal and fitted on the log</w:t>
      </w:r>
      <w:r>
        <w:rPr>
          <w:rFonts w:hint="eastAsia" w:ascii="Times New Roman" w:hAnsi="Times New Roman" w:eastAsia="宋体" w:cs="Times New Roman"/>
          <w:i/>
          <w:iCs/>
          <w:caps w:val="0"/>
          <w:color w:val="000000"/>
          <w:spacing w:val="0"/>
          <w:sz w:val="18"/>
          <w:szCs w:val="18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/>
          <w:iCs/>
          <w:caps w:val="0"/>
          <w:color w:val="000000"/>
          <w:spacing w:val="0"/>
          <w:sz w:val="18"/>
          <w:szCs w:val="18"/>
          <w:shd w:val="clear" w:fill="FFFFFF"/>
        </w:rPr>
        <w:t>incidence</w:t>
      </w:r>
      <w:r>
        <w:rPr>
          <w:rFonts w:hint="eastAsia" w:ascii="Times New Roman" w:hAnsi="Times New Roman" w:eastAsia="宋体" w:cs="Times New Roman"/>
          <w:i/>
          <w:iCs/>
          <w:caps w:val="0"/>
          <w:color w:val="000000"/>
          <w:spacing w:val="0"/>
          <w:sz w:val="18"/>
          <w:szCs w:val="18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/>
          <w:iCs/>
          <w:caps w:val="0"/>
          <w:color w:val="000000"/>
          <w:spacing w:val="0"/>
          <w:sz w:val="18"/>
          <w:szCs w:val="18"/>
          <w:shd w:val="clear" w:fill="FFFFFF"/>
        </w:rPr>
        <w:t>rate scale. Drift was allowed during selection but was not retained in the final ful</w:t>
      </w:r>
      <w:r>
        <w:rPr>
          <w:rFonts w:hint="eastAsia" w:ascii="Times New Roman" w:hAnsi="Times New Roman" w:eastAsia="宋体" w:cs="Times New Roman"/>
          <w:i/>
          <w:iCs/>
          <w:caps w:val="0"/>
          <w:color w:val="000000"/>
          <w:spacing w:val="0"/>
          <w:sz w:val="18"/>
          <w:szCs w:val="18"/>
          <w:shd w:val="clear" w:fill="FFFFFF"/>
          <w:lang w:val="en-US" w:eastAsia="zh-CN"/>
        </w:rPr>
        <w:t xml:space="preserve">l </w:t>
      </w:r>
      <w:r>
        <w:rPr>
          <w:rFonts w:hint="default" w:ascii="Times New Roman" w:hAnsi="Times New Roman" w:eastAsia="宋体" w:cs="Times New Roman"/>
          <w:i/>
          <w:iCs/>
          <w:caps w:val="0"/>
          <w:color w:val="000000"/>
          <w:spacing w:val="0"/>
          <w:sz w:val="18"/>
          <w:szCs w:val="18"/>
          <w:shd w:val="clear" w:fill="FFFFFF"/>
        </w:rPr>
        <w:t>series models.</w:t>
      </w:r>
    </w:p>
    <w:p w14:paraId="048B7308">
      <w:pPr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Supplementary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file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 Table 5. Crude and internally age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standardized burden changes and Kitagawa decomposition, 1990-2023.</w:t>
      </w:r>
    </w:p>
    <w:p w14:paraId="6CA98DCF">
      <w:pPr>
        <w:numPr>
          <w:ilvl w:val="0"/>
          <w:numId w:val="0"/>
        </w:numPr>
        <w:ind w:left="0" w:leftChars="0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2"/>
          <w:sz w:val="20"/>
          <w:szCs w:val="20"/>
          <w:shd w:val="clear" w:fill="FFFFFF"/>
          <w:lang w:val="en-US" w:eastAsia="zh-CN" w:bidi="ar-SA"/>
        </w:rPr>
        <w:t>A.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>Crude and internally age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>standardized rates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32365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0" w:type="dxa"/>
            <w:vAlign w:val="center"/>
          </w:tcPr>
          <w:p w14:paraId="5BB185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Measure</w:t>
            </w:r>
          </w:p>
        </w:tc>
        <w:tc>
          <w:tcPr>
            <w:tcW w:w="1420" w:type="dxa"/>
            <w:vAlign w:val="center"/>
          </w:tcPr>
          <w:p w14:paraId="0F17958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Population</w:t>
            </w:r>
          </w:p>
        </w:tc>
        <w:tc>
          <w:tcPr>
            <w:tcW w:w="1420" w:type="dxa"/>
            <w:vAlign w:val="center"/>
          </w:tcPr>
          <w:p w14:paraId="77534C4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Crude 1990</w:t>
            </w:r>
          </w:p>
        </w:tc>
        <w:tc>
          <w:tcPr>
            <w:tcW w:w="1420" w:type="dxa"/>
            <w:vAlign w:val="center"/>
          </w:tcPr>
          <w:p w14:paraId="1D6A4B0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Crude 2023</w:t>
            </w:r>
          </w:p>
        </w:tc>
        <w:tc>
          <w:tcPr>
            <w:tcW w:w="1421" w:type="dxa"/>
            <w:vAlign w:val="center"/>
          </w:tcPr>
          <w:p w14:paraId="3CCB9E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Crude change</w:t>
            </w:r>
          </w:p>
        </w:tc>
        <w:tc>
          <w:tcPr>
            <w:tcW w:w="1421" w:type="dxa"/>
            <w:vAlign w:val="center"/>
          </w:tcPr>
          <w:p w14:paraId="5C7227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Std. change</w:t>
            </w:r>
          </w:p>
        </w:tc>
      </w:tr>
      <w:tr w14:paraId="2EC61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427749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Incidence</w:t>
            </w:r>
          </w:p>
        </w:tc>
        <w:tc>
          <w:tcPr>
            <w:tcW w:w="1420" w:type="dxa"/>
            <w:vAlign w:val="center"/>
          </w:tcPr>
          <w:p w14:paraId="69994C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Overall</w:t>
            </w:r>
          </w:p>
        </w:tc>
        <w:tc>
          <w:tcPr>
            <w:tcW w:w="1420" w:type="dxa"/>
            <w:vAlign w:val="center"/>
          </w:tcPr>
          <w:p w14:paraId="53B148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556.87</w:t>
            </w:r>
          </w:p>
        </w:tc>
        <w:tc>
          <w:tcPr>
            <w:tcW w:w="1420" w:type="dxa"/>
            <w:vAlign w:val="center"/>
          </w:tcPr>
          <w:p w14:paraId="3A3D6EF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1,088.96</w:t>
            </w:r>
          </w:p>
        </w:tc>
        <w:tc>
          <w:tcPr>
            <w:tcW w:w="1421" w:type="dxa"/>
            <w:vAlign w:val="center"/>
          </w:tcPr>
          <w:p w14:paraId="61BA921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95.55%</w:t>
            </w:r>
          </w:p>
        </w:tc>
        <w:tc>
          <w:tcPr>
            <w:tcW w:w="1421" w:type="dxa"/>
            <w:vAlign w:val="center"/>
          </w:tcPr>
          <w:p w14:paraId="4A7AA91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58.46%</w:t>
            </w:r>
          </w:p>
        </w:tc>
      </w:tr>
      <w:tr w14:paraId="5342C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630ADD0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Incidence</w:t>
            </w:r>
          </w:p>
        </w:tc>
        <w:tc>
          <w:tcPr>
            <w:tcW w:w="1420" w:type="dxa"/>
            <w:vAlign w:val="center"/>
          </w:tcPr>
          <w:p w14:paraId="4863B4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Male</w:t>
            </w:r>
          </w:p>
        </w:tc>
        <w:tc>
          <w:tcPr>
            <w:tcW w:w="1420" w:type="dxa"/>
            <w:vAlign w:val="center"/>
          </w:tcPr>
          <w:p w14:paraId="78FE6CF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406.77</w:t>
            </w:r>
          </w:p>
        </w:tc>
        <w:tc>
          <w:tcPr>
            <w:tcW w:w="1420" w:type="dxa"/>
            <w:vAlign w:val="center"/>
          </w:tcPr>
          <w:p w14:paraId="3246070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813.70</w:t>
            </w:r>
          </w:p>
        </w:tc>
        <w:tc>
          <w:tcPr>
            <w:tcW w:w="1421" w:type="dxa"/>
            <w:vAlign w:val="center"/>
          </w:tcPr>
          <w:p w14:paraId="620D6DE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100.04%</w:t>
            </w:r>
          </w:p>
        </w:tc>
        <w:tc>
          <w:tcPr>
            <w:tcW w:w="1421" w:type="dxa"/>
            <w:vAlign w:val="center"/>
          </w:tcPr>
          <w:p w14:paraId="686085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69.63%</w:t>
            </w:r>
          </w:p>
        </w:tc>
      </w:tr>
      <w:tr w14:paraId="266F1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5B2768C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Incidence</w:t>
            </w:r>
          </w:p>
        </w:tc>
        <w:tc>
          <w:tcPr>
            <w:tcW w:w="1420" w:type="dxa"/>
            <w:vAlign w:val="center"/>
          </w:tcPr>
          <w:p w14:paraId="185000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Female</w:t>
            </w:r>
          </w:p>
        </w:tc>
        <w:tc>
          <w:tcPr>
            <w:tcW w:w="1420" w:type="dxa"/>
            <w:vAlign w:val="center"/>
          </w:tcPr>
          <w:p w14:paraId="761D033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693.63</w:t>
            </w:r>
          </w:p>
        </w:tc>
        <w:tc>
          <w:tcPr>
            <w:tcW w:w="1420" w:type="dxa"/>
            <w:vAlign w:val="center"/>
          </w:tcPr>
          <w:p w14:paraId="6EFD089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1,342.58</w:t>
            </w:r>
          </w:p>
        </w:tc>
        <w:tc>
          <w:tcPr>
            <w:tcW w:w="1421" w:type="dxa"/>
            <w:vAlign w:val="center"/>
          </w:tcPr>
          <w:p w14:paraId="033492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93.56%</w:t>
            </w:r>
          </w:p>
        </w:tc>
        <w:tc>
          <w:tcPr>
            <w:tcW w:w="1421" w:type="dxa"/>
            <w:vAlign w:val="center"/>
          </w:tcPr>
          <w:p w14:paraId="28FC7A0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58.96%</w:t>
            </w:r>
          </w:p>
        </w:tc>
      </w:tr>
      <w:tr w14:paraId="6C5C1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0677279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Prevalence</w:t>
            </w:r>
          </w:p>
        </w:tc>
        <w:tc>
          <w:tcPr>
            <w:tcW w:w="1420" w:type="dxa"/>
            <w:vAlign w:val="center"/>
          </w:tcPr>
          <w:p w14:paraId="4BCDBA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Overall</w:t>
            </w:r>
          </w:p>
        </w:tc>
        <w:tc>
          <w:tcPr>
            <w:tcW w:w="1420" w:type="dxa"/>
            <w:vAlign w:val="center"/>
          </w:tcPr>
          <w:p w14:paraId="482959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1,050.67</w:t>
            </w:r>
          </w:p>
        </w:tc>
        <w:tc>
          <w:tcPr>
            <w:tcW w:w="1420" w:type="dxa"/>
            <w:vAlign w:val="center"/>
          </w:tcPr>
          <w:p w14:paraId="40FC68C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2,261.09</w:t>
            </w:r>
          </w:p>
        </w:tc>
        <w:tc>
          <w:tcPr>
            <w:tcW w:w="1421" w:type="dxa"/>
            <w:vAlign w:val="center"/>
          </w:tcPr>
          <w:p w14:paraId="78FD93F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115.21%</w:t>
            </w:r>
          </w:p>
        </w:tc>
        <w:tc>
          <w:tcPr>
            <w:tcW w:w="1421" w:type="dxa"/>
            <w:vAlign w:val="center"/>
          </w:tcPr>
          <w:p w14:paraId="44B10A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88.40%</w:t>
            </w:r>
          </w:p>
        </w:tc>
      </w:tr>
      <w:tr w14:paraId="413AD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056CDDB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Prevalence</w:t>
            </w:r>
          </w:p>
        </w:tc>
        <w:tc>
          <w:tcPr>
            <w:tcW w:w="1420" w:type="dxa"/>
            <w:vAlign w:val="center"/>
          </w:tcPr>
          <w:p w14:paraId="635553F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Male</w:t>
            </w:r>
          </w:p>
        </w:tc>
        <w:tc>
          <w:tcPr>
            <w:tcW w:w="1420" w:type="dxa"/>
            <w:vAlign w:val="center"/>
          </w:tcPr>
          <w:p w14:paraId="7E47308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714.67</w:t>
            </w:r>
          </w:p>
        </w:tc>
        <w:tc>
          <w:tcPr>
            <w:tcW w:w="1420" w:type="dxa"/>
            <w:vAlign w:val="center"/>
          </w:tcPr>
          <w:p w14:paraId="39B1B09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1,519.58</w:t>
            </w:r>
          </w:p>
        </w:tc>
        <w:tc>
          <w:tcPr>
            <w:tcW w:w="1421" w:type="dxa"/>
            <w:vAlign w:val="center"/>
          </w:tcPr>
          <w:p w14:paraId="4EF04A4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112.63%</w:t>
            </w:r>
          </w:p>
        </w:tc>
        <w:tc>
          <w:tcPr>
            <w:tcW w:w="1421" w:type="dxa"/>
            <w:vAlign w:val="center"/>
          </w:tcPr>
          <w:p w14:paraId="7AB009C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97.83%</w:t>
            </w:r>
          </w:p>
        </w:tc>
      </w:tr>
      <w:tr w14:paraId="1FD08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721C4A7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Prevalence</w:t>
            </w:r>
          </w:p>
        </w:tc>
        <w:tc>
          <w:tcPr>
            <w:tcW w:w="1420" w:type="dxa"/>
            <w:vAlign w:val="center"/>
          </w:tcPr>
          <w:p w14:paraId="791162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Female</w:t>
            </w:r>
          </w:p>
        </w:tc>
        <w:tc>
          <w:tcPr>
            <w:tcW w:w="1420" w:type="dxa"/>
            <w:vAlign w:val="center"/>
          </w:tcPr>
          <w:p w14:paraId="468B3F3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1,356.81</w:t>
            </w:r>
          </w:p>
        </w:tc>
        <w:tc>
          <w:tcPr>
            <w:tcW w:w="1420" w:type="dxa"/>
            <w:vAlign w:val="center"/>
          </w:tcPr>
          <w:p w14:paraId="7070BAD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2,944.29</w:t>
            </w:r>
          </w:p>
        </w:tc>
        <w:tc>
          <w:tcPr>
            <w:tcW w:w="1421" w:type="dxa"/>
            <w:vAlign w:val="center"/>
          </w:tcPr>
          <w:p w14:paraId="370992B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117.00%</w:t>
            </w:r>
          </w:p>
        </w:tc>
        <w:tc>
          <w:tcPr>
            <w:tcW w:w="1421" w:type="dxa"/>
            <w:vAlign w:val="center"/>
          </w:tcPr>
          <w:p w14:paraId="4F54A48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91.76%</w:t>
            </w:r>
          </w:p>
        </w:tc>
      </w:tr>
      <w:tr w14:paraId="2D9DD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5562979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YLD</w:t>
            </w:r>
          </w:p>
        </w:tc>
        <w:tc>
          <w:tcPr>
            <w:tcW w:w="1420" w:type="dxa"/>
            <w:vAlign w:val="center"/>
          </w:tcPr>
          <w:p w14:paraId="17C7E43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Overall</w:t>
            </w:r>
          </w:p>
        </w:tc>
        <w:tc>
          <w:tcPr>
            <w:tcW w:w="1420" w:type="dxa"/>
            <w:vAlign w:val="center"/>
          </w:tcPr>
          <w:p w14:paraId="54C4BD9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198.79</w:t>
            </w:r>
          </w:p>
        </w:tc>
        <w:tc>
          <w:tcPr>
            <w:tcW w:w="1420" w:type="dxa"/>
            <w:vAlign w:val="center"/>
          </w:tcPr>
          <w:p w14:paraId="1E7CB27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200.87</w:t>
            </w:r>
          </w:p>
        </w:tc>
        <w:tc>
          <w:tcPr>
            <w:tcW w:w="1421" w:type="dxa"/>
            <w:vAlign w:val="center"/>
          </w:tcPr>
          <w:p w14:paraId="63AA2F9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1.05%</w:t>
            </w:r>
          </w:p>
        </w:tc>
        <w:tc>
          <w:tcPr>
            <w:tcW w:w="1421" w:type="dxa"/>
            <w:vAlign w:val="center"/>
          </w:tcPr>
          <w:p w14:paraId="1633815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-10.74%</w:t>
            </w:r>
          </w:p>
        </w:tc>
      </w:tr>
      <w:tr w14:paraId="3C759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0B0E876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YLD</w:t>
            </w:r>
          </w:p>
        </w:tc>
        <w:tc>
          <w:tcPr>
            <w:tcW w:w="1420" w:type="dxa"/>
            <w:vAlign w:val="center"/>
          </w:tcPr>
          <w:p w14:paraId="190902A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Male</w:t>
            </w:r>
          </w:p>
        </w:tc>
        <w:tc>
          <w:tcPr>
            <w:tcW w:w="1420" w:type="dxa"/>
            <w:vAlign w:val="center"/>
          </w:tcPr>
          <w:p w14:paraId="40ABEA9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138.18</w:t>
            </w:r>
          </w:p>
        </w:tc>
        <w:tc>
          <w:tcPr>
            <w:tcW w:w="1420" w:type="dxa"/>
            <w:vAlign w:val="center"/>
          </w:tcPr>
          <w:p w14:paraId="4A3F817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139.59</w:t>
            </w:r>
          </w:p>
        </w:tc>
        <w:tc>
          <w:tcPr>
            <w:tcW w:w="1421" w:type="dxa"/>
            <w:vAlign w:val="center"/>
          </w:tcPr>
          <w:p w14:paraId="63B8EEB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1.02%</w:t>
            </w:r>
          </w:p>
        </w:tc>
        <w:tc>
          <w:tcPr>
            <w:tcW w:w="1421" w:type="dxa"/>
            <w:vAlign w:val="center"/>
          </w:tcPr>
          <w:p w14:paraId="4138CAF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-5.47%</w:t>
            </w:r>
          </w:p>
        </w:tc>
      </w:tr>
      <w:tr w14:paraId="2DC48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76ABA88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YLD</w:t>
            </w:r>
          </w:p>
        </w:tc>
        <w:tc>
          <w:tcPr>
            <w:tcW w:w="1420" w:type="dxa"/>
            <w:vAlign w:val="center"/>
          </w:tcPr>
          <w:p w14:paraId="5170956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Female</w:t>
            </w:r>
          </w:p>
        </w:tc>
        <w:tc>
          <w:tcPr>
            <w:tcW w:w="1420" w:type="dxa"/>
            <w:vAlign w:val="center"/>
          </w:tcPr>
          <w:p w14:paraId="626EDDB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254.01</w:t>
            </w:r>
          </w:p>
        </w:tc>
        <w:tc>
          <w:tcPr>
            <w:tcW w:w="1420" w:type="dxa"/>
            <w:vAlign w:val="center"/>
          </w:tcPr>
          <w:p w14:paraId="1FA27AB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257.33</w:t>
            </w:r>
          </w:p>
        </w:tc>
        <w:tc>
          <w:tcPr>
            <w:tcW w:w="1421" w:type="dxa"/>
            <w:vAlign w:val="center"/>
          </w:tcPr>
          <w:p w14:paraId="0BB7F2E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1.31%</w:t>
            </w:r>
          </w:p>
        </w:tc>
        <w:tc>
          <w:tcPr>
            <w:tcW w:w="1421" w:type="dxa"/>
            <w:vAlign w:val="center"/>
          </w:tcPr>
          <w:p w14:paraId="47B9286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-9.79%</w:t>
            </w:r>
          </w:p>
        </w:tc>
      </w:tr>
    </w:tbl>
    <w:p w14:paraId="08295829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2"/>
          <w:sz w:val="20"/>
          <w:szCs w:val="20"/>
          <w:shd w:val="clear" w:fill="FFFFFF"/>
          <w:lang w:val="en-US" w:eastAsia="zh-CN" w:bidi="ar-SA"/>
        </w:rPr>
        <w:t>B.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>Kitagawa decomposition of crude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>rate change (per 100,000)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938"/>
        <w:gridCol w:w="1084"/>
        <w:gridCol w:w="1273"/>
        <w:gridCol w:w="2678"/>
        <w:gridCol w:w="1715"/>
      </w:tblGrid>
      <w:tr w14:paraId="2F15B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Align w:val="center"/>
          </w:tcPr>
          <w:p w14:paraId="36AE43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5"/>
                <w:szCs w:val="15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Measure</w:t>
            </w:r>
          </w:p>
        </w:tc>
        <w:tc>
          <w:tcPr>
            <w:tcW w:w="938" w:type="dxa"/>
            <w:vAlign w:val="center"/>
          </w:tcPr>
          <w:p w14:paraId="22B2E6A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5"/>
                <w:szCs w:val="15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Population</w:t>
            </w:r>
          </w:p>
        </w:tc>
        <w:tc>
          <w:tcPr>
            <w:tcW w:w="1084" w:type="dxa"/>
            <w:vAlign w:val="center"/>
          </w:tcPr>
          <w:p w14:paraId="5775382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5"/>
                <w:szCs w:val="15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Total change</w:t>
            </w:r>
          </w:p>
        </w:tc>
        <w:tc>
          <w:tcPr>
            <w:tcW w:w="1273" w:type="dxa"/>
            <w:vAlign w:val="center"/>
          </w:tcPr>
          <w:p w14:paraId="10AAC2C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5"/>
                <w:szCs w:val="15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Rate component</w:t>
            </w:r>
          </w:p>
        </w:tc>
        <w:tc>
          <w:tcPr>
            <w:tcW w:w="2678" w:type="dxa"/>
            <w:vAlign w:val="center"/>
          </w:tcPr>
          <w:p w14:paraId="34EBEC2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5"/>
                <w:szCs w:val="15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Age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composition component</w:t>
            </w:r>
          </w:p>
        </w:tc>
        <w:tc>
          <w:tcPr>
            <w:tcW w:w="1715" w:type="dxa"/>
            <w:vAlign w:val="center"/>
          </w:tcPr>
          <w:p w14:paraId="7F0AAFE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5"/>
                <w:szCs w:val="15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Age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composition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 xml:space="preserve">share </w:t>
            </w:r>
          </w:p>
        </w:tc>
      </w:tr>
      <w:tr w14:paraId="286C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Align w:val="center"/>
          </w:tcPr>
          <w:p w14:paraId="3C3BEC3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Incidence</w:t>
            </w:r>
          </w:p>
        </w:tc>
        <w:tc>
          <w:tcPr>
            <w:tcW w:w="938" w:type="dxa"/>
            <w:vAlign w:val="center"/>
          </w:tcPr>
          <w:p w14:paraId="5CB60B3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Overall</w:t>
            </w:r>
          </w:p>
        </w:tc>
        <w:tc>
          <w:tcPr>
            <w:tcW w:w="1084" w:type="dxa"/>
            <w:vAlign w:val="center"/>
          </w:tcPr>
          <w:p w14:paraId="5FCE9AB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532.09</w:t>
            </w:r>
          </w:p>
        </w:tc>
        <w:tc>
          <w:tcPr>
            <w:tcW w:w="1273" w:type="dxa"/>
            <w:vAlign w:val="center"/>
          </w:tcPr>
          <w:p w14:paraId="48B667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356.22</w:t>
            </w:r>
          </w:p>
        </w:tc>
        <w:tc>
          <w:tcPr>
            <w:tcW w:w="2678" w:type="dxa"/>
            <w:vAlign w:val="center"/>
          </w:tcPr>
          <w:p w14:paraId="19CBBB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175.88</w:t>
            </w:r>
          </w:p>
        </w:tc>
        <w:tc>
          <w:tcPr>
            <w:tcW w:w="1715" w:type="dxa"/>
            <w:vAlign w:val="center"/>
          </w:tcPr>
          <w:p w14:paraId="26B7F3B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33.05%</w:t>
            </w:r>
          </w:p>
        </w:tc>
      </w:tr>
      <w:tr w14:paraId="3B079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Align w:val="center"/>
          </w:tcPr>
          <w:p w14:paraId="494880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Incidence</w:t>
            </w:r>
          </w:p>
        </w:tc>
        <w:tc>
          <w:tcPr>
            <w:tcW w:w="938" w:type="dxa"/>
            <w:vAlign w:val="center"/>
          </w:tcPr>
          <w:p w14:paraId="1EA5AE4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Male</w:t>
            </w:r>
          </w:p>
        </w:tc>
        <w:tc>
          <w:tcPr>
            <w:tcW w:w="1084" w:type="dxa"/>
            <w:vAlign w:val="center"/>
          </w:tcPr>
          <w:p w14:paraId="24E5CD3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406.93</w:t>
            </w:r>
          </w:p>
        </w:tc>
        <w:tc>
          <w:tcPr>
            <w:tcW w:w="1273" w:type="dxa"/>
            <w:vAlign w:val="center"/>
          </w:tcPr>
          <w:p w14:paraId="4F27E5F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294.13</w:t>
            </w:r>
          </w:p>
        </w:tc>
        <w:tc>
          <w:tcPr>
            <w:tcW w:w="2678" w:type="dxa"/>
            <w:vAlign w:val="center"/>
          </w:tcPr>
          <w:p w14:paraId="415C693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112.80</w:t>
            </w:r>
          </w:p>
        </w:tc>
        <w:tc>
          <w:tcPr>
            <w:tcW w:w="1715" w:type="dxa"/>
            <w:vAlign w:val="center"/>
          </w:tcPr>
          <w:p w14:paraId="72DD912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27.72%</w:t>
            </w:r>
          </w:p>
        </w:tc>
      </w:tr>
      <w:tr w14:paraId="46519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Align w:val="center"/>
          </w:tcPr>
          <w:p w14:paraId="402E821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Incidence</w:t>
            </w:r>
          </w:p>
        </w:tc>
        <w:tc>
          <w:tcPr>
            <w:tcW w:w="938" w:type="dxa"/>
            <w:vAlign w:val="center"/>
          </w:tcPr>
          <w:p w14:paraId="6FB7CC5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Female</w:t>
            </w:r>
          </w:p>
        </w:tc>
        <w:tc>
          <w:tcPr>
            <w:tcW w:w="1084" w:type="dxa"/>
            <w:vAlign w:val="center"/>
          </w:tcPr>
          <w:p w14:paraId="6662D59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648.95</w:t>
            </w:r>
          </w:p>
        </w:tc>
        <w:tc>
          <w:tcPr>
            <w:tcW w:w="1273" w:type="dxa"/>
            <w:vAlign w:val="center"/>
          </w:tcPr>
          <w:p w14:paraId="44BCCF7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442.39</w:t>
            </w:r>
          </w:p>
        </w:tc>
        <w:tc>
          <w:tcPr>
            <w:tcW w:w="2678" w:type="dxa"/>
            <w:vAlign w:val="center"/>
          </w:tcPr>
          <w:p w14:paraId="1CF1468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206.56</w:t>
            </w:r>
          </w:p>
        </w:tc>
        <w:tc>
          <w:tcPr>
            <w:tcW w:w="1715" w:type="dxa"/>
            <w:vAlign w:val="center"/>
          </w:tcPr>
          <w:p w14:paraId="08C89F6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31.83%</w:t>
            </w:r>
          </w:p>
        </w:tc>
      </w:tr>
      <w:tr w14:paraId="57AFC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Align w:val="center"/>
          </w:tcPr>
          <w:p w14:paraId="67E434D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Prevalence</w:t>
            </w:r>
          </w:p>
        </w:tc>
        <w:tc>
          <w:tcPr>
            <w:tcW w:w="938" w:type="dxa"/>
            <w:vAlign w:val="center"/>
          </w:tcPr>
          <w:p w14:paraId="1CD7C51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Overall</w:t>
            </w:r>
          </w:p>
        </w:tc>
        <w:tc>
          <w:tcPr>
            <w:tcW w:w="1084" w:type="dxa"/>
            <w:vAlign w:val="center"/>
          </w:tcPr>
          <w:p w14:paraId="30DB115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1,210.43</w:t>
            </w:r>
          </w:p>
        </w:tc>
        <w:tc>
          <w:tcPr>
            <w:tcW w:w="1273" w:type="dxa"/>
            <w:vAlign w:val="center"/>
          </w:tcPr>
          <w:p w14:paraId="27EDB12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948.22</w:t>
            </w:r>
          </w:p>
        </w:tc>
        <w:tc>
          <w:tcPr>
            <w:tcW w:w="2678" w:type="dxa"/>
            <w:vAlign w:val="center"/>
          </w:tcPr>
          <w:p w14:paraId="21688F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262.21</w:t>
            </w:r>
          </w:p>
        </w:tc>
        <w:tc>
          <w:tcPr>
            <w:tcW w:w="1715" w:type="dxa"/>
            <w:vAlign w:val="center"/>
          </w:tcPr>
          <w:p w14:paraId="2AF8983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21.66%</w:t>
            </w:r>
          </w:p>
        </w:tc>
      </w:tr>
      <w:tr w14:paraId="15A91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Align w:val="center"/>
          </w:tcPr>
          <w:p w14:paraId="5A01514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Prevalence</w:t>
            </w:r>
          </w:p>
        </w:tc>
        <w:tc>
          <w:tcPr>
            <w:tcW w:w="938" w:type="dxa"/>
            <w:vAlign w:val="center"/>
          </w:tcPr>
          <w:p w14:paraId="7E26AC5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Male</w:t>
            </w:r>
          </w:p>
        </w:tc>
        <w:tc>
          <w:tcPr>
            <w:tcW w:w="1084" w:type="dxa"/>
            <w:vAlign w:val="center"/>
          </w:tcPr>
          <w:p w14:paraId="282E644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804.91</w:t>
            </w:r>
          </w:p>
        </w:tc>
        <w:tc>
          <w:tcPr>
            <w:tcW w:w="1273" w:type="dxa"/>
            <w:vAlign w:val="center"/>
          </w:tcPr>
          <w:p w14:paraId="7C38F45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681.83</w:t>
            </w:r>
          </w:p>
        </w:tc>
        <w:tc>
          <w:tcPr>
            <w:tcW w:w="2678" w:type="dxa"/>
            <w:vAlign w:val="center"/>
          </w:tcPr>
          <w:p w14:paraId="63AF865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123.08</w:t>
            </w:r>
          </w:p>
        </w:tc>
        <w:tc>
          <w:tcPr>
            <w:tcW w:w="1715" w:type="dxa"/>
            <w:vAlign w:val="center"/>
          </w:tcPr>
          <w:p w14:paraId="068CCE4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15.29%</w:t>
            </w:r>
          </w:p>
        </w:tc>
      </w:tr>
      <w:tr w14:paraId="6D551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Align w:val="center"/>
          </w:tcPr>
          <w:p w14:paraId="0AF01DE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Prevalence</w:t>
            </w:r>
          </w:p>
        </w:tc>
        <w:tc>
          <w:tcPr>
            <w:tcW w:w="938" w:type="dxa"/>
            <w:vAlign w:val="center"/>
          </w:tcPr>
          <w:p w14:paraId="029F043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Female</w:t>
            </w:r>
          </w:p>
        </w:tc>
        <w:tc>
          <w:tcPr>
            <w:tcW w:w="1084" w:type="dxa"/>
            <w:vAlign w:val="center"/>
          </w:tcPr>
          <w:p w14:paraId="17B48AF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1,587.48</w:t>
            </w:r>
          </w:p>
        </w:tc>
        <w:tc>
          <w:tcPr>
            <w:tcW w:w="1273" w:type="dxa"/>
            <w:vAlign w:val="center"/>
          </w:tcPr>
          <w:p w14:paraId="72D805A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1,262.32</w:t>
            </w:r>
          </w:p>
        </w:tc>
        <w:tc>
          <w:tcPr>
            <w:tcW w:w="2678" w:type="dxa"/>
            <w:vAlign w:val="center"/>
          </w:tcPr>
          <w:p w14:paraId="6BBF1E2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325.15</w:t>
            </w:r>
          </w:p>
        </w:tc>
        <w:tc>
          <w:tcPr>
            <w:tcW w:w="1715" w:type="dxa"/>
            <w:vAlign w:val="center"/>
          </w:tcPr>
          <w:p w14:paraId="0A23CA4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20.48%</w:t>
            </w:r>
          </w:p>
        </w:tc>
      </w:tr>
      <w:tr w14:paraId="49A73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Align w:val="center"/>
          </w:tcPr>
          <w:p w14:paraId="4B6D8C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YLD</w:t>
            </w:r>
          </w:p>
        </w:tc>
        <w:tc>
          <w:tcPr>
            <w:tcW w:w="938" w:type="dxa"/>
            <w:vAlign w:val="center"/>
          </w:tcPr>
          <w:p w14:paraId="7AEECB4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Overall</w:t>
            </w:r>
          </w:p>
        </w:tc>
        <w:tc>
          <w:tcPr>
            <w:tcW w:w="1084" w:type="dxa"/>
            <w:vAlign w:val="center"/>
          </w:tcPr>
          <w:p w14:paraId="160D164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2.08</w:t>
            </w:r>
          </w:p>
        </w:tc>
        <w:tc>
          <w:tcPr>
            <w:tcW w:w="1273" w:type="dxa"/>
            <w:vAlign w:val="center"/>
          </w:tcPr>
          <w:p w14:paraId="38FFD0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-27.53</w:t>
            </w:r>
          </w:p>
        </w:tc>
        <w:tc>
          <w:tcPr>
            <w:tcW w:w="2678" w:type="dxa"/>
            <w:vAlign w:val="center"/>
          </w:tcPr>
          <w:p w14:paraId="576D03E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29.61</w:t>
            </w:r>
          </w:p>
        </w:tc>
        <w:tc>
          <w:tcPr>
            <w:tcW w:w="1715" w:type="dxa"/>
            <w:vAlign w:val="center"/>
          </w:tcPr>
          <w:p w14:paraId="05BD3E0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Offsetting component</w:t>
            </w:r>
          </w:p>
        </w:tc>
      </w:tr>
      <w:tr w14:paraId="59DAF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Align w:val="center"/>
          </w:tcPr>
          <w:p w14:paraId="4556A9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YLD</w:t>
            </w:r>
          </w:p>
        </w:tc>
        <w:tc>
          <w:tcPr>
            <w:tcW w:w="938" w:type="dxa"/>
            <w:vAlign w:val="center"/>
          </w:tcPr>
          <w:p w14:paraId="1C0FDA9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Male</w:t>
            </w:r>
          </w:p>
        </w:tc>
        <w:tc>
          <w:tcPr>
            <w:tcW w:w="1084" w:type="dxa"/>
            <w:vAlign w:val="center"/>
          </w:tcPr>
          <w:p w14:paraId="08989B7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1.40</w:t>
            </w:r>
          </w:p>
        </w:tc>
        <w:tc>
          <w:tcPr>
            <w:tcW w:w="1273" w:type="dxa"/>
            <w:vAlign w:val="center"/>
          </w:tcPr>
          <w:p w14:paraId="141B527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-12.58</w:t>
            </w:r>
          </w:p>
        </w:tc>
        <w:tc>
          <w:tcPr>
            <w:tcW w:w="2678" w:type="dxa"/>
            <w:vAlign w:val="center"/>
          </w:tcPr>
          <w:p w14:paraId="41909A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13.99</w:t>
            </w:r>
          </w:p>
        </w:tc>
        <w:tc>
          <w:tcPr>
            <w:tcW w:w="1715" w:type="dxa"/>
            <w:vAlign w:val="center"/>
          </w:tcPr>
          <w:p w14:paraId="7F01E50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Offsetting component</w:t>
            </w:r>
          </w:p>
        </w:tc>
      </w:tr>
      <w:tr w14:paraId="692CB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Align w:val="center"/>
          </w:tcPr>
          <w:p w14:paraId="4DC1C36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YLD</w:t>
            </w:r>
          </w:p>
        </w:tc>
        <w:tc>
          <w:tcPr>
            <w:tcW w:w="938" w:type="dxa"/>
            <w:vAlign w:val="center"/>
          </w:tcPr>
          <w:p w14:paraId="45B7E18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Female</w:t>
            </w:r>
          </w:p>
        </w:tc>
        <w:tc>
          <w:tcPr>
            <w:tcW w:w="1084" w:type="dxa"/>
            <w:vAlign w:val="center"/>
          </w:tcPr>
          <w:p w14:paraId="36DF06E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3.32</w:t>
            </w:r>
          </w:p>
        </w:tc>
        <w:tc>
          <w:tcPr>
            <w:tcW w:w="1273" w:type="dxa"/>
            <w:vAlign w:val="center"/>
          </w:tcPr>
          <w:p w14:paraId="3067429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-32.60</w:t>
            </w:r>
          </w:p>
        </w:tc>
        <w:tc>
          <w:tcPr>
            <w:tcW w:w="2678" w:type="dxa"/>
            <w:vAlign w:val="center"/>
          </w:tcPr>
          <w:p w14:paraId="405207C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35.91</w:t>
            </w:r>
          </w:p>
        </w:tc>
        <w:tc>
          <w:tcPr>
            <w:tcW w:w="1715" w:type="dxa"/>
            <w:vAlign w:val="center"/>
          </w:tcPr>
          <w:p w14:paraId="35DD2BC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  <w:t>Offsetting component</w:t>
            </w:r>
          </w:p>
        </w:tc>
      </w:tr>
    </w:tbl>
    <w:p w14:paraId="32A596A5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</w:pPr>
      <w:r>
        <w:rPr>
          <w:rFonts w:hint="default" w:ascii="Times New Roman" w:hAnsi="Times New Roman" w:eastAsia="宋体" w:cs="Times New Roman"/>
          <w:i/>
          <w:iCs/>
          <w:caps w:val="0"/>
          <w:color w:val="000000"/>
          <w:spacing w:val="0"/>
          <w:sz w:val="18"/>
          <w:szCs w:val="18"/>
          <w:shd w:val="clear" w:fill="FFFFFF"/>
        </w:rPr>
        <w:t>For YLD, percentage shares are not emphasized because the net crude</w:t>
      </w:r>
      <w:r>
        <w:rPr>
          <w:rFonts w:hint="eastAsia" w:ascii="Times New Roman" w:hAnsi="Times New Roman" w:eastAsia="宋体" w:cs="Times New Roman"/>
          <w:i/>
          <w:iCs/>
          <w:caps w:val="0"/>
          <w:color w:val="000000"/>
          <w:spacing w:val="0"/>
          <w:sz w:val="18"/>
          <w:szCs w:val="18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/>
          <w:iCs/>
          <w:caps w:val="0"/>
          <w:color w:val="000000"/>
          <w:spacing w:val="0"/>
          <w:sz w:val="18"/>
          <w:szCs w:val="18"/>
          <w:shd w:val="clear" w:fill="FFFFFF"/>
        </w:rPr>
        <w:t>rate change was small and resulted from two larger components with opposite directions. Internally standardized rates use the 2023 age distribution of the corresponding study population aged ≥60 years as the reference.</w:t>
      </w:r>
    </w:p>
    <w:p w14:paraId="6C86F5EE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file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Table 6. Age and sex-specific YLD burden in 1990 and 2023.</w:t>
      </w:r>
    </w:p>
    <w:tbl>
      <w:tblPr>
        <w:tblStyle w:val="5"/>
        <w:tblW w:w="0" w:type="auto"/>
        <w:tblInd w:w="-1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045"/>
        <w:gridCol w:w="1700"/>
        <w:gridCol w:w="1411"/>
        <w:gridCol w:w="1218"/>
        <w:gridCol w:w="1218"/>
        <w:gridCol w:w="1218"/>
      </w:tblGrid>
      <w:tr w14:paraId="2361C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center"/>
          </w:tcPr>
          <w:p w14:paraId="7744AC7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Sex</w:t>
            </w:r>
          </w:p>
        </w:tc>
        <w:tc>
          <w:tcPr>
            <w:tcW w:w="1045" w:type="dxa"/>
            <w:vAlign w:val="center"/>
          </w:tcPr>
          <w:p w14:paraId="08643CF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Age, years</w:t>
            </w:r>
          </w:p>
        </w:tc>
        <w:tc>
          <w:tcPr>
            <w:tcW w:w="1700" w:type="dxa"/>
            <w:vAlign w:val="center"/>
          </w:tcPr>
          <w:p w14:paraId="678566F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YLD number 1990</w:t>
            </w:r>
          </w:p>
        </w:tc>
        <w:tc>
          <w:tcPr>
            <w:tcW w:w="1411" w:type="dxa"/>
            <w:vAlign w:val="center"/>
          </w:tcPr>
          <w:p w14:paraId="2C16D69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YLD number 2023</w:t>
            </w:r>
          </w:p>
        </w:tc>
        <w:tc>
          <w:tcPr>
            <w:tcW w:w="1218" w:type="dxa"/>
            <w:vAlign w:val="center"/>
          </w:tcPr>
          <w:p w14:paraId="6A5E6C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YLD rate 1990</w:t>
            </w:r>
          </w:p>
        </w:tc>
        <w:tc>
          <w:tcPr>
            <w:tcW w:w="1218" w:type="dxa"/>
            <w:vAlign w:val="center"/>
          </w:tcPr>
          <w:p w14:paraId="794664E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YLD rate 2023</w:t>
            </w:r>
          </w:p>
        </w:tc>
        <w:tc>
          <w:tcPr>
            <w:tcW w:w="1218" w:type="dxa"/>
            <w:vAlign w:val="center"/>
          </w:tcPr>
          <w:p w14:paraId="74813C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Rate change</w:t>
            </w:r>
          </w:p>
        </w:tc>
      </w:tr>
      <w:tr w14:paraId="33A36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center"/>
          </w:tcPr>
          <w:p w14:paraId="1EEFCAC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Male</w:t>
            </w:r>
          </w:p>
        </w:tc>
        <w:tc>
          <w:tcPr>
            <w:tcW w:w="1045" w:type="dxa"/>
            <w:vAlign w:val="center"/>
          </w:tcPr>
          <w:p w14:paraId="1D7FF88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≥95</w:t>
            </w:r>
          </w:p>
        </w:tc>
        <w:tc>
          <w:tcPr>
            <w:tcW w:w="1700" w:type="dxa"/>
            <w:vAlign w:val="center"/>
          </w:tcPr>
          <w:p w14:paraId="3CC7450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52.71</w:t>
            </w:r>
          </w:p>
        </w:tc>
        <w:tc>
          <w:tcPr>
            <w:tcW w:w="1411" w:type="dxa"/>
            <w:vAlign w:val="center"/>
          </w:tcPr>
          <w:p w14:paraId="78CADE2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1,937.50</w:t>
            </w:r>
          </w:p>
        </w:tc>
        <w:tc>
          <w:tcPr>
            <w:tcW w:w="1218" w:type="dxa"/>
            <w:vAlign w:val="center"/>
          </w:tcPr>
          <w:p w14:paraId="567D2D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329.68</w:t>
            </w:r>
          </w:p>
        </w:tc>
        <w:tc>
          <w:tcPr>
            <w:tcW w:w="1218" w:type="dxa"/>
            <w:vAlign w:val="center"/>
          </w:tcPr>
          <w:p w14:paraId="29378F4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457.28</w:t>
            </w:r>
          </w:p>
        </w:tc>
        <w:tc>
          <w:tcPr>
            <w:tcW w:w="1218" w:type="dxa"/>
            <w:vAlign w:val="center"/>
          </w:tcPr>
          <w:p w14:paraId="7DB8721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38.70%</w:t>
            </w:r>
          </w:p>
        </w:tc>
      </w:tr>
      <w:tr w14:paraId="2673D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center"/>
          </w:tcPr>
          <w:p w14:paraId="1A8090B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Male</w:t>
            </w:r>
          </w:p>
        </w:tc>
        <w:tc>
          <w:tcPr>
            <w:tcW w:w="1045" w:type="dxa"/>
            <w:vAlign w:val="center"/>
          </w:tcPr>
          <w:p w14:paraId="2584DD4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90-94</w:t>
            </w:r>
          </w:p>
        </w:tc>
        <w:tc>
          <w:tcPr>
            <w:tcW w:w="1700" w:type="dxa"/>
            <w:vAlign w:val="center"/>
          </w:tcPr>
          <w:p w14:paraId="3D5CF61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297.42</w:t>
            </w:r>
          </w:p>
        </w:tc>
        <w:tc>
          <w:tcPr>
            <w:tcW w:w="1411" w:type="dxa"/>
            <w:vAlign w:val="center"/>
          </w:tcPr>
          <w:p w14:paraId="6B4FE9C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7,120.46</w:t>
            </w:r>
          </w:p>
        </w:tc>
        <w:tc>
          <w:tcPr>
            <w:tcW w:w="1218" w:type="dxa"/>
            <w:vAlign w:val="center"/>
          </w:tcPr>
          <w:p w14:paraId="4D821B2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295.57</w:t>
            </w:r>
          </w:p>
        </w:tc>
        <w:tc>
          <w:tcPr>
            <w:tcW w:w="1218" w:type="dxa"/>
            <w:vAlign w:val="center"/>
          </w:tcPr>
          <w:p w14:paraId="390971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418.26</w:t>
            </w:r>
          </w:p>
        </w:tc>
        <w:tc>
          <w:tcPr>
            <w:tcW w:w="1218" w:type="dxa"/>
            <w:vAlign w:val="center"/>
          </w:tcPr>
          <w:p w14:paraId="37E4806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41.51%</w:t>
            </w:r>
          </w:p>
        </w:tc>
      </w:tr>
      <w:tr w14:paraId="5A79C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center"/>
          </w:tcPr>
          <w:p w14:paraId="301BB87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Male</w:t>
            </w:r>
          </w:p>
        </w:tc>
        <w:tc>
          <w:tcPr>
            <w:tcW w:w="1045" w:type="dxa"/>
            <w:vAlign w:val="center"/>
          </w:tcPr>
          <w:p w14:paraId="676D77E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85-89</w:t>
            </w:r>
          </w:p>
        </w:tc>
        <w:tc>
          <w:tcPr>
            <w:tcW w:w="1700" w:type="dxa"/>
            <w:vAlign w:val="center"/>
          </w:tcPr>
          <w:p w14:paraId="31F14ED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1,679.86</w:t>
            </w:r>
          </w:p>
        </w:tc>
        <w:tc>
          <w:tcPr>
            <w:tcW w:w="1411" w:type="dxa"/>
            <w:vAlign w:val="center"/>
          </w:tcPr>
          <w:p w14:paraId="585F5FC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18,177.60</w:t>
            </w:r>
          </w:p>
        </w:tc>
        <w:tc>
          <w:tcPr>
            <w:tcW w:w="1218" w:type="dxa"/>
            <w:vAlign w:val="center"/>
          </w:tcPr>
          <w:p w14:paraId="6293BCF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264.73</w:t>
            </w:r>
          </w:p>
        </w:tc>
        <w:tc>
          <w:tcPr>
            <w:tcW w:w="1218" w:type="dxa"/>
            <w:vAlign w:val="center"/>
          </w:tcPr>
          <w:p w14:paraId="1B6BE53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355.99</w:t>
            </w:r>
          </w:p>
        </w:tc>
        <w:tc>
          <w:tcPr>
            <w:tcW w:w="1218" w:type="dxa"/>
            <w:vAlign w:val="center"/>
          </w:tcPr>
          <w:p w14:paraId="4C6FEC8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34.47%</w:t>
            </w:r>
          </w:p>
        </w:tc>
      </w:tr>
      <w:tr w14:paraId="32453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center"/>
          </w:tcPr>
          <w:p w14:paraId="0020CA9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Male</w:t>
            </w:r>
          </w:p>
        </w:tc>
        <w:tc>
          <w:tcPr>
            <w:tcW w:w="1045" w:type="dxa"/>
            <w:vAlign w:val="center"/>
          </w:tcPr>
          <w:p w14:paraId="57178E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80-84</w:t>
            </w:r>
          </w:p>
        </w:tc>
        <w:tc>
          <w:tcPr>
            <w:tcW w:w="1700" w:type="dxa"/>
            <w:vAlign w:val="center"/>
          </w:tcPr>
          <w:p w14:paraId="0083EFC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4,626.07</w:t>
            </w:r>
          </w:p>
        </w:tc>
        <w:tc>
          <w:tcPr>
            <w:tcW w:w="1411" w:type="dxa"/>
            <w:vAlign w:val="center"/>
          </w:tcPr>
          <w:p w14:paraId="3581E87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26,868.44</w:t>
            </w:r>
          </w:p>
        </w:tc>
        <w:tc>
          <w:tcPr>
            <w:tcW w:w="1218" w:type="dxa"/>
            <w:vAlign w:val="center"/>
          </w:tcPr>
          <w:p w14:paraId="242A8FB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221.65</w:t>
            </w:r>
          </w:p>
        </w:tc>
        <w:tc>
          <w:tcPr>
            <w:tcW w:w="1218" w:type="dxa"/>
            <w:vAlign w:val="center"/>
          </w:tcPr>
          <w:p w14:paraId="61ECA9B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267.02</w:t>
            </w:r>
          </w:p>
        </w:tc>
        <w:tc>
          <w:tcPr>
            <w:tcW w:w="1218" w:type="dxa"/>
            <w:vAlign w:val="center"/>
          </w:tcPr>
          <w:p w14:paraId="67408F0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20.47%</w:t>
            </w:r>
          </w:p>
        </w:tc>
      </w:tr>
      <w:tr w14:paraId="09027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center"/>
          </w:tcPr>
          <w:p w14:paraId="04E1820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Male</w:t>
            </w:r>
          </w:p>
        </w:tc>
        <w:tc>
          <w:tcPr>
            <w:tcW w:w="1045" w:type="dxa"/>
            <w:vAlign w:val="center"/>
          </w:tcPr>
          <w:p w14:paraId="309CD66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75-79</w:t>
            </w:r>
          </w:p>
        </w:tc>
        <w:tc>
          <w:tcPr>
            <w:tcW w:w="1700" w:type="dxa"/>
            <w:vAlign w:val="center"/>
          </w:tcPr>
          <w:p w14:paraId="18C61E3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8,090.89</w:t>
            </w:r>
          </w:p>
        </w:tc>
        <w:tc>
          <w:tcPr>
            <w:tcW w:w="1411" w:type="dxa"/>
            <w:vAlign w:val="center"/>
          </w:tcPr>
          <w:p w14:paraId="41F8C9D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31,124.61</w:t>
            </w:r>
          </w:p>
        </w:tc>
        <w:tc>
          <w:tcPr>
            <w:tcW w:w="1218" w:type="dxa"/>
            <w:vAlign w:val="center"/>
          </w:tcPr>
          <w:p w14:paraId="49DDF7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164.67</w:t>
            </w:r>
          </w:p>
        </w:tc>
        <w:tc>
          <w:tcPr>
            <w:tcW w:w="1218" w:type="dxa"/>
            <w:vAlign w:val="center"/>
          </w:tcPr>
          <w:p w14:paraId="663C76B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180.64</w:t>
            </w:r>
          </w:p>
        </w:tc>
        <w:tc>
          <w:tcPr>
            <w:tcW w:w="1218" w:type="dxa"/>
            <w:vAlign w:val="center"/>
          </w:tcPr>
          <w:p w14:paraId="4B1607E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9.70%</w:t>
            </w:r>
          </w:p>
        </w:tc>
      </w:tr>
      <w:tr w14:paraId="6A405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center"/>
          </w:tcPr>
          <w:p w14:paraId="7304A8F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Male</w:t>
            </w:r>
          </w:p>
        </w:tc>
        <w:tc>
          <w:tcPr>
            <w:tcW w:w="1045" w:type="dxa"/>
            <w:vAlign w:val="center"/>
          </w:tcPr>
          <w:p w14:paraId="637B8B2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70-74</w:t>
            </w:r>
          </w:p>
        </w:tc>
        <w:tc>
          <w:tcPr>
            <w:tcW w:w="1700" w:type="dxa"/>
            <w:vAlign w:val="center"/>
          </w:tcPr>
          <w:p w14:paraId="281D2B8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12,098.75</w:t>
            </w:r>
          </w:p>
        </w:tc>
        <w:tc>
          <w:tcPr>
            <w:tcW w:w="1411" w:type="dxa"/>
            <w:vAlign w:val="center"/>
          </w:tcPr>
          <w:p w14:paraId="4155471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39,487.56</w:t>
            </w:r>
          </w:p>
        </w:tc>
        <w:tc>
          <w:tcPr>
            <w:tcW w:w="1218" w:type="dxa"/>
            <w:vAlign w:val="center"/>
          </w:tcPr>
          <w:p w14:paraId="546D1E6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138.27</w:t>
            </w:r>
          </w:p>
        </w:tc>
        <w:tc>
          <w:tcPr>
            <w:tcW w:w="1218" w:type="dxa"/>
            <w:vAlign w:val="center"/>
          </w:tcPr>
          <w:p w14:paraId="47B36B7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134.64</w:t>
            </w:r>
          </w:p>
        </w:tc>
        <w:tc>
          <w:tcPr>
            <w:tcW w:w="1218" w:type="dxa"/>
            <w:vAlign w:val="center"/>
          </w:tcPr>
          <w:p w14:paraId="1A671B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-2.63%</w:t>
            </w:r>
          </w:p>
        </w:tc>
      </w:tr>
      <w:tr w14:paraId="26D74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center"/>
          </w:tcPr>
          <w:p w14:paraId="2EAC3D9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Male</w:t>
            </w:r>
          </w:p>
        </w:tc>
        <w:tc>
          <w:tcPr>
            <w:tcW w:w="1045" w:type="dxa"/>
            <w:vAlign w:val="center"/>
          </w:tcPr>
          <w:p w14:paraId="484FF27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65-69</w:t>
            </w:r>
          </w:p>
        </w:tc>
        <w:tc>
          <w:tcPr>
            <w:tcW w:w="1700" w:type="dxa"/>
            <w:vAlign w:val="center"/>
          </w:tcPr>
          <w:p w14:paraId="1AEACBF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17,751.41</w:t>
            </w:r>
          </w:p>
        </w:tc>
        <w:tc>
          <w:tcPr>
            <w:tcW w:w="1411" w:type="dxa"/>
            <w:vAlign w:val="center"/>
          </w:tcPr>
          <w:p w14:paraId="13F05D1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40,117.22</w:t>
            </w:r>
          </w:p>
        </w:tc>
        <w:tc>
          <w:tcPr>
            <w:tcW w:w="1218" w:type="dxa"/>
            <w:vAlign w:val="center"/>
          </w:tcPr>
          <w:p w14:paraId="44FA1CE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131.74</w:t>
            </w:r>
          </w:p>
        </w:tc>
        <w:tc>
          <w:tcPr>
            <w:tcW w:w="1218" w:type="dxa"/>
            <w:vAlign w:val="center"/>
          </w:tcPr>
          <w:p w14:paraId="15D99A8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106.41</w:t>
            </w:r>
          </w:p>
        </w:tc>
        <w:tc>
          <w:tcPr>
            <w:tcW w:w="1218" w:type="dxa"/>
            <w:vAlign w:val="center"/>
          </w:tcPr>
          <w:p w14:paraId="599C01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-19.22%</w:t>
            </w:r>
          </w:p>
        </w:tc>
      </w:tr>
      <w:tr w14:paraId="099BC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center"/>
          </w:tcPr>
          <w:p w14:paraId="3B0B415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Male</w:t>
            </w:r>
          </w:p>
        </w:tc>
        <w:tc>
          <w:tcPr>
            <w:tcW w:w="1045" w:type="dxa"/>
            <w:vAlign w:val="center"/>
          </w:tcPr>
          <w:p w14:paraId="0001B6E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60-64</w:t>
            </w:r>
          </w:p>
        </w:tc>
        <w:tc>
          <w:tcPr>
            <w:tcW w:w="1700" w:type="dxa"/>
            <w:vAlign w:val="center"/>
          </w:tcPr>
          <w:p w14:paraId="204F0CB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22,065.39</w:t>
            </w:r>
          </w:p>
        </w:tc>
        <w:tc>
          <w:tcPr>
            <w:tcW w:w="1411" w:type="dxa"/>
            <w:vAlign w:val="center"/>
          </w:tcPr>
          <w:p w14:paraId="4649257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33,493.43</w:t>
            </w:r>
          </w:p>
        </w:tc>
        <w:tc>
          <w:tcPr>
            <w:tcW w:w="1218" w:type="dxa"/>
            <w:vAlign w:val="center"/>
          </w:tcPr>
          <w:p w14:paraId="6CB29CF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120.80</w:t>
            </w:r>
          </w:p>
        </w:tc>
        <w:tc>
          <w:tcPr>
            <w:tcW w:w="1218" w:type="dxa"/>
            <w:vAlign w:val="center"/>
          </w:tcPr>
          <w:p w14:paraId="762F401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82.64</w:t>
            </w:r>
          </w:p>
        </w:tc>
        <w:tc>
          <w:tcPr>
            <w:tcW w:w="1218" w:type="dxa"/>
            <w:vAlign w:val="center"/>
          </w:tcPr>
          <w:p w14:paraId="07F559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-31.59%</w:t>
            </w:r>
          </w:p>
        </w:tc>
      </w:tr>
      <w:tr w14:paraId="77DF5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center"/>
          </w:tcPr>
          <w:p w14:paraId="5EFF71E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Female</w:t>
            </w:r>
          </w:p>
        </w:tc>
        <w:tc>
          <w:tcPr>
            <w:tcW w:w="1045" w:type="dxa"/>
            <w:vAlign w:val="center"/>
          </w:tcPr>
          <w:p w14:paraId="3BB170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≥95</w:t>
            </w:r>
          </w:p>
        </w:tc>
        <w:tc>
          <w:tcPr>
            <w:tcW w:w="1700" w:type="dxa"/>
            <w:vAlign w:val="center"/>
          </w:tcPr>
          <w:p w14:paraId="5E828F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434.25</w:t>
            </w:r>
          </w:p>
        </w:tc>
        <w:tc>
          <w:tcPr>
            <w:tcW w:w="1411" w:type="dxa"/>
            <w:vAlign w:val="center"/>
          </w:tcPr>
          <w:p w14:paraId="527C42A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9,422.70</w:t>
            </w:r>
          </w:p>
        </w:tc>
        <w:tc>
          <w:tcPr>
            <w:tcW w:w="1218" w:type="dxa"/>
            <w:vAlign w:val="center"/>
          </w:tcPr>
          <w:p w14:paraId="65E6F09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877.43</w:t>
            </w:r>
          </w:p>
        </w:tc>
        <w:tc>
          <w:tcPr>
            <w:tcW w:w="1218" w:type="dxa"/>
            <w:vAlign w:val="center"/>
          </w:tcPr>
          <w:p w14:paraId="425FCE9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1,152.08</w:t>
            </w:r>
          </w:p>
        </w:tc>
        <w:tc>
          <w:tcPr>
            <w:tcW w:w="1218" w:type="dxa"/>
            <w:vAlign w:val="center"/>
          </w:tcPr>
          <w:p w14:paraId="32BCE36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31.30%</w:t>
            </w:r>
          </w:p>
        </w:tc>
      </w:tr>
      <w:tr w14:paraId="7CB95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center"/>
          </w:tcPr>
          <w:p w14:paraId="6437B6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Female</w:t>
            </w:r>
          </w:p>
        </w:tc>
        <w:tc>
          <w:tcPr>
            <w:tcW w:w="1045" w:type="dxa"/>
            <w:vAlign w:val="center"/>
          </w:tcPr>
          <w:p w14:paraId="089A1B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90-94</w:t>
            </w:r>
          </w:p>
        </w:tc>
        <w:tc>
          <w:tcPr>
            <w:tcW w:w="1700" w:type="dxa"/>
            <w:vAlign w:val="center"/>
          </w:tcPr>
          <w:p w14:paraId="3734DED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2,235.00</w:t>
            </w:r>
          </w:p>
        </w:tc>
        <w:tc>
          <w:tcPr>
            <w:tcW w:w="1411" w:type="dxa"/>
            <w:vAlign w:val="center"/>
          </w:tcPr>
          <w:p w14:paraId="3A16704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27,585.24</w:t>
            </w:r>
          </w:p>
        </w:tc>
        <w:tc>
          <w:tcPr>
            <w:tcW w:w="1218" w:type="dxa"/>
            <w:vAlign w:val="center"/>
          </w:tcPr>
          <w:p w14:paraId="593EB3E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809.95</w:t>
            </w:r>
          </w:p>
        </w:tc>
        <w:tc>
          <w:tcPr>
            <w:tcW w:w="1218" w:type="dxa"/>
            <w:vAlign w:val="center"/>
          </w:tcPr>
          <w:p w14:paraId="785DCE1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976.11</w:t>
            </w:r>
          </w:p>
        </w:tc>
        <w:tc>
          <w:tcPr>
            <w:tcW w:w="1218" w:type="dxa"/>
            <w:vAlign w:val="center"/>
          </w:tcPr>
          <w:p w14:paraId="3C9B6B9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20.52%</w:t>
            </w:r>
          </w:p>
        </w:tc>
      </w:tr>
      <w:tr w14:paraId="2688D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center"/>
          </w:tcPr>
          <w:p w14:paraId="1C3DC27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Female</w:t>
            </w:r>
          </w:p>
        </w:tc>
        <w:tc>
          <w:tcPr>
            <w:tcW w:w="1045" w:type="dxa"/>
            <w:vAlign w:val="center"/>
          </w:tcPr>
          <w:p w14:paraId="0EB445F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85-89</w:t>
            </w:r>
          </w:p>
        </w:tc>
        <w:tc>
          <w:tcPr>
            <w:tcW w:w="1700" w:type="dxa"/>
            <w:vAlign w:val="center"/>
          </w:tcPr>
          <w:p w14:paraId="5DCDBF3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9,561.19</w:t>
            </w:r>
          </w:p>
        </w:tc>
        <w:tc>
          <w:tcPr>
            <w:tcW w:w="1411" w:type="dxa"/>
            <w:vAlign w:val="center"/>
          </w:tcPr>
          <w:p w14:paraId="3D6FB86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57,699.17</w:t>
            </w:r>
          </w:p>
        </w:tc>
        <w:tc>
          <w:tcPr>
            <w:tcW w:w="1218" w:type="dxa"/>
            <w:vAlign w:val="center"/>
          </w:tcPr>
          <w:p w14:paraId="50CC017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702.25</w:t>
            </w:r>
          </w:p>
        </w:tc>
        <w:tc>
          <w:tcPr>
            <w:tcW w:w="1218" w:type="dxa"/>
            <w:vAlign w:val="center"/>
          </w:tcPr>
          <w:p w14:paraId="6C2F950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783.31</w:t>
            </w:r>
          </w:p>
        </w:tc>
        <w:tc>
          <w:tcPr>
            <w:tcW w:w="1218" w:type="dxa"/>
            <w:vAlign w:val="center"/>
          </w:tcPr>
          <w:p w14:paraId="04B74AA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11.54%</w:t>
            </w:r>
          </w:p>
        </w:tc>
      </w:tr>
      <w:tr w14:paraId="7EDB6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center"/>
          </w:tcPr>
          <w:p w14:paraId="2835E84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Female</w:t>
            </w:r>
          </w:p>
        </w:tc>
        <w:tc>
          <w:tcPr>
            <w:tcW w:w="1045" w:type="dxa"/>
            <w:vAlign w:val="center"/>
          </w:tcPr>
          <w:p w14:paraId="06D78DE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80-84</w:t>
            </w:r>
          </w:p>
        </w:tc>
        <w:tc>
          <w:tcPr>
            <w:tcW w:w="1700" w:type="dxa"/>
            <w:vAlign w:val="center"/>
          </w:tcPr>
          <w:p w14:paraId="318CC4B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18,839.34</w:t>
            </w:r>
          </w:p>
        </w:tc>
        <w:tc>
          <w:tcPr>
            <w:tcW w:w="1411" w:type="dxa"/>
            <w:vAlign w:val="center"/>
          </w:tcPr>
          <w:p w14:paraId="745B988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69,787.25</w:t>
            </w:r>
          </w:p>
        </w:tc>
        <w:tc>
          <w:tcPr>
            <w:tcW w:w="1218" w:type="dxa"/>
            <w:vAlign w:val="center"/>
          </w:tcPr>
          <w:p w14:paraId="57022C6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538.71</w:t>
            </w:r>
          </w:p>
        </w:tc>
        <w:tc>
          <w:tcPr>
            <w:tcW w:w="1218" w:type="dxa"/>
            <w:vAlign w:val="center"/>
          </w:tcPr>
          <w:p w14:paraId="2D61576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562.71</w:t>
            </w:r>
          </w:p>
        </w:tc>
        <w:tc>
          <w:tcPr>
            <w:tcW w:w="1218" w:type="dxa"/>
            <w:vAlign w:val="center"/>
          </w:tcPr>
          <w:p w14:paraId="365EB9E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4.45%</w:t>
            </w:r>
          </w:p>
        </w:tc>
      </w:tr>
      <w:tr w14:paraId="407B9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center"/>
          </w:tcPr>
          <w:p w14:paraId="4CE5954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Female</w:t>
            </w:r>
          </w:p>
        </w:tc>
        <w:tc>
          <w:tcPr>
            <w:tcW w:w="1045" w:type="dxa"/>
            <w:vAlign w:val="center"/>
          </w:tcPr>
          <w:p w14:paraId="2E2B69F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75-79</w:t>
            </w:r>
          </w:p>
        </w:tc>
        <w:tc>
          <w:tcPr>
            <w:tcW w:w="1700" w:type="dxa"/>
            <w:vAlign w:val="center"/>
          </w:tcPr>
          <w:p w14:paraId="0B86849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22,900.29</w:t>
            </w:r>
          </w:p>
        </w:tc>
        <w:tc>
          <w:tcPr>
            <w:tcW w:w="1411" w:type="dxa"/>
            <w:vAlign w:val="center"/>
          </w:tcPr>
          <w:p w14:paraId="2493631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68,086.90</w:t>
            </w:r>
          </w:p>
        </w:tc>
        <w:tc>
          <w:tcPr>
            <w:tcW w:w="1218" w:type="dxa"/>
            <w:vAlign w:val="center"/>
          </w:tcPr>
          <w:p w14:paraId="0284DA9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351.59</w:t>
            </w:r>
          </w:p>
        </w:tc>
        <w:tc>
          <w:tcPr>
            <w:tcW w:w="1218" w:type="dxa"/>
            <w:vAlign w:val="center"/>
          </w:tcPr>
          <w:p w14:paraId="18C189D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348.14</w:t>
            </w:r>
          </w:p>
        </w:tc>
        <w:tc>
          <w:tcPr>
            <w:tcW w:w="1218" w:type="dxa"/>
            <w:vAlign w:val="center"/>
          </w:tcPr>
          <w:p w14:paraId="6BF246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-0.98%</w:t>
            </w:r>
          </w:p>
        </w:tc>
      </w:tr>
      <w:tr w14:paraId="71484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center"/>
          </w:tcPr>
          <w:p w14:paraId="7E0B4CF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Female</w:t>
            </w:r>
          </w:p>
        </w:tc>
        <w:tc>
          <w:tcPr>
            <w:tcW w:w="1045" w:type="dxa"/>
            <w:vAlign w:val="center"/>
          </w:tcPr>
          <w:p w14:paraId="7B65A6C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70-74</w:t>
            </w:r>
          </w:p>
        </w:tc>
        <w:tc>
          <w:tcPr>
            <w:tcW w:w="1700" w:type="dxa"/>
            <w:vAlign w:val="center"/>
          </w:tcPr>
          <w:p w14:paraId="7142A39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26,319.98</w:t>
            </w:r>
          </w:p>
        </w:tc>
        <w:tc>
          <w:tcPr>
            <w:tcW w:w="1411" w:type="dxa"/>
            <w:vAlign w:val="center"/>
          </w:tcPr>
          <w:p w14:paraId="565080D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71,476.32</w:t>
            </w:r>
          </w:p>
        </w:tc>
        <w:tc>
          <w:tcPr>
            <w:tcW w:w="1218" w:type="dxa"/>
            <w:vAlign w:val="center"/>
          </w:tcPr>
          <w:p w14:paraId="471F536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259.90</w:t>
            </w:r>
          </w:p>
        </w:tc>
        <w:tc>
          <w:tcPr>
            <w:tcW w:w="1218" w:type="dxa"/>
            <w:vAlign w:val="center"/>
          </w:tcPr>
          <w:p w14:paraId="7F23314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225.29</w:t>
            </w:r>
          </w:p>
        </w:tc>
        <w:tc>
          <w:tcPr>
            <w:tcW w:w="1218" w:type="dxa"/>
            <w:vAlign w:val="center"/>
          </w:tcPr>
          <w:p w14:paraId="3FC9FE5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-13.32%</w:t>
            </w:r>
          </w:p>
        </w:tc>
      </w:tr>
      <w:tr w14:paraId="2638E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center"/>
          </w:tcPr>
          <w:p w14:paraId="5325AF6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Female</w:t>
            </w:r>
          </w:p>
        </w:tc>
        <w:tc>
          <w:tcPr>
            <w:tcW w:w="1045" w:type="dxa"/>
            <w:vAlign w:val="center"/>
          </w:tcPr>
          <w:p w14:paraId="18D58F3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65-69</w:t>
            </w:r>
          </w:p>
        </w:tc>
        <w:tc>
          <w:tcPr>
            <w:tcW w:w="1700" w:type="dxa"/>
            <w:vAlign w:val="center"/>
          </w:tcPr>
          <w:p w14:paraId="32F531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28,356.68</w:t>
            </w:r>
          </w:p>
        </w:tc>
        <w:tc>
          <w:tcPr>
            <w:tcW w:w="1411" w:type="dxa"/>
            <w:vAlign w:val="center"/>
          </w:tcPr>
          <w:p w14:paraId="2334434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55,938.77</w:t>
            </w:r>
          </w:p>
        </w:tc>
        <w:tc>
          <w:tcPr>
            <w:tcW w:w="1218" w:type="dxa"/>
            <w:vAlign w:val="center"/>
          </w:tcPr>
          <w:p w14:paraId="1FEAC94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203.47</w:t>
            </w:r>
          </w:p>
        </w:tc>
        <w:tc>
          <w:tcPr>
            <w:tcW w:w="1218" w:type="dxa"/>
            <w:vAlign w:val="center"/>
          </w:tcPr>
          <w:p w14:paraId="365CA97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144.87</w:t>
            </w:r>
          </w:p>
        </w:tc>
        <w:tc>
          <w:tcPr>
            <w:tcW w:w="1218" w:type="dxa"/>
            <w:vAlign w:val="center"/>
          </w:tcPr>
          <w:p w14:paraId="34B6755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-28.80%</w:t>
            </w:r>
          </w:p>
        </w:tc>
      </w:tr>
      <w:tr w14:paraId="14DD6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  <w:vAlign w:val="center"/>
          </w:tcPr>
          <w:p w14:paraId="354DD6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Female</w:t>
            </w:r>
          </w:p>
        </w:tc>
        <w:tc>
          <w:tcPr>
            <w:tcW w:w="1045" w:type="dxa"/>
            <w:vAlign w:val="center"/>
          </w:tcPr>
          <w:p w14:paraId="2630A41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60-64</w:t>
            </w:r>
          </w:p>
        </w:tc>
        <w:tc>
          <w:tcPr>
            <w:tcW w:w="1700" w:type="dxa"/>
            <w:vAlign w:val="center"/>
          </w:tcPr>
          <w:p w14:paraId="61B8755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25,841.73</w:t>
            </w:r>
          </w:p>
        </w:tc>
        <w:tc>
          <w:tcPr>
            <w:tcW w:w="1411" w:type="dxa"/>
            <w:vAlign w:val="center"/>
          </w:tcPr>
          <w:p w14:paraId="289230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36,824.03</w:t>
            </w:r>
          </w:p>
        </w:tc>
        <w:tc>
          <w:tcPr>
            <w:tcW w:w="1218" w:type="dxa"/>
            <w:vAlign w:val="center"/>
          </w:tcPr>
          <w:p w14:paraId="35A48C0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150.37</w:t>
            </w:r>
          </w:p>
        </w:tc>
        <w:tc>
          <w:tcPr>
            <w:tcW w:w="1218" w:type="dxa"/>
            <w:vAlign w:val="center"/>
          </w:tcPr>
          <w:p w14:paraId="78EE91F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90.04</w:t>
            </w:r>
          </w:p>
        </w:tc>
        <w:tc>
          <w:tcPr>
            <w:tcW w:w="1218" w:type="dxa"/>
            <w:vAlign w:val="center"/>
          </w:tcPr>
          <w:p w14:paraId="0A1F8DF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-40.12%</w:t>
            </w:r>
          </w:p>
        </w:tc>
      </w:tr>
    </w:tbl>
    <w:p w14:paraId="392E0B69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file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Table S7. Period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specific sensitivity analysis for temporal evaluation observations overlapping the COVID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19 pandemic.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2"/>
        <w:gridCol w:w="3187"/>
        <w:gridCol w:w="764"/>
        <w:gridCol w:w="884"/>
        <w:gridCol w:w="830"/>
        <w:gridCol w:w="645"/>
      </w:tblGrid>
      <w:tr w14:paraId="5D9CC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2" w:type="dxa"/>
            <w:vAlign w:val="center"/>
          </w:tcPr>
          <w:p w14:paraId="0C81BFD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Period</w:t>
            </w:r>
          </w:p>
        </w:tc>
        <w:tc>
          <w:tcPr>
            <w:tcW w:w="3187" w:type="dxa"/>
            <w:vAlign w:val="center"/>
          </w:tcPr>
          <w:p w14:paraId="5CCB377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Model</w:t>
            </w:r>
          </w:p>
        </w:tc>
        <w:tc>
          <w:tcPr>
            <w:tcW w:w="764" w:type="dxa"/>
            <w:vAlign w:val="center"/>
          </w:tcPr>
          <w:p w14:paraId="2FB2A45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MAE</w:t>
            </w:r>
          </w:p>
        </w:tc>
        <w:tc>
          <w:tcPr>
            <w:tcW w:w="884" w:type="dxa"/>
            <w:vAlign w:val="center"/>
          </w:tcPr>
          <w:p w14:paraId="4A47E0F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RMSE</w:t>
            </w:r>
          </w:p>
        </w:tc>
        <w:tc>
          <w:tcPr>
            <w:tcW w:w="830" w:type="dxa"/>
            <w:vAlign w:val="center"/>
          </w:tcPr>
          <w:p w14:paraId="4510F97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MAPE</w:t>
            </w:r>
          </w:p>
        </w:tc>
        <w:tc>
          <w:tcPr>
            <w:tcW w:w="645" w:type="dxa"/>
            <w:vAlign w:val="center"/>
          </w:tcPr>
          <w:p w14:paraId="17D3AD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R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superscript"/>
                <w:lang w:val="en-US" w:eastAsia="zh-CN"/>
              </w:rPr>
              <w:t>2</w:t>
            </w:r>
          </w:p>
        </w:tc>
      </w:tr>
      <w:tr w14:paraId="5DEA1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2" w:type="dxa"/>
            <w:vAlign w:val="center"/>
          </w:tcPr>
          <w:p w14:paraId="00C9D03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Pre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pandemic 2016-2019</w:t>
            </w:r>
          </w:p>
        </w:tc>
        <w:tc>
          <w:tcPr>
            <w:tcW w:w="3187" w:type="dxa"/>
            <w:vAlign w:val="center"/>
          </w:tcPr>
          <w:p w14:paraId="365388C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eastAsia="zh-CN"/>
              </w:rPr>
              <w:t>log-linear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 xml:space="preserve"> model</w:t>
            </w:r>
          </w:p>
        </w:tc>
        <w:tc>
          <w:tcPr>
            <w:tcW w:w="764" w:type="dxa"/>
            <w:vAlign w:val="center"/>
          </w:tcPr>
          <w:p w14:paraId="04578D3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690.07</w:t>
            </w:r>
          </w:p>
        </w:tc>
        <w:tc>
          <w:tcPr>
            <w:tcW w:w="884" w:type="dxa"/>
            <w:vAlign w:val="center"/>
          </w:tcPr>
          <w:p w14:paraId="36EE3CB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1,231.16</w:t>
            </w:r>
          </w:p>
        </w:tc>
        <w:tc>
          <w:tcPr>
            <w:tcW w:w="830" w:type="dxa"/>
            <w:vAlign w:val="center"/>
          </w:tcPr>
          <w:p w14:paraId="60D47F6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18.18%</w:t>
            </w:r>
          </w:p>
        </w:tc>
        <w:tc>
          <w:tcPr>
            <w:tcW w:w="645" w:type="dxa"/>
            <w:vAlign w:val="center"/>
          </w:tcPr>
          <w:p w14:paraId="5A70B8A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0.705</w:t>
            </w:r>
          </w:p>
        </w:tc>
      </w:tr>
      <w:tr w14:paraId="09F24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2" w:type="dxa"/>
            <w:vAlign w:val="center"/>
          </w:tcPr>
          <w:p w14:paraId="426DCAE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Pre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pandemic 2016-2019</w:t>
            </w:r>
          </w:p>
        </w:tc>
        <w:tc>
          <w:tcPr>
            <w:tcW w:w="3187" w:type="dxa"/>
            <w:vAlign w:val="center"/>
          </w:tcPr>
          <w:p w14:paraId="61E4551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GAM</w:t>
            </w:r>
          </w:p>
        </w:tc>
        <w:tc>
          <w:tcPr>
            <w:tcW w:w="764" w:type="dxa"/>
            <w:vAlign w:val="center"/>
          </w:tcPr>
          <w:p w14:paraId="544BEB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302.28</w:t>
            </w:r>
          </w:p>
        </w:tc>
        <w:tc>
          <w:tcPr>
            <w:tcW w:w="884" w:type="dxa"/>
            <w:vAlign w:val="center"/>
          </w:tcPr>
          <w:p w14:paraId="7CBB811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591.55</w:t>
            </w:r>
          </w:p>
        </w:tc>
        <w:tc>
          <w:tcPr>
            <w:tcW w:w="830" w:type="dxa"/>
            <w:vAlign w:val="center"/>
          </w:tcPr>
          <w:p w14:paraId="204C524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14.11%</w:t>
            </w:r>
          </w:p>
        </w:tc>
        <w:tc>
          <w:tcPr>
            <w:tcW w:w="645" w:type="dxa"/>
            <w:vAlign w:val="center"/>
          </w:tcPr>
          <w:p w14:paraId="6B0A828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0.932</w:t>
            </w:r>
          </w:p>
        </w:tc>
      </w:tr>
      <w:tr w14:paraId="48A61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2" w:type="dxa"/>
            <w:vAlign w:val="center"/>
          </w:tcPr>
          <w:p w14:paraId="3B61470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Pre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pandemic 2016-2019</w:t>
            </w:r>
          </w:p>
        </w:tc>
        <w:tc>
          <w:tcPr>
            <w:tcW w:w="3187" w:type="dxa"/>
            <w:vAlign w:val="center"/>
          </w:tcPr>
          <w:p w14:paraId="3F05C85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GAM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AR1</w:t>
            </w:r>
          </w:p>
        </w:tc>
        <w:tc>
          <w:tcPr>
            <w:tcW w:w="764" w:type="dxa"/>
            <w:vAlign w:val="center"/>
          </w:tcPr>
          <w:p w14:paraId="360A81B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163.73</w:t>
            </w:r>
          </w:p>
        </w:tc>
        <w:tc>
          <w:tcPr>
            <w:tcW w:w="884" w:type="dxa"/>
            <w:vAlign w:val="center"/>
          </w:tcPr>
          <w:p w14:paraId="140BE88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309.49</w:t>
            </w:r>
          </w:p>
        </w:tc>
        <w:tc>
          <w:tcPr>
            <w:tcW w:w="830" w:type="dxa"/>
            <w:vAlign w:val="center"/>
          </w:tcPr>
          <w:p w14:paraId="65051B5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9.81%</w:t>
            </w:r>
          </w:p>
        </w:tc>
        <w:tc>
          <w:tcPr>
            <w:tcW w:w="645" w:type="dxa"/>
            <w:vAlign w:val="center"/>
          </w:tcPr>
          <w:p w14:paraId="3F1918B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0.981</w:t>
            </w:r>
          </w:p>
        </w:tc>
      </w:tr>
      <w:tr w14:paraId="1E527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2" w:type="dxa"/>
            <w:vAlign w:val="center"/>
          </w:tcPr>
          <w:p w14:paraId="76EA56F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Pre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pandemic 2016-2019</w:t>
            </w:r>
          </w:p>
        </w:tc>
        <w:tc>
          <w:tcPr>
            <w:tcW w:w="3187" w:type="dxa"/>
            <w:vAlign w:val="center"/>
          </w:tcPr>
          <w:p w14:paraId="1E0A213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ARIMA</w:t>
            </w:r>
          </w:p>
        </w:tc>
        <w:tc>
          <w:tcPr>
            <w:tcW w:w="764" w:type="dxa"/>
            <w:vAlign w:val="center"/>
          </w:tcPr>
          <w:p w14:paraId="7407D06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325.87</w:t>
            </w:r>
          </w:p>
        </w:tc>
        <w:tc>
          <w:tcPr>
            <w:tcW w:w="884" w:type="dxa"/>
            <w:vAlign w:val="center"/>
          </w:tcPr>
          <w:p w14:paraId="6E48F2E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707.94</w:t>
            </w:r>
          </w:p>
        </w:tc>
        <w:tc>
          <w:tcPr>
            <w:tcW w:w="830" w:type="dxa"/>
            <w:vAlign w:val="center"/>
          </w:tcPr>
          <w:p w14:paraId="3FDECD7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9.30%</w:t>
            </w:r>
          </w:p>
        </w:tc>
        <w:tc>
          <w:tcPr>
            <w:tcW w:w="645" w:type="dxa"/>
            <w:vAlign w:val="center"/>
          </w:tcPr>
          <w:p w14:paraId="1BA41F5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0.902</w:t>
            </w:r>
          </w:p>
        </w:tc>
      </w:tr>
      <w:tr w14:paraId="75D48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2" w:type="dxa"/>
            <w:vAlign w:val="center"/>
          </w:tcPr>
          <w:p w14:paraId="41B7FC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COVID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overlap 2020-2022</w:t>
            </w:r>
          </w:p>
        </w:tc>
        <w:tc>
          <w:tcPr>
            <w:tcW w:w="3187" w:type="dxa"/>
            <w:vAlign w:val="center"/>
          </w:tcPr>
          <w:p w14:paraId="12D2BD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eastAsia="zh-CN"/>
              </w:rPr>
              <w:t>log-linear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 xml:space="preserve"> model</w:t>
            </w:r>
          </w:p>
        </w:tc>
        <w:tc>
          <w:tcPr>
            <w:tcW w:w="764" w:type="dxa"/>
            <w:vAlign w:val="center"/>
          </w:tcPr>
          <w:p w14:paraId="108F66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775.48</w:t>
            </w:r>
          </w:p>
        </w:tc>
        <w:tc>
          <w:tcPr>
            <w:tcW w:w="884" w:type="dxa"/>
            <w:vAlign w:val="center"/>
          </w:tcPr>
          <w:p w14:paraId="4FA0E77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1,431.73</w:t>
            </w:r>
          </w:p>
        </w:tc>
        <w:tc>
          <w:tcPr>
            <w:tcW w:w="830" w:type="dxa"/>
            <w:vAlign w:val="center"/>
          </w:tcPr>
          <w:p w14:paraId="50B6539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20.07%</w:t>
            </w:r>
          </w:p>
        </w:tc>
        <w:tc>
          <w:tcPr>
            <w:tcW w:w="645" w:type="dxa"/>
            <w:vAlign w:val="center"/>
          </w:tcPr>
          <w:p w14:paraId="33911F0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0.737</w:t>
            </w:r>
          </w:p>
        </w:tc>
      </w:tr>
      <w:tr w14:paraId="1EB32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2" w:type="dxa"/>
            <w:vAlign w:val="center"/>
          </w:tcPr>
          <w:p w14:paraId="73CCEE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COVID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overlap 2020-2022</w:t>
            </w:r>
          </w:p>
        </w:tc>
        <w:tc>
          <w:tcPr>
            <w:tcW w:w="3187" w:type="dxa"/>
            <w:vAlign w:val="center"/>
          </w:tcPr>
          <w:p w14:paraId="6BCE9DD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GAM</w:t>
            </w:r>
          </w:p>
        </w:tc>
        <w:tc>
          <w:tcPr>
            <w:tcW w:w="764" w:type="dxa"/>
            <w:vAlign w:val="center"/>
          </w:tcPr>
          <w:p w14:paraId="02063B1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280.09</w:t>
            </w:r>
          </w:p>
        </w:tc>
        <w:tc>
          <w:tcPr>
            <w:tcW w:w="884" w:type="dxa"/>
            <w:vAlign w:val="center"/>
          </w:tcPr>
          <w:p w14:paraId="69BF0F5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609.87</w:t>
            </w:r>
          </w:p>
        </w:tc>
        <w:tc>
          <w:tcPr>
            <w:tcW w:w="830" w:type="dxa"/>
            <w:vAlign w:val="center"/>
          </w:tcPr>
          <w:p w14:paraId="11DAEE4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11.46%</w:t>
            </w:r>
          </w:p>
        </w:tc>
        <w:tc>
          <w:tcPr>
            <w:tcW w:w="645" w:type="dxa"/>
            <w:vAlign w:val="center"/>
          </w:tcPr>
          <w:p w14:paraId="14644C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0.952</w:t>
            </w:r>
          </w:p>
        </w:tc>
      </w:tr>
      <w:tr w14:paraId="42F19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2" w:type="dxa"/>
            <w:vAlign w:val="center"/>
          </w:tcPr>
          <w:p w14:paraId="0EDDDC0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COVID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overlap 2020-2022</w:t>
            </w:r>
          </w:p>
        </w:tc>
        <w:tc>
          <w:tcPr>
            <w:tcW w:w="3187" w:type="dxa"/>
            <w:vAlign w:val="center"/>
          </w:tcPr>
          <w:p w14:paraId="3322074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GAM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AR1</w:t>
            </w:r>
          </w:p>
        </w:tc>
        <w:tc>
          <w:tcPr>
            <w:tcW w:w="764" w:type="dxa"/>
            <w:vAlign w:val="center"/>
          </w:tcPr>
          <w:p w14:paraId="38E3822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223.96</w:t>
            </w:r>
          </w:p>
        </w:tc>
        <w:tc>
          <w:tcPr>
            <w:tcW w:w="884" w:type="dxa"/>
            <w:vAlign w:val="center"/>
          </w:tcPr>
          <w:p w14:paraId="2984459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339.62</w:t>
            </w:r>
          </w:p>
        </w:tc>
        <w:tc>
          <w:tcPr>
            <w:tcW w:w="830" w:type="dxa"/>
            <w:vAlign w:val="center"/>
          </w:tcPr>
          <w:p w14:paraId="34D8D60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11.89%</w:t>
            </w:r>
          </w:p>
        </w:tc>
        <w:tc>
          <w:tcPr>
            <w:tcW w:w="645" w:type="dxa"/>
            <w:vAlign w:val="center"/>
          </w:tcPr>
          <w:p w14:paraId="40902FD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0.985</w:t>
            </w:r>
          </w:p>
        </w:tc>
      </w:tr>
      <w:tr w14:paraId="396EF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2" w:type="dxa"/>
            <w:vAlign w:val="center"/>
          </w:tcPr>
          <w:p w14:paraId="57D742C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COVID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overlap 2020-2022</w:t>
            </w:r>
          </w:p>
        </w:tc>
        <w:tc>
          <w:tcPr>
            <w:tcW w:w="3187" w:type="dxa"/>
            <w:vAlign w:val="center"/>
          </w:tcPr>
          <w:p w14:paraId="2B459C3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ARIMA</w:t>
            </w:r>
          </w:p>
        </w:tc>
        <w:tc>
          <w:tcPr>
            <w:tcW w:w="764" w:type="dxa"/>
            <w:vAlign w:val="center"/>
          </w:tcPr>
          <w:p w14:paraId="5CA92B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306.07</w:t>
            </w:r>
          </w:p>
        </w:tc>
        <w:tc>
          <w:tcPr>
            <w:tcW w:w="884" w:type="dxa"/>
            <w:vAlign w:val="center"/>
          </w:tcPr>
          <w:p w14:paraId="670E3AC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823.36</w:t>
            </w:r>
          </w:p>
        </w:tc>
        <w:tc>
          <w:tcPr>
            <w:tcW w:w="830" w:type="dxa"/>
            <w:vAlign w:val="center"/>
          </w:tcPr>
          <w:p w14:paraId="056888C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8.05%</w:t>
            </w:r>
          </w:p>
        </w:tc>
        <w:tc>
          <w:tcPr>
            <w:tcW w:w="645" w:type="dxa"/>
            <w:vAlign w:val="center"/>
          </w:tcPr>
          <w:p w14:paraId="73C0C25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0.913</w:t>
            </w:r>
          </w:p>
        </w:tc>
      </w:tr>
      <w:tr w14:paraId="6DC7D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2" w:type="dxa"/>
            <w:vAlign w:val="center"/>
          </w:tcPr>
          <w:p w14:paraId="49CDC73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2023</w:t>
            </w:r>
          </w:p>
        </w:tc>
        <w:tc>
          <w:tcPr>
            <w:tcW w:w="3187" w:type="dxa"/>
            <w:vAlign w:val="center"/>
          </w:tcPr>
          <w:p w14:paraId="3CACD5E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eastAsia="zh-CN"/>
              </w:rPr>
              <w:t>log-linear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 xml:space="preserve"> model</w:t>
            </w:r>
          </w:p>
        </w:tc>
        <w:tc>
          <w:tcPr>
            <w:tcW w:w="764" w:type="dxa"/>
            <w:vAlign w:val="center"/>
          </w:tcPr>
          <w:p w14:paraId="60D45F8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491.81</w:t>
            </w:r>
          </w:p>
        </w:tc>
        <w:tc>
          <w:tcPr>
            <w:tcW w:w="884" w:type="dxa"/>
            <w:vAlign w:val="center"/>
          </w:tcPr>
          <w:p w14:paraId="28538A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921.18</w:t>
            </w:r>
          </w:p>
        </w:tc>
        <w:tc>
          <w:tcPr>
            <w:tcW w:w="830" w:type="dxa"/>
            <w:vAlign w:val="center"/>
          </w:tcPr>
          <w:p w14:paraId="49CE708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13.89%</w:t>
            </w:r>
          </w:p>
        </w:tc>
        <w:tc>
          <w:tcPr>
            <w:tcW w:w="645" w:type="dxa"/>
            <w:vAlign w:val="center"/>
          </w:tcPr>
          <w:p w14:paraId="77DB984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0.873</w:t>
            </w:r>
          </w:p>
        </w:tc>
      </w:tr>
      <w:tr w14:paraId="04659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2" w:type="dxa"/>
            <w:vAlign w:val="center"/>
          </w:tcPr>
          <w:p w14:paraId="103720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2023</w:t>
            </w:r>
          </w:p>
        </w:tc>
        <w:tc>
          <w:tcPr>
            <w:tcW w:w="3187" w:type="dxa"/>
            <w:vAlign w:val="center"/>
          </w:tcPr>
          <w:p w14:paraId="62DD22B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GAM</w:t>
            </w:r>
          </w:p>
        </w:tc>
        <w:tc>
          <w:tcPr>
            <w:tcW w:w="764" w:type="dxa"/>
            <w:vAlign w:val="center"/>
          </w:tcPr>
          <w:p w14:paraId="4B8AE7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116.71</w:t>
            </w:r>
          </w:p>
        </w:tc>
        <w:tc>
          <w:tcPr>
            <w:tcW w:w="884" w:type="dxa"/>
            <w:vAlign w:val="center"/>
          </w:tcPr>
          <w:p w14:paraId="2C5FEAD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193.34</w:t>
            </w:r>
          </w:p>
        </w:tc>
        <w:tc>
          <w:tcPr>
            <w:tcW w:w="830" w:type="dxa"/>
            <w:vAlign w:val="center"/>
          </w:tcPr>
          <w:p w14:paraId="37F93AE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3.88%</w:t>
            </w:r>
          </w:p>
        </w:tc>
        <w:tc>
          <w:tcPr>
            <w:tcW w:w="645" w:type="dxa"/>
            <w:vAlign w:val="center"/>
          </w:tcPr>
          <w:p w14:paraId="3B207E9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0.994</w:t>
            </w:r>
          </w:p>
        </w:tc>
      </w:tr>
      <w:tr w14:paraId="7E899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2" w:type="dxa"/>
            <w:vAlign w:val="center"/>
          </w:tcPr>
          <w:p w14:paraId="4A25D50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2023</w:t>
            </w:r>
          </w:p>
        </w:tc>
        <w:tc>
          <w:tcPr>
            <w:tcW w:w="3187" w:type="dxa"/>
            <w:vAlign w:val="center"/>
          </w:tcPr>
          <w:p w14:paraId="20FEF4D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GAM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AR1</w:t>
            </w:r>
          </w:p>
        </w:tc>
        <w:tc>
          <w:tcPr>
            <w:tcW w:w="764" w:type="dxa"/>
            <w:vAlign w:val="center"/>
          </w:tcPr>
          <w:p w14:paraId="3AA794B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547.98</w:t>
            </w:r>
          </w:p>
        </w:tc>
        <w:tc>
          <w:tcPr>
            <w:tcW w:w="884" w:type="dxa"/>
            <w:vAlign w:val="center"/>
          </w:tcPr>
          <w:p w14:paraId="06768A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883.53</w:t>
            </w:r>
          </w:p>
        </w:tc>
        <w:tc>
          <w:tcPr>
            <w:tcW w:w="830" w:type="dxa"/>
            <w:vAlign w:val="center"/>
          </w:tcPr>
          <w:p w14:paraId="18F040A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17.50%</w:t>
            </w:r>
          </w:p>
        </w:tc>
        <w:tc>
          <w:tcPr>
            <w:tcW w:w="645" w:type="dxa"/>
            <w:vAlign w:val="center"/>
          </w:tcPr>
          <w:p w14:paraId="48A9740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0.883</w:t>
            </w:r>
          </w:p>
        </w:tc>
      </w:tr>
      <w:tr w14:paraId="6D695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2" w:type="dxa"/>
            <w:vAlign w:val="center"/>
          </w:tcPr>
          <w:p w14:paraId="637F822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2023</w:t>
            </w:r>
          </w:p>
        </w:tc>
        <w:tc>
          <w:tcPr>
            <w:tcW w:w="3187" w:type="dxa"/>
            <w:vAlign w:val="center"/>
          </w:tcPr>
          <w:p w14:paraId="1E4175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ARIMA</w:t>
            </w:r>
          </w:p>
        </w:tc>
        <w:tc>
          <w:tcPr>
            <w:tcW w:w="764" w:type="dxa"/>
            <w:vAlign w:val="center"/>
          </w:tcPr>
          <w:p w14:paraId="1E3D106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151.34</w:t>
            </w:r>
          </w:p>
        </w:tc>
        <w:tc>
          <w:tcPr>
            <w:tcW w:w="884" w:type="dxa"/>
            <w:vAlign w:val="center"/>
          </w:tcPr>
          <w:p w14:paraId="1C4A934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272.00</w:t>
            </w:r>
          </w:p>
        </w:tc>
        <w:tc>
          <w:tcPr>
            <w:tcW w:w="830" w:type="dxa"/>
            <w:vAlign w:val="center"/>
          </w:tcPr>
          <w:p w14:paraId="4730BA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4.29%</w:t>
            </w:r>
          </w:p>
        </w:tc>
        <w:tc>
          <w:tcPr>
            <w:tcW w:w="645" w:type="dxa"/>
            <w:vAlign w:val="center"/>
          </w:tcPr>
          <w:p w14:paraId="189B524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0.989</w:t>
            </w:r>
          </w:p>
        </w:tc>
      </w:tr>
    </w:tbl>
    <w:p w14:paraId="57D080F0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>Sensitivity excluding 2020-2022: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50783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CD7FD0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Model</w:t>
            </w:r>
          </w:p>
        </w:tc>
        <w:tc>
          <w:tcPr>
            <w:tcW w:w="1704" w:type="dxa"/>
            <w:vAlign w:val="center"/>
          </w:tcPr>
          <w:p w14:paraId="6E33ADD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MAE</w:t>
            </w:r>
          </w:p>
        </w:tc>
        <w:tc>
          <w:tcPr>
            <w:tcW w:w="1704" w:type="dxa"/>
            <w:vAlign w:val="center"/>
          </w:tcPr>
          <w:p w14:paraId="784E45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RMSE</w:t>
            </w:r>
          </w:p>
        </w:tc>
        <w:tc>
          <w:tcPr>
            <w:tcW w:w="1705" w:type="dxa"/>
            <w:vAlign w:val="center"/>
          </w:tcPr>
          <w:p w14:paraId="1F708C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MAPE</w:t>
            </w:r>
          </w:p>
        </w:tc>
        <w:tc>
          <w:tcPr>
            <w:tcW w:w="1705" w:type="dxa"/>
            <w:vAlign w:val="center"/>
          </w:tcPr>
          <w:p w14:paraId="36F27D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R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6"/>
                <w:szCs w:val="16"/>
                <w:vertAlign w:val="superscript"/>
                <w:lang w:val="en-US" w:eastAsia="zh-CN"/>
              </w:rPr>
              <w:t>2</w:t>
            </w:r>
          </w:p>
        </w:tc>
      </w:tr>
      <w:tr w14:paraId="647CC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FA241A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eastAsia="zh-CN"/>
              </w:rPr>
              <w:t>log-linear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 xml:space="preserve"> model</w:t>
            </w:r>
          </w:p>
        </w:tc>
        <w:tc>
          <w:tcPr>
            <w:tcW w:w="1704" w:type="dxa"/>
            <w:vAlign w:val="center"/>
          </w:tcPr>
          <w:p w14:paraId="380AFA0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650.42</w:t>
            </w:r>
          </w:p>
        </w:tc>
        <w:tc>
          <w:tcPr>
            <w:tcW w:w="1704" w:type="dxa"/>
            <w:vAlign w:val="center"/>
          </w:tcPr>
          <w:p w14:paraId="5F8F163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1,175.72</w:t>
            </w:r>
          </w:p>
        </w:tc>
        <w:tc>
          <w:tcPr>
            <w:tcW w:w="1705" w:type="dxa"/>
            <w:vAlign w:val="center"/>
          </w:tcPr>
          <w:p w14:paraId="17951F2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17.32%</w:t>
            </w:r>
          </w:p>
        </w:tc>
        <w:tc>
          <w:tcPr>
            <w:tcW w:w="1705" w:type="dxa"/>
            <w:vAlign w:val="center"/>
          </w:tcPr>
          <w:p w14:paraId="5542571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0.746</w:t>
            </w:r>
          </w:p>
        </w:tc>
      </w:tr>
      <w:tr w14:paraId="73987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C7002B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GAM</w:t>
            </w:r>
          </w:p>
        </w:tc>
        <w:tc>
          <w:tcPr>
            <w:tcW w:w="1704" w:type="dxa"/>
            <w:vAlign w:val="center"/>
          </w:tcPr>
          <w:p w14:paraId="6227D64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265.17</w:t>
            </w:r>
          </w:p>
        </w:tc>
        <w:tc>
          <w:tcPr>
            <w:tcW w:w="1704" w:type="dxa"/>
            <w:vAlign w:val="center"/>
          </w:tcPr>
          <w:p w14:paraId="6B72887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536.12</w:t>
            </w:r>
          </w:p>
        </w:tc>
        <w:tc>
          <w:tcPr>
            <w:tcW w:w="1705" w:type="dxa"/>
            <w:vAlign w:val="center"/>
          </w:tcPr>
          <w:p w14:paraId="01D906A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12.06%</w:t>
            </w:r>
          </w:p>
        </w:tc>
        <w:tc>
          <w:tcPr>
            <w:tcW w:w="1705" w:type="dxa"/>
            <w:vAlign w:val="center"/>
          </w:tcPr>
          <w:p w14:paraId="3599ABC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0.947</w:t>
            </w:r>
          </w:p>
        </w:tc>
      </w:tr>
      <w:tr w14:paraId="4576B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79B959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GAM-AR1</w:t>
            </w:r>
          </w:p>
        </w:tc>
        <w:tc>
          <w:tcPr>
            <w:tcW w:w="1704" w:type="dxa"/>
            <w:vAlign w:val="center"/>
          </w:tcPr>
          <w:p w14:paraId="36DE90A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240.58</w:t>
            </w:r>
          </w:p>
        </w:tc>
        <w:tc>
          <w:tcPr>
            <w:tcW w:w="1704" w:type="dxa"/>
            <w:vAlign w:val="center"/>
          </w:tcPr>
          <w:p w14:paraId="51BC45F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482.44</w:t>
            </w:r>
          </w:p>
        </w:tc>
        <w:tc>
          <w:tcPr>
            <w:tcW w:w="1705" w:type="dxa"/>
            <w:vAlign w:val="center"/>
          </w:tcPr>
          <w:p w14:paraId="1A69B5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11.35%</w:t>
            </w:r>
          </w:p>
        </w:tc>
        <w:tc>
          <w:tcPr>
            <w:tcW w:w="1705" w:type="dxa"/>
            <w:vAlign w:val="center"/>
          </w:tcPr>
          <w:p w14:paraId="3575BA0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0.957</w:t>
            </w:r>
          </w:p>
        </w:tc>
      </w:tr>
      <w:tr w14:paraId="64B27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22721A9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ARIMA</w:t>
            </w:r>
          </w:p>
        </w:tc>
        <w:tc>
          <w:tcPr>
            <w:tcW w:w="1704" w:type="dxa"/>
            <w:vAlign w:val="center"/>
          </w:tcPr>
          <w:p w14:paraId="09C6FF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290.97</w:t>
            </w:r>
          </w:p>
        </w:tc>
        <w:tc>
          <w:tcPr>
            <w:tcW w:w="1704" w:type="dxa"/>
            <w:vAlign w:val="center"/>
          </w:tcPr>
          <w:p w14:paraId="388E8D7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644.78</w:t>
            </w:r>
          </w:p>
        </w:tc>
        <w:tc>
          <w:tcPr>
            <w:tcW w:w="1705" w:type="dxa"/>
            <w:vAlign w:val="center"/>
          </w:tcPr>
          <w:p w14:paraId="22743CB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8.30%</w:t>
            </w:r>
          </w:p>
        </w:tc>
        <w:tc>
          <w:tcPr>
            <w:tcW w:w="1705" w:type="dxa"/>
            <w:vAlign w:val="center"/>
          </w:tcPr>
          <w:p w14:paraId="00E733E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0.924</w:t>
            </w:r>
          </w:p>
        </w:tc>
      </w:tr>
    </w:tbl>
    <w:p w14:paraId="73245A91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Supplementary Fig. 2. Short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horizon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rolling-origin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 RMSE across candidate models (1-3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year forecasts).</w:t>
      </w:r>
    </w:p>
    <w:p w14:paraId="65C5CC21">
      <w:pPr>
        <w:numPr>
          <w:ilvl w:val="0"/>
          <w:numId w:val="0"/>
        </w:numP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3" name="图片 3" descr="E:/research/Rplot12.pngRplot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:/research/Rplot12.pngRplot12"/>
                    <pic:cNvPicPr>
                      <a:picLocks noChangeAspect="1"/>
                    </pic:cNvPicPr>
                  </pic:nvPicPr>
                  <pic:blipFill>
                    <a:blip r:embed="rId5"/>
                    <a:srcRect l="6502" r="650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898B7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40A95A93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20AE494F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530D93E1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47ECD366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7B3719D8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7B43E4C5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40E02628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2759FEC7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51D555D4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769DC53C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Supplementary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file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 Fig. 3. Long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horizon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rolling-origin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 RMSE across candidate models (1-10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year forecasts).</w:t>
      </w:r>
    </w:p>
    <w:p w14:paraId="348346AF">
      <w:pPr>
        <w:numPr>
          <w:ilvl w:val="0"/>
          <w:numId w:val="0"/>
        </w:numP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drawing>
          <wp:inline distT="0" distB="0" distL="114300" distR="114300">
            <wp:extent cx="5272405" cy="3439795"/>
            <wp:effectExtent l="0" t="0" r="4445" b="8255"/>
            <wp:docPr id="4" name="图片 4" descr="Rplot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Rplot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43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CA4F8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file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Fig. 4. GBD estimates versus predicted incidence rates in the 2016-2020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held-out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 GBD temporal evaluation period for the selected GAM.</w:t>
      </w:r>
    </w:p>
    <w:p w14:paraId="2BA7844A">
      <w:pPr>
        <w:numPr>
          <w:ilvl w:val="0"/>
          <w:numId w:val="0"/>
        </w:numP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drawing>
          <wp:inline distT="0" distB="0" distL="114300" distR="114300">
            <wp:extent cx="4847590" cy="3973195"/>
            <wp:effectExtent l="0" t="0" r="0" b="0"/>
            <wp:docPr id="6" name="图片 6" descr="FigS3_selected_validation_sca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S3_selected_validation_scatter"/>
                    <pic:cNvPicPr>
                      <a:picLocks noChangeAspect="1"/>
                    </pic:cNvPicPr>
                  </pic:nvPicPr>
                  <pic:blipFill>
                    <a:blip r:embed="rId7"/>
                    <a:srcRect t="4386"/>
                    <a:stretch>
                      <a:fillRect/>
                    </a:stretch>
                  </pic:blipFill>
                  <pic:spPr>
                    <a:xfrm>
                      <a:off x="0" y="0"/>
                      <a:ext cx="4847590" cy="397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B8B47"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file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Fig. 5. Supplementary file Fig. 5. Age- and sex-stratified GBD estimates and GAM-predicted incidence rates in the 2016–2020 held-out GBD temporal evaluation period.</w:t>
      </w:r>
      <w:bookmarkStart w:id="0" w:name="_GoBack"/>
      <w:bookmarkEnd w:id="0"/>
    </w:p>
    <w:p w14:paraId="5CFFCEC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6186805"/>
            <wp:effectExtent l="0" t="0" r="0" b="0"/>
            <wp:docPr id="7" name="图片 7" descr="FigS4_selected_validation_tre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S4_selected_validation_trends"/>
                    <pic:cNvPicPr>
                      <a:picLocks noChangeAspect="1"/>
                    </pic:cNvPicPr>
                  </pic:nvPicPr>
                  <pic:blipFill>
                    <a:blip r:embed="rId8"/>
                    <a:srcRect t="21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18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A6D01"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27889824"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598C6A68"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221B9A9C"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648AD136"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5C08504C"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28E040D4"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5EFAFB6B"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3F395DA1"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6421B699"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5C37415C"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file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Fig. 6. Crude and internally age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standardized hip fracture incidence rates among Chinese adults aged ≥60 years, 1990-2023.</w:t>
      </w:r>
    </w:p>
    <w:p w14:paraId="5FA9B1BB">
      <w:pP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drawing>
          <wp:inline distT="0" distB="0" distL="114300" distR="114300">
            <wp:extent cx="5274310" cy="3955415"/>
            <wp:effectExtent l="0" t="0" r="2540" b="6985"/>
            <wp:docPr id="8" name="图片 8" descr="FigS5_crude_vs_internal_standardized_inc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S5_crude_vs_internal_standardized_incidenc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17524"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file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Fig. 7. Crude and internally age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standardized YLD rate trends among Chinese adults aged ≥60 years, 1990-2023</w:t>
      </w:r>
    </w:p>
    <w:p w14:paraId="50B9CC51">
      <w:pP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drawing>
          <wp:inline distT="0" distB="0" distL="114300" distR="114300">
            <wp:extent cx="5274310" cy="3955415"/>
            <wp:effectExtent l="0" t="0" r="2540" b="6985"/>
            <wp:docPr id="9" name="图片 9" descr="FigS6_YLD_rate_tre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S6_YLD_rate_trends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7C620">
      <w:pP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Supplementary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file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 Fig. 8. Absolute YLD burden among Chinese adults aged ≥60 years, 1990-2023.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drawing>
          <wp:inline distT="0" distB="0" distL="114300" distR="114300">
            <wp:extent cx="5274310" cy="3955415"/>
            <wp:effectExtent l="0" t="0" r="2540" b="6985"/>
            <wp:docPr id="10" name="图片 10" descr="FigS7_YLD_number_tre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S7_YLD_number_trends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B54F4"/>
    <w:rsid w:val="046215B4"/>
    <w:rsid w:val="0546107D"/>
    <w:rsid w:val="05EB54F4"/>
    <w:rsid w:val="06233AA0"/>
    <w:rsid w:val="07EE21B9"/>
    <w:rsid w:val="09490DC9"/>
    <w:rsid w:val="096A4B81"/>
    <w:rsid w:val="09E413B3"/>
    <w:rsid w:val="0B100BEF"/>
    <w:rsid w:val="0CC02DCB"/>
    <w:rsid w:val="10C91F64"/>
    <w:rsid w:val="16387D22"/>
    <w:rsid w:val="16573C5D"/>
    <w:rsid w:val="16A83F8F"/>
    <w:rsid w:val="17991A67"/>
    <w:rsid w:val="17F43647"/>
    <w:rsid w:val="18BF4802"/>
    <w:rsid w:val="18C26A96"/>
    <w:rsid w:val="18F365C9"/>
    <w:rsid w:val="19A40BD7"/>
    <w:rsid w:val="19B525C4"/>
    <w:rsid w:val="1A1F0F68"/>
    <w:rsid w:val="1AEF6A73"/>
    <w:rsid w:val="1BCB0A96"/>
    <w:rsid w:val="1BD44240"/>
    <w:rsid w:val="1C6A30AB"/>
    <w:rsid w:val="1CFF0B63"/>
    <w:rsid w:val="1D703F17"/>
    <w:rsid w:val="1F1D68E4"/>
    <w:rsid w:val="1F602B3B"/>
    <w:rsid w:val="1F6B7C4E"/>
    <w:rsid w:val="20F748D2"/>
    <w:rsid w:val="21C77D00"/>
    <w:rsid w:val="2223038E"/>
    <w:rsid w:val="232F6FF2"/>
    <w:rsid w:val="244905A6"/>
    <w:rsid w:val="24C77BDD"/>
    <w:rsid w:val="2524184E"/>
    <w:rsid w:val="26046186"/>
    <w:rsid w:val="267E3536"/>
    <w:rsid w:val="2699558E"/>
    <w:rsid w:val="27375F2E"/>
    <w:rsid w:val="276D35D6"/>
    <w:rsid w:val="27CB79C9"/>
    <w:rsid w:val="28F2728C"/>
    <w:rsid w:val="2C5F2143"/>
    <w:rsid w:val="2D4A3C8A"/>
    <w:rsid w:val="2F3517DE"/>
    <w:rsid w:val="2FEB59EA"/>
    <w:rsid w:val="30FC5F15"/>
    <w:rsid w:val="31C74937"/>
    <w:rsid w:val="322E7A29"/>
    <w:rsid w:val="327052B3"/>
    <w:rsid w:val="32741B8D"/>
    <w:rsid w:val="3312059E"/>
    <w:rsid w:val="34671476"/>
    <w:rsid w:val="34762022"/>
    <w:rsid w:val="349077F1"/>
    <w:rsid w:val="3591639E"/>
    <w:rsid w:val="38BE0A98"/>
    <w:rsid w:val="39052615"/>
    <w:rsid w:val="398F0CF0"/>
    <w:rsid w:val="39DA296F"/>
    <w:rsid w:val="3A2108EE"/>
    <w:rsid w:val="3AC34280"/>
    <w:rsid w:val="3BA5016B"/>
    <w:rsid w:val="3BF84689"/>
    <w:rsid w:val="3C5B6995"/>
    <w:rsid w:val="3D9E4D9F"/>
    <w:rsid w:val="3F51259E"/>
    <w:rsid w:val="3FA85D7D"/>
    <w:rsid w:val="410B144D"/>
    <w:rsid w:val="41340743"/>
    <w:rsid w:val="41A94EDE"/>
    <w:rsid w:val="427E22EE"/>
    <w:rsid w:val="42C5274B"/>
    <w:rsid w:val="42F4401C"/>
    <w:rsid w:val="432D3D38"/>
    <w:rsid w:val="43716CB0"/>
    <w:rsid w:val="456F454F"/>
    <w:rsid w:val="48484A58"/>
    <w:rsid w:val="49244D8F"/>
    <w:rsid w:val="4B1A34C8"/>
    <w:rsid w:val="4CF52C6F"/>
    <w:rsid w:val="4D227E5B"/>
    <w:rsid w:val="4DA66A03"/>
    <w:rsid w:val="4EC07933"/>
    <w:rsid w:val="5080549C"/>
    <w:rsid w:val="50E60238"/>
    <w:rsid w:val="510F3A86"/>
    <w:rsid w:val="51322116"/>
    <w:rsid w:val="5144471C"/>
    <w:rsid w:val="51CA3667"/>
    <w:rsid w:val="5266383D"/>
    <w:rsid w:val="538F23A6"/>
    <w:rsid w:val="544D6F54"/>
    <w:rsid w:val="54EF4214"/>
    <w:rsid w:val="55E30278"/>
    <w:rsid w:val="561304D0"/>
    <w:rsid w:val="565E0F71"/>
    <w:rsid w:val="56917B91"/>
    <w:rsid w:val="578971D5"/>
    <w:rsid w:val="57BD7E75"/>
    <w:rsid w:val="59B30F36"/>
    <w:rsid w:val="59CF76A0"/>
    <w:rsid w:val="5A563CA3"/>
    <w:rsid w:val="5AD142B1"/>
    <w:rsid w:val="5B881356"/>
    <w:rsid w:val="5C007491"/>
    <w:rsid w:val="609E265A"/>
    <w:rsid w:val="60CA556C"/>
    <w:rsid w:val="61ED6569"/>
    <w:rsid w:val="62AA2731"/>
    <w:rsid w:val="637109B2"/>
    <w:rsid w:val="643B7564"/>
    <w:rsid w:val="65943DCC"/>
    <w:rsid w:val="6755677A"/>
    <w:rsid w:val="67937849"/>
    <w:rsid w:val="68640322"/>
    <w:rsid w:val="6A3805B5"/>
    <w:rsid w:val="6A987242"/>
    <w:rsid w:val="6BAF4F71"/>
    <w:rsid w:val="6D416038"/>
    <w:rsid w:val="6D630BC7"/>
    <w:rsid w:val="6D9C0EEE"/>
    <w:rsid w:val="6DB122F8"/>
    <w:rsid w:val="6E7879F0"/>
    <w:rsid w:val="70576B42"/>
    <w:rsid w:val="717F0411"/>
    <w:rsid w:val="72B700A2"/>
    <w:rsid w:val="731A18C2"/>
    <w:rsid w:val="73824E98"/>
    <w:rsid w:val="7406346F"/>
    <w:rsid w:val="7474784A"/>
    <w:rsid w:val="758073FF"/>
    <w:rsid w:val="77521AFC"/>
    <w:rsid w:val="77957A74"/>
    <w:rsid w:val="77B94F26"/>
    <w:rsid w:val="77BC1AE3"/>
    <w:rsid w:val="78CD260F"/>
    <w:rsid w:val="78FE426C"/>
    <w:rsid w:val="79495563"/>
    <w:rsid w:val="7A4F18B8"/>
    <w:rsid w:val="7AA11299"/>
    <w:rsid w:val="7ABB6F4D"/>
    <w:rsid w:val="7CD05C51"/>
    <w:rsid w:val="7CF7099A"/>
    <w:rsid w:val="7D397F90"/>
    <w:rsid w:val="7E446934"/>
    <w:rsid w:val="7F2A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657119C-6982-421D-8BA7-E74DEB70A7D9-1">
      <extobjdata type="E657119C-6982-421D-8BA7-E74DEB70A7D9" data="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lNWSFZsU1ZkNmRuUmlOemcwTnpFekpUSXlKVE5CSlRkQ0pUSXlhV1FsTWpJbE0wRWxNakpTVkhWbFNWZDZkblJpTnpnME56RXpKVEl5SlRKREpUSXlibUZ0WlNVeU1pVXpRU1V5TW5KdmRXNWtVbVZqZEdGdVoyeGxKVEl5SlRKREpUSXlkR2wwYkdVbE1qSWxNMEVsTWpJbFJUVWxPVU1sT0RZbFJUZ2xRVGNsT1R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lZCU1NHUndWM0ZxYXpZNU9URTRNQ1V5TWlVM1JDVXlReVUzUWlVeU1tNWhiV1VsTWpJbE0wRWxNaklsUlRVbE9UQWxPRVFsUlRjbFFUY2xRakFsTWpJbE1rTWxNakowZVhCbEpUSXlKVE5CSlRJeWMzUnlhVzVuSlRJeUpUSkRKVEl5ZG1Gc2RXVWxNaklsTTBFbE1qSWxNaklsTWtNbE1qSmpZWFJsWjI5eWVTVXlNaVV6UVNVeU1tUmxabUYxYkhRbE1qSWxNa01sTWpKcFpDVXlNaVV6UVNVeU1rUnJWM1Z3WTBkV1FrWTBNekU0TlR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WW05c1pDVXlNaVV6UVhSeWRXVWxNa01sTWpKemFYcGxKVEl5SlROQk1UUWxOMFFsTWtNbE1qSjBaWGgwUW14dlkyc2xNaklsTTBFbE5VSWxOMElsTWpKd2IzTnBkR2x2YmlVeU1pVXpRU1UzUWlVeU1uZ2xNaklsTTBFeE1DVXlReVV5TW5rbE1qSWxNMEV3SlRKREpUSXlkeVV5TWlVelFTVXlNbmN0TWpBbE1qSWxNa01sTWpKb0pUSXlKVE5CSlRJeWFDVXlNaVUzUkNVeVF5VXlNblJsZUhRbE1qSWxNMEVsTWpKSFFrUWxNakF4T1Rrd0pVVXlKVGd3SlRrek1qQXlNeVV5TUdSaGRHRWxNakJsZUhSeVlXTjBhVzl1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TRk5ZYzNOaldHWlVaakU1T0Rjek9DVXlNaVV6UVNVM1FpVXlNbWxrSlRJeUpUTkJKVEl5U0ZOWWMzTmpXR1pVWmpFNU9EY3pPQ1V5TWlVeVF5VXlNbTVoYldVbE1qSWxNMEVsTWpKeWIzVnVaRkpsWTNSaGJtZHNaU1V5TWlVeVF5VXlNblJwZEd4bEpUSXlKVE5CSlRJeUpVVTFKVGxESlRnMkpVVTRKVUUzSlRr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1GWGFHNU9jbEZWU2tjME5EWXhPVGdsTWpJbE4wUWxNa01sTjBJbE1qSnVZVzFsSlRJeUpUTkJKVEl5SlVVMUpUa3dKVGhFSlVVM0pVRTNKVUl3SlRJeUpUSkRKVEl5ZEhsd1pTVXlNaVV6UVNVeU1uTjBjbWx1WnlVeU1pVXlReVV5TW5aaGJIVmxKVEl5SlROQkpUSXlKVEl5SlRKREpUSXlZMkYwWldkdmNua2xNaklsTTBFbE1qSmtaV1poZFd4MEpUSXlKVEpESlRJeWFXUWxNaklsTTBFbE1qSkliMEpQUVhoWlpsbE9OelEzTkRJN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1KdmJHUWxNaklsTTBGMGNuVmxKVEpESlRJeWMybDZaU1V5TWlVelFURTBKVGRFSlRKREpUSXlkR1Y0ZEVKc2IyTnJKVEl5SlROQkpUVkNKVGRDSlRJeWNHOXphWFJwYjI0bE1qSWxNMEVsTjBJbE1qSjRKVEl5SlROQk1UQWxNa01sTWpKNUpUSXlKVE5CTUNVeVF5VXlNbmNsTWpJbE0wRWxNakozTFRJd0pUSXlKVEpESlRJeWFDVXlNaVV6UVNVeU1tZ2xNaklsTjBRbE1rTWxNakowWlhoMEpUSXlKVE5CSlRJeVFuVnlaR1Z1SlRJd1pHVnpZM0pwY0hScGIyNG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blZsbFFRbXhyVEhoSU9UWTJPVE15SlRJeUpUTkJKVGRDSlRJeWFXUWxNaklsTTBFbE1qSm5WbGxRUW14clRIaElPVFkyT1RNeUpUSXlKVEpESlRJeWJtRnRaU1V5TWlVelFTVXlNbkp2ZFc1a1VtVmpkR0Z1WjJ4bEpUSXlKVEpESlRJeWRHbDBiR1VsTWpJbE0wRWxNaklsUlRVbE9VTWxPRFlsUlRnbFFUY2xPVE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hM0IyWTJabFpsUnFaVFV4TURreU9DVXlNaVUzUkNVeVF5VTNRaVV5TW01aGJXVWxNaklsTTBFbE1qSWxSVFVsT1RBbE9FUWxSVGNsUVRjbFFqQWxNaklsTWtNbE1qSjBlWEJsSlRJeUpUTkJKVEl5YzNSeWFXNW5KVEl5SlRKREpUSXlkbUZzZFdVbE1qSWxNMEVsTWpJbE1qSWxNa01sTWpKallYUmxaMjl5ZVNVeU1pVXpRU1V5TW1SbFptRjFiSFFsTWpJbE1rTWxNakpwWkNVeU1pVXpRU1V5TW1GeVpsZG9la2h2ZDJVM09UazNPVGt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BKVEpESlRJeVltOXNaQ1V5TWlVelFYUnlkV1VsTjBRbE1rTWxNakowWlhoMFFteHZZMnNsTWpJbE0wRWxOVUlsTjBJbE1qSndiM05wZEdsdmJpVXlNaVV6UVNVM1FpVXlNbmdsTWpJbE0wRXhNQ1V5UXlVeU1ua2xNaklsTTBFd0pUSkRKVEl5ZHlVeU1pVXpRU1V5TW5jdE1qQWxNaklsTWtNbE1qSm9KVEl5SlROQkpUSXlhQ1V5TWlVM1JDVXlReVV5TW5SbGVIUWxNaklsTTBFbE1qSkhRa1FsTWpBeU1ESXpKVEl3WlhOMGFXMWhkR1Z6SlRKREpUSXdRMmhwYm1FbE1rTWxNakF4T1Rrd0xUSXdNak1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BUblJhUW10a1lXeFpPREUwT1RBeEpUSXlKVE5CSlRkQ0pUSXlhV1FsTWpJbE0wRWxNakowVG5SYVFtdGtZV3haT0RFME9UQXhKVEl5SlRKREpUSXlibUZ0WlNVeU1pVXpRU1V5TW5KdmRXNWtVbVZqZEdGdVoyeGxKVEl5SlRKREpUSXlkR2wwYkdVbE1qSWxNMEVsTWpJbFJUVWxPVU1sT0RZbFJUZ2xRVGNsT1R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lVaVFVWZDRkbVJoZHpNMk5URTNOeVV5TWlVM1JDVXlReVUzUWlVeU1tNWhiV1VsTWpJbE0wRWxNaklsUlRVbE9UQWxPRVFsUlRjbFFUY2xRakFsTWpJbE1rTWxNakowZVhCbEpUSXlKVE5CSlRJeWMzUnlhVzVuSlRJeUpUSkRKVEl5ZG1Gc2RXVWxNaklsTTBFbE1qSWxNaklsTWtNbE1qSmpZWFJsWjI5eWVTVXlNaVV6UVNVeU1tUmxabUYxYkhRbE1qSWxNa01sTWpKcFpDVXlNaVV6UVNVeU1uZDZkbXB1Um14cGFHVTNNelEzT0RB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UjJWSGNIVkphMVpNWnpjNE5ESXdNQ1V5TWlVelFTVTNRaVV5TW1sa0pUSXlKVE5CSlRJeVIyVkhjSFZKYTFaTVp6YzROREl3TUNVeU1pVXlReVV5TW01aGJXVWxNaklsTTBFbE1qSnliM1Z1WkZKbFkzUmhibWRzWlNVeU1pVXlReVV5TW5ScGRHeGxKVEl5SlROQkpUSXlKVVUxSlRsREpUZzJKVVU0SlVFM0pUa3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ZFpUSEZrWm5oRWQzbzNNamM0TVRVbE1qSWxOMFFsTWtNbE4wSWxNakp1WVcxbEpUSXlKVE5CSlRJeUpVVTFKVGt3SlRoRUpVVTNKVUUzSlVJd0pUSXlKVEpESlRJeWRIbHdaU1V5TWlVelFTVXlNbk4wY21sdVp5VXlNaVV5UXlVeU1uWmhiSFZsSlRJeUpUTkJKVEl5SlRJeUpUSkRKVEl5WTJGMFpXZHZjbmtsTWpJbE0wRWxNakprWldaaGRXeDBKVEl5SlRKREpUSXlhV1FsTWpJbE0wRWxNakpCVDI1NlVVVnRjV0ozTWpJNU1URXp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Q1V5UXlVeU1tSnZiR1FsTWpJbE0wRjBjblZsSlRkRUpUSkRKVEl5ZEdWNGRFSnNiMk5ySlRJeUpUTkJKVFZDSlRkQ0pUSXljRzl6YVhScGIyNGxNaklsTTBFbE4wSWxNako0SlRJeUpUTkJNVEFsTWtNbE1qSjVKVEl5SlROQk1DVXlReVV5TW5jbE1qSWxNMEVsTWpKM0xUSXdKVEl5SlRKREpUSXlhQ1V5TWlVelFTVXlNbWdsTWpJbE4wUWxNa01sTWpKMFpYaDBKVEl5SlROQkpUSXlTRzl6Y0dsMFlXd2xNalp1WW5Od0pUTkNjbVZqYjNKa2N5VXpRMlJwZGlVelJUSXdNVGt0TWpBeU5TVXpReVV5Um1ScGRp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aE1iMmhxVG1KSWRFSTRNamt4TnpnbE1qSWxNMEVsTjBJbE1qSnBaQ1V5TWlVelFTVXlNa2hNYjJocVRtSklkRUk0TWpreE56Z2xNaklsTWtNbE1qSnVZVzFsSlRJeUpUTkJKVEl5YzJsdVoyeGxUR1ZtZEVGeWNtOTNKVEl5SlRKREpUSXlkR2wwYkdVbE1qSWxNMEVsTWpJbFJUVWxRamNsUVRZbFJUY2xRVVVsUVVRbFJUVWxRVFFsUWpR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ldGWWJGVnhaV1pUZFRnMU5UWXlPU1V5TWlVM1JDVXlReVUzUWlVeU1tNWhiV1VsTWpJbE0wRWxNaklsUlRVbE9UQWxPRVFsUlRjbFFUY2xRakFsTWpJbE1rTWxNakowZVhCbEpUSXlKVE5CSlRJeWMzUnlhVzVuSlRJeUpUSkRKVEl5ZG1Gc2RXVWxNaklsTTBFbE1qSWxNaklsTWtNbE1qSmpZWFJsWjI5eWVTVXlNaVV6UVNVeU1tUmxabUYxYkhRbE1qSWxNa01sTWpKcFpDVXlNaVV6UVNVeU1rZHFaRUZJWTBsTGFrYzROamcyTXpZ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SVlZOSGIyaHhZbTF1TVRReE1qazVKVEl5SlRkRUpUSkRKVGRDSlRJeWJtRnRaU1V5TWlVelFTVXlNaVZGTlNVNU1DVTRSQ1ZGTnlWQk55VkNNQ1V5TWlVeVF5VXlNblI1Y0dVbE1qSWxNMEVsTWpKemRISnBibWNsTWpJbE1rTWxNakoyWVd4MVpTVXlNaVV6UVNVeU1pVXlNaVV5UXlVeU1tTmhkR1ZuYjNKNUpUSXlKVE5CSlRJeVpHVm1ZWFZzZENVeU1pVXlReVV5TW1sa0pUSXlKVE5CSlRJeWJYRkJUbmwyVG1KTmJ6ZzRPRFF4T1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BKVGRFSlRKREpUSXlkR1Y0ZEVKc2IyTnJKVEl5SlROQkpUVkNKVGRDSlRJeWNHOXphWFJwYjI0bE1qSWxNMEVsTjBJbE1qSjRKVEl5SlROQk1UQWxNa01sTWpKNUpUSXlKVE5CTUNVeVF5VXlNbmNsTWpJbE0wRWxNakozTFRJd0pUSXlKVEpESlRJeWFDVXlNaVV6UVNVeU1tZ2xNaklsTjBRbE1rTWxNakowWlhoMEpUSXlKVE5CSlRJeVJHVm1hVzVsSlRJd2FHbHdMV1p5WVdOMGRYSmxiV1ZoYzNWeVpYTWxNa01sTWpCaFoyVWxNakJuY205MWNITWxNa01sTWpCelpYZ2xNa05oYm1RbE1qQjFibU5sY25SaGFXNTBlU1V5TUdsdWRHVnlkbUZzY3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HA1YVU5MVdFSlBSRm95TURBNE5EY2xNaklsTTBFbE4wSWxNakpwWkNVeU1pVXpRU1V5TWxwNWFVOTFXRUpQUkZveU1EQTRORGN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iSFJ5WVhOWWJuRm5XVGsyT1RRNU9DVXlNaVUzUkNVeVF5VTNRaVV5TW01aGJXVWxNaklsTTBFbE1qSWxSVFVsT1RBbE9FUWxSVGNsUVRjbFFqQWxNaklsTWtNbE1qSjBlWEJsSlRJeUpUTkJKVEl5YzNSeWFXNW5KVEl5SlRKREpUSXlkbUZzZFdVbE1qSWxNMEVsTWpJbE1qSWxNa01sTWpKallYUmxaMjl5ZVNVeU1pVXpRU1V5TW1SbFptRjFiSFFsTWpJbE1rTWxNakpwWkNVeU1pVXpRU1V5TW5oeVNuVnJRVWgxVG00ek56UXpPRGt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DVTNSQ1V5UXlVeU1uUmxlSFJDYkc5amF5VXlNaVV6UVNVMVFpVTNRaVV5TW5CdmMybDBhVzl1SlRJeUpUTkJKVGRDSlRJeWVDVXlNaVV6UVRFd0pUSkRKVEl5ZVNVeU1pVXpRVEFsTWtNbE1qSjNKVEl5SlROQkpUSXlkeTB5TUNVeU1pVXlReVV5TW1nbE1qSWxNMEVsTWpKb0pUSXlKVGRFSlRKREpUSXlkR1Y0ZENVeU1pVXpRU1V5TWtSbGMyTnlhV0psSlRJd2FXNWphV1JsYm1ObEpUSkRjSEpsZG1Gc1pXNWpaU1V5UXlVeU1GbE1SSE1sTWtNbE1qQmhibVIwWlcxd2IzSmhiQ1V5TUhSeVpXNWtje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SnBTMGxyYmxOdWEwRXpNamsyT0RjbE1qSWxNMEVsTjBJbE1qSnBaQ1V5TWlVelFTVXlNa0pwUzBscmJsTnVhMEV6TWprMk9EY2xNaklsTWtNbE1qSnVZVzFsSlRJeUpUTkJKVEl5Y205MWJtUlNaV04wWVc1bmJHVWxNaklsTWtNbE1qSjBhWFJzWlNVeU1pVXpRU1V5TWlWRk5TVTVReVU0TmlWRk9DVkJOeVU1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1WTJOU1lXRmpURmh4TWpjNU1EZzBKVEl5SlRkRUpUSkRKVGRDSlRJeWJtRnRaU1V5TWlVelFTVXlNaVZGTlNVNU1DVTRSQ1ZGTnlWQk55VkNNQ1V5TWlVeVF5VXlNblI1Y0dVbE1qSWxNMEVsTWpKemRISnBibWNsTWpJbE1rTWxNakoyWVd4MVpTVXlNaVV6UVNVeU1pVXlNaVV5UXlVeU1tTmhkR1ZuYjNKNUpUSXlKVE5CSlRJeVpHVm1ZWFZzZENVeU1pVXlReVV5TW1sa0pUSXlKVE5CSlRJeVFuRkpiWEpqWjJWVGF6Y3hNakkyT1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DVXlReVV5TW1KdmJHUWxNaklsTTBGMGNuVmxKVGRFSlRKREpUSXlkR1Y0ZEVKc2IyTnJKVEl5SlROQkpUVkNKVGRDSlRJeWNHOXphWFJwYjI0bE1qSWxNMEVsTjBJbE1qSjRKVEl5SlROQk1UQWxNa01sTWpKNUpUSXlKVE5CTUNVeVF5VXlNbmNsTWpJbE0wRWxNakozTFRJd0pUSXlKVEpESlRJeWFDVXlNaVV6UVNVeU1tZ2xNaklsTjBRbE1rTWxNakowWlhoMEpUSXlKVE5CSlRJeVEyRnVaR2xrWVhSbEpUSXdiVzlrWld4ekpUTkJKVEl3Ykc5bkpUSXdiR2x1WldGeUpUSkRKVEl3UjBGTkpUSkRKVEl3UVZKSlRVRWxNMElsTWpCSFFVMGxNakJCVWpFbE1qQnlaWE5wWkhWaGJDVXlNSE4wY25WamRIVnlaU1V5TUhObGJuTnBkR2wyYVhSNUpUTkRZbklsTTB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ozYkVOaWMxWnpWV1pxTXpVeE5ERXdKVEl5SlROQkpUZENKVEl5YVdRbE1qSWxNMEVsTWpKM2JFTmljMVp6VldacU16VXhOREV3SlRJeUpUSkRKVEl5Ym1GdFpTVXlNaVV6UVNVeU1uSnZkVzVrVW1WamRHRnVaMnhsSlRJeUpUSkRKVEl5ZEdsMGJHVWxNaklsTTBFbE1qSWxSVFVsT1VNbE9EWWxSVGdsUVRjbE9U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JVZHFaRkJvVjBOcVRqQXpOREUxTWlVeU1pVTNSQ1V5UXlVM1FpVXlNbTVoYldVbE1qSWxNMEVsTWpJbFJUVWxPVEFsT0VRbFJUY2xRVGNsUWpBbE1qSWxNa01sTWpKMGVYQmxKVEl5SlROQkpUSXljM1J5YVc1bkpUSXlKVEpESlRJeWRtRnNkV1VsTWpJbE0wRWxNaklsTWpJbE1rTWxNakpqWVhSbFoyOXllU1V5TWlVelFTVXlNbVJsWm1GMWJIUWxNaklsTWtNbE1qSnBaQ1V5TWlVelFTVXlNblpFUkVKNVNHcEpjV2szTXpFek1UY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wSlRKREpUSXlZbTlzWkNVeU1pVXpRWFJ5ZFdVbE4wUWxNa01sTWpKMFpYaDBRbXh2WTJzbE1qSWxNMEVsTlVJbE4wSWxNakp3YjNOcGRHbHZiaVV5TWlVelFTVTNRaVV5TW5nbE1qSWxNMEV4TUNVeVF5VXlNbmtsTWpJbE0wRXdKVEpESlRJeWR5VXlNaVV6UVNVeU1uY3RNakFsTWpJbE1rTWxNakpvSlRJeUpUTkJKVEl5YUNVeU1pVTNSQ1V5UXlVeU1uUmxlSFFsTWpJbE0wRWxNakpUWlhGMVpXNTBhV0ZzSlRJd2RHVnRjRzl5WVd3bE1qQmxkbUZzZFdGMGFXOXVKVE5CSlRJd01qQXhOaTB5TURJd0pUSXdZVzVrSlRJd01qQXlNUzB5TURJekpUTkRZbklsTTB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aYzB0RFdYZG1jazlJTURVM056WTVKVEl5SlROQkpUZENKVEl5YVdRbE1qSWxNMEVsTWpKWmMwdERXWGRtY2s5SU1EVTNOelk1SlRJeUpUSkRKVEl5Ym1GdFpTVXlNaVV6UVNVeU1uSnZkVzVrVW1WamRHRnVaMnhsSlRJeUpUSkRKVEl5ZEdsMGJHVWxNaklsTTBFbE1qSWxSVFVsT1VNbE9EWWxSVGdsUVRjbE9U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ExQnVlVzE0Umt0bFlUQXhORGswTUNVeU1pVTNSQ1V5UXlVM1FpVXlNbTVoYldVbE1qSWxNMEVsTWpJbFJUVWxPVEFsT0VRbFJUY2xRVGNsUWpBbE1qSWxNa01sTWpKMGVYQmxKVEl5SlROQkpUSXljM1J5YVc1bkpUSXlKVEpESlRJeWRtRnNkV1VsTWpJbE0wRWxNaklsTWpJbE1rTWxNakpqWVhSbFoyOXllU1V5TWlVelFTVXlNbVJsWm1GMWJIUWxNaklsTWtNbE1qSnBaQ1V5TWlVelFTVXlNblJvV1U1MFJGUlFVM1U1TkRjd05EQ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RbE1rTWxNakppYjJ4a0pUSXlKVE5CZEhKMVpTVTNSQ1V5UXlVeU1uUmxlSFJDYkc5amF5VXlNaVV6UVNVMVFpVTNRaVV5TW5CdmMybDBhVzl1SlRJeUpUTkJKVGRDSlRJeWVDVXlNaVV6UVRFd0pUSkRKVEl5ZVNVeU1pVXpRVEFsTWtNbE1qSjNKVEl5SlROQkpUSXlkeTB5TUNVeU1pVXlReVV5TW1nbE1qSWxNMEVsTWpKb0pUSXlKVGRFSlRKREpUSXlkR1Y0ZENVeU1pVXpRU1V5TWxKdmJHeHBibWNsTWpCdmNtbG5hVzRsTWpCbGRtRnNkV0YwYVc5dUpUTkJKVEl3TVMwekpUSXdlV1ZoY2lVeU1HRnVaQ1V5TURVdE1UQWxNakI1WldGeUpUSXdhRzl5YVhwdmJuT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UFFsVkNSRVpVUjNwU01UazNORFE1SlRJeUpUTkJKVGRDSlRJeWFXUWxNaklsTTBFbE1qSlBRbFZDUkVaVVIzcFNNVGszTkRRNUpUSXlKVEpESlRJeWJtRnRaU1V5TWlVelFTVXlNbkp2ZFc1a1VtVmpkR0Z1WjJ4bEpUSXlKVEpESlRJeWRHbDBiR1VsTWpJbE0wRWxNaklsUlRVbE9VTWxPRFlsUlRnbFFUY2xPVE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ibUZpVldwRVNWaHdZVFEyTlRJeU15VXlNaVUzUkNVeVF5VTNRaVV5TW01aGJXVWxNaklsTTBFbE1qSWxSVFVsT1RBbE9FUWxSVGNsUVRjbFFqQWxNaklsTWtNbE1qSjBlWEJsSlRJeUpUTkJKVEl5YzNSeWFXNW5KVEl5SlRKREpUSXlkbUZzZFdVbE1qSWxNMEVsTWpJbE1qSWxNa01sTWpKallYUmxaMjl5ZVNVeU1pVXpRU1V5TW1SbFptRjFiSFFsTWpJbE1rTWxNakpwWkNVeU1pVXpRU1V5TWtGR1IxSjFXRmhPUTAweE1qQTBPRGt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UWxNa01sTWpKaWIyeGtKVEl5SlROQmRISjFaU1UzUkNVeVF5VXlNblJsZUhSQ2JHOWpheVV5TWlVelFTVTFRaVUzUWlVeU1uQnZjMmwwYVc5dUpUSXlKVE5CSlRkQ0pUSXllQ1V5TWlVelFURXdKVEpESlRJeWVTVXlNaVV6UVRBbE1rTWxNakozSlRJeUpUTkJKVEl5ZHkweU1DVXlNaVV5UXlVeU1tZ2xNaklsTTBFbE1qSm9KVEl5SlRkRUpUSkRKVEl5ZEdWNGRDVXlNaVV6UVNVeU1rWnBibUZzSlRJd1IwRk5KVEl3Wm1sMGRHVmtKVEl3ZEc4bE1qQXhPVGt3TFRJd01qTWxNME5pY2lVelJ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1SU1psSkRZMWhvZWs0NU9URTFNVEFsTWpJbE0wRWxOMElsTWpKcFpDVXlNaVV6UVNVeU1tUlNabEpEWTFob2VrNDVPVEUxTVRBbE1qSWxNa01sTWpKdVlXMWxKVEl5SlROQkpUSXljbTkxYm1SU1pXTjBZVzVuYkdVbE1qSWxNa01sTWpKMGFYUnNaU1V5TWlVelFTVXlNaVZGTlNVNVF5VTROaVZGT0NWQk55VTV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nRZVmRPVGxwRlltMW1PRGN6TVRNNEpUSXlKVGRFSlRKREpUZENKVEl5Ym1GdFpTVXlNaVV6UVNVeU1pVkZOU1U1TUNVNFJDVkZOeVZCTnlWQ01DVXlNaVV5UXlVeU1uUjVjR1VsTWpJbE0wRWxNakp6ZEhKcGJtY2xNaklsTWtNbE1qSjJZV3gxWlNVeU1pVXpRU1V5TWlVeU1pVXlReVV5TW1OaGRHVm5iM0o1SlRJeUpUTkJKVEl5WkdWbVlYVnNkQ1V5TWlVeVF5VXlNbWxrSlRJeUpUTkJKVEl5YTB4TlpGSnZZMHRWYmprNU56RTF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FsTWtNbE1qSmliMnhrSlRJeUpUTkJkSEoxWlNVM1JDVXlReVV5TW5SbGVIUkNiRzlqYXlVeU1pVXpRU1UxUWlVM1FpVXlNbkJ2YzJsMGFXOXVKVEl5SlROQkpUZENKVEl5ZUNVeU1pVXpRVEV3SlRKREpUSXllU1V5TWlVelFUQWxNa01sTWpKM0pUSXlKVE5CSlRJeWR5MHlNQ1V5TWlVeVF5VXlNbWdsTWpJbE0wRWxNakpvSlRJeUpUZEVKVEpESlRJeWRHVjRkQ1V5TWlVelFTVXlNbEJ5YjJwbFkzUnBiMjRsTWpCdlppVXlNR0ZuWlNVeU1HRnVaQ1V5TUhObGVDMXpjR1ZqYVdacFl5VXlNR2x1WTJsa1pXNWpaU1V5TUhKaGRHVnpKVEpESlRJd01qQXlOQzB5TURNMUpUTkRZbklsTTB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ZVlhab1EyMTZZVTUyTXpBeE1EVXlKVEl5SlROQkpUZENKVEl5YVdRbE1qSWxNMEVsTWpKWVZYWm9RMjE2WVU1Mk16QXhNRFV5SlRJeUpUSkRKVEl5Ym1GdFpTVXlNaVV6UVNVeU1uSnZkVzVrVW1WamRHRnVaMnhsSlRJeUpUSkRKVEl5ZEdsMGJHVWxNaklsTTBFbE1qSWxSVFVsT1VNbE9EWWxSVGdsUVRjbE9U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ExSmljMkYyZUhwS1RqVTFNVGMxTnlVeU1pVTNSQ1V5UXlVM1FpVXlNbTVoYldVbE1qSWxNMEVsTWpJbFJUVWxPVEFsT0VRbFJUY2xRVGNsUWpBbE1qSWxNa01sTWpKMGVYQmxKVEl5SlROQkpUSXljM1J5YVc1bkpUSXlKVEpESlRJeWRtRnNkV1VsTWpJbE0wRWxNaklsTWpJbE1rTWxNakpqWVhSbFoyOXllU1V5TWlVelFTVXlNbVJsWm1GMWJIUWxNaklsTWtNbE1qSnBaQ1V5TWlVelFTVXlNbEo0VkVGMlZGTlRaa2N5TVRNMU9EW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kNVeVF5VXlNbUp2YkdRbE1qSWxNMEYwY25WbEpUZEVKVEpESlRJeWRHVjRkRUpzYjJOckpUSXlKVE5CSlRWQ0pUZENKVEl5Y0c5emFYUnBiMjRsTWpJbE0wRWxOMElsTWpKNEpUSXlKVE5CTVRBbE1rTWxNako1SlRJeUpUTkJNQ1V5UXlVeU1uY2xNaklsTTBFbE1qSjNMVEl3SlRJeUpUSkRKVEl5YUNVeU1pVXpRU1V5TW1nbE1qSWxOMFFsTWtNbE1qSjBaWGgwSlRJeUpUTkJKVEl5U1c1MFpXZHlZWFJsWkNVeU1HbHVkR1Z5Y0hKbGRHRjBhVzl1WVc1a0pUSXdiR2x0YVhSaGRHbHZibk1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NkbVJ0ZWtKMGVFbEhNRE0xTWpVNEpUSXlKVE5CSlRkQ0pUSXlhV1FsTWpJbE0wRWxNakozZG1SdGVrSjBlRWxITURNMU1qVTRKVEl5SlRKREpUSXlibUZ0WlNVeU1pVXpRU1V5TW5KdmRXNWtVbVZqZEdGdVoyeGxKVEl5SlRKREpUSXlkR2wwYkdVbE1qSWxNMEVsTWpJbFJUVWxPVU1sT0RZbFJUZ2xRVGNsT1R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TFaYVZWbFRSMk4wV1Rnd05EQXlOQ1V5TWlVM1JDVXlReVUzUWlVeU1tNWhiV1VsTWpJbE0wRWxNaklsUlRVbE9UQWxPRVFsUlRjbFFUY2xRakFsTWpJbE1rTWxNakowZVhCbEpUSXlKVE5CSlRJeWMzUnlhVzVuSlRJeUpUSkRKVEl5ZG1Gc2RXVWxNaklsTTBFbE1qSWxNaklsTWtNbE1qSmpZWFJsWjI5eWVTVXlNaVV6UVNVeU1tUmxabUYxYkhRbE1qSWxNa01sTWpKcFpDVXlNaVV6UVNVeU1tZExWMlpyYUdkSVZVSTNOemMwTXpZ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DVXlReVV5TW1KdmJHUWxNaklsTTBGMGNuVmxKVGRFSlRKREpUSXlkR1Y0ZEVKc2IyTnJKVEl5SlROQkpUVkNKVGRDSlRJeWNHOXphWFJwYjI0bE1qSWxNMEVsTjBJbE1qSjRKVEl5SlROQk1UQWxNa01sTWpKNUpUSXlKVE5CTUNVeVF5VXlNbmNsTWpJbE0wRWxNakozTFRJd0pUSXlKVEpESlRJeWFDVXlNaVV6UVNVeU1tZ2xNaklsTjBRbE1rTWxNakowWlhoMEpUSXlKVE5CSlRJeVJXeHBaMmxpYVd4cGRIa2xNakJ5WlhacFpYY2xNa05rWlMxa2RYQnNhV05oZEdsdmJpVXlReVV5TUdGdVpDVXlNR1JsTFdsa1pXNTBhV1pwWTJGMGFXOXV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ZWZHBkblZRVDNOd1ZqVTNNRGswTlNVeU1pVXpRU1UzUWlVeU1tbGtKVEl5SlROQkpUSXlWVmRwZG5WUVQzTndWalUzTURrME5TVXlNaVV5UXlVeU1tNWhiV1VsTWpJbE0wRWxNakp5YjNWdVpGSmxZM1JoYm1kc1pTVXlNaVV5UXlVeU1uUnBkR3hsSlRJeUpUTkJKVEl5SlVVMUpUbERKVGcySlVVNEpVRTNKVGt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TluVTJaNWJHOVdSR1F6TWpNd056WWxNaklsTjBRbE1rTWxOMElsTWpKdVlXMWxKVEl5SlROQkpUSXlKVVUxSlRrd0pUaEVKVVUzSlVFM0pVSXdKVEl5SlRKREpUSXlkSGx3WlNVeU1pVXpRU1V5TW5OMGNtbHVaeVV5TWlVeVF5VXlNblpoYkhWbEpUSXlKVE5CSlRJeUpUSXlKVEpESlRJeVkyRjBaV2R2Y25rbE1qSWxNMEVsTWpKa1pXWmhkV3gwSlRJeUpUSkRKVEl5YVdRbE1qSWxNMEVsTWpKc1JHcExjRTlRVmt4dE9EazFNelF3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FsTWtNbE1qSmliMnhrSlRJeUpUTkJkSEoxWlNVM1JDVXlReVV5TW5SbGVIUkNiRzlqYXlVeU1pVXpRU1UxUWlVM1FpVXlNbkJ2YzJsMGFXOXVKVEl5SlROQkpUZENKVEl5ZUNVeU1pVXpRVEV3SlRKREpUSXllU1V5TWlVelFUQWxNa01sTWpKM0pUSXlKVE5CSlRJeWR5MHlNQ1V5TWlVeVF5VXlNbWdsTWpJbE0wRWxNakpvSlRJeUpUZEVKVEpESlRJeWRHVjRkQ1V5TWlVelFTVXlNa0ZuWjNKbFoyRjBhVzl1SlRJd1lua2xNakJqWVd4bGJtUmhjaVV5TUhsbFlYSWxNa01sTWpCelpYZ2xNa01sTWpCaGJtUWxNakJIUWtRbE1qQmhaMlVsTWpCbmNtOTFj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ZFJhWGh2ZEZwUVEybzFOVGN6TVRjbE1qSWxNMEVsTjBJbE1qSnBaQ1V5TWlVelFTVXlNbmRSYVhodmRGcFFRMm8xTlRjek1UY2xNaklsTWtNbE1qSnVZVzFsSlRJeUpUTkJKVEl5Y205MWJtUlNaV04wWVc1bmJHVWxNaklsTWtNbE1qSjBhWFJzWlNVeU1pVXpRU1V5TWlWRk5TVTVReVU0TmlWRk9DVkJOeVU1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VVldwU1kycFVSMGwwTmpBek1qYzBKVEl5SlRkRUpUSkRKVGRDSlRJeWJtRnRaU1V5TWlVelFTVXlNaVZGTlNVNU1DVTRSQ1ZGTnlWQk55VkNNQ1V5TWlVeVF5VXlNblI1Y0dVbE1qSWxNMEVsTWpKemRISnBibWNsTWpJbE1rTWxNakoyWVd4MVpTVXlNaVV6UVNVeU1pVXlNaVV5UXlVeU1tTmhkR1ZuYjNKNUpUSXlKVE5CSlRJeVpHVm1ZWFZzZENVeU1pVXlReVV5TW1sa0pUSXlKVE5CSlRJeVlVbDRRbE5EZW1OTFR6RXpNekk0Tn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RbE1rTWxNakppYjJ4a0pUSXlKVE5CZEhKMVpTVTNSQ1V5UXlVeU1uUmxlSFJDYkc5amF5VXlNaVV6UVNVMVFpVTNRaVV5TW5CdmMybDBhVzl1SlRJeUpUTkJKVGRDSlRJeWVDVXlNaVV6UVRFd0pUSkRKVEl5ZVNVeU1pVXpRVEFsTWtNbE1qSjNKVEl5SlROQkpUSXlkeTB5TUNVeU1pVXlReVV5TW1nbE1qSWxNMEVsTWpKb0pUSXlKVGRFSlRKREpUSXlkR1Y0ZENVeU1pVXpRU1V5TWs5MlpYSnNZWEJ3YVc1bkpUSXdZMjl0Y0dGeWFYTnZiaVV5TUhCbGNtbHZaQ1V5TUdWemRHbHRZWFJsY3lVelFTVXlObTVpYzNBbE0wSWxNME5rYVhZbE0wVXlNREU1TFRJd01qTWxNME1sTWtaa2FYWWxNM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5Sbk5yYVhWaVZYVjFPREEzTmpJM0pUSXlKVE5CSlRkQ0pUSXlhV1FsTWpJbE0wRWxNakpOUm5OcmFYVmlWWFYxT0RBM05qSTNKVEl5SlRKREpUSXlibUZ0WlNVeU1pVXpRU1V5TW5KdmRXNWtVbVZqZEdGdVoyeGxKVEl5SlRKREpUSXlkR2wwYkdVbE1qSWxNMEVsTWpJbFJUVWxPVU1sT0RZbFJUZ2xRVGNsT1R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jJkcFpreEdkRk53ZWpVek9UTTROU1V5TWlVM1JDVXlReVUzUWlVeU1tNWhiV1VsTWpJbE0wRWxNaklsUlRVbE9UQWxPRVFsUlRjbFFUY2xRakFsTWpJbE1rTWxNakowZVhCbEpUSXlKVE5CSlRJeWMzUnlhVzVuSlRJeUpUSkRKVEl5ZG1Gc2RXVWxNaklsTTBFbE1qSWxNaklsTWtNbE1qSmpZWFJsWjI5eWVTVXlNaVV6UVNVeU1tUmxabUYxYkhRbE1qSWxNa01sTWpKcFpDVXlNaVV6UVNVeU1sTjBSbUZzUkcxWlYxbzJOekEyTlR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EpUSkRKVEl5WW05c1pDVXlNaVV6UVhSeWRXVWxOMFFsTWtNbE1qSjBaWGgwUW14dlkyc2xNaklsTTBFbE5VSWxOMElsTWpKd2IzTnBkR2x2YmlVeU1pVXpRU1UzUWlVeU1uZ2xNaklsTTBFeE1DVXlReVV5TW5rbE1qSWxNMEV3SlRKREpUSXlkeVV5TWlVelFTVXlNbmN0TWpBbE1qSWxNa01sTWpKb0pUSXlKVE5CSlRJeWFDVXlNaVUzUkNVeVF5VXlNblJsZUhRbE1qSWxNMEVsTWpKRmVIQnNiM0poZEc5eWVTVXlNR0Z1Ym5WaGJDVXlReVV5TUhObGVDVXlReVV5TUdGdVpDVXlNR0ZuWlNVeU1HTmhjMlVsTWpCdGFYZ2xNakJqYjIxd1lYSnBjMjl1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jbmxvZW5CdFUyUnZVVGd3TWpFeE5TVXlNaVUzUkNVeVF5VTNRaVV5TW01aGJXVWxNaklsTTBFbE1qSWxSVFVsT1RBbE9FUWxSVGNsUVRjbFFqQWxNaklsTWtNbE1qSjBlWEJsSlRJeUpUTkJKVEl5YzNSeWFXNW5KVEl5SlRKREpUSXlkbUZzZFdVbE1qSWxNMEVsTWpJbE1qSWxNa01sTWpKallYUmxaMjl5ZVNVeU1pVXpRU1V5TW1SbFptRjFiSFFsTWpJbE1rTWxNakpwWkNVeU1pVXpRU1V5TWxGSlkyeHFVVloxVkhNMU1EY3pORGd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wSlRKREpUSXlZbTlzWkNVeU1pVXpRWFJ5ZFdVbE4wUWxNa01sTWpKMFpYaDBRbXh2WTJzbE1qSWxNMEVsTlVJbE4wSWxNakp3YjNOcGRHbHZiaVV5TWlVelFTVTNRaVV5TW5nbE1qSWxNMEV4TUNVeVF5VXlNbmtsTWpJbE0wRXdKVEpESlRJeWR5VXlNaVV6UVNVeU1uY3RNakFsTWpJbE1rTWxNakpvSlRJeUpUTkJKVEl5YUNVeU1pVTNSQ1V5UXlVeU1uUmxlSFFsTWpJbE0wRWxNakpNYjJOaGJDVXlNR05zYVc1cFkyRnNKVEl3WTI5dWRHVjRkQ1V5TUdadmNpVXlNR2x1ZEdWeWNISmxkR0YwYVc5dU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668</Words>
  <Characters>3733</Characters>
  <Lines>0</Lines>
  <Paragraphs>0</Paragraphs>
  <TotalTime>14</TotalTime>
  <ScaleCrop>false</ScaleCrop>
  <LinksUpToDate>false</LinksUpToDate>
  <CharactersWithSpaces>4076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2026-07-09T15:25:00Z</dcterms:created>
  <dc:creator>黑色 高级 复读机</dc:creator>
  <cp:lastModifiedBy>黑色 高级 复读机</cp:lastModifiedBy>
  <dcterms:modified xsi:type="dcterms:W3CDTF">2026-10-09T08:10:32Z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29DF86841BF84717B66664F6B3F7C262_11</vt:lpwstr>
  </property>
  <property fmtid="{D5CDD505-2E9C-101B-9397-08002B2CF9AE}" pid="4" name="KSOTemplateDocerSaveRecord">
    <vt:lpwstr>eyJoZGlkIjoiMTE5Mjg1ZmJmMzFiMjhmMWI4ZTRkNzkxOGViZTJmM2MiLCJ1c2VySWQiOiI2Mzk3MjYzMTgifQ==</vt:lpwstr>
  </property>
</Properties>
</file>