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spacing w:after="0" w:before="0" w:lineRule="auto"/>
        <w:jc w:val="center"/>
        <w:rPr>
          <w:b w:val="1"/>
          <w:bCs w:val="1"/>
          <w:sz w:val="26"/>
          <w:szCs w:val="26"/>
        </w:rPr>
      </w:pPr>
      <w:bookmarkStart w:colFirst="0" w:colLast="0" w:name="_heading=h.72fp7w74sa99" w:id="0"/>
      <w:bookmarkEnd w:id="0"/>
      <w:r w:rsidDel="00000000" w:rsidR="00000000" w:rsidRPr="00000000">
        <w:rPr>
          <w:b w:val="1"/>
          <w:bCs w:val="1"/>
          <w:sz w:val="26"/>
          <w:szCs w:val="26"/>
          <w:rtl w:val="0"/>
        </w:rPr>
        <w:t xml:space="preserve">Supplementary File 1. Operational Definitions and Reproducible Classification Criteria for PIM-A, PIM-C, and PIM-ALL Categories</w:t>
      </w:r>
    </w:p>
    <w:p w:rsidR="00000000" w:rsidDel="00000000" w:rsidP="00000000" w:rsidRDefault="00000000" w:rsidRPr="00000000" w14:paraId="00000003">
      <w:pPr>
        <w:rPr/>
      </w:pPr>
      <w:r w:rsidDel="00000000" w:rsidR="00000000" w:rsidRPr="00000000">
        <w:rPr>
          <w:rtl w:val="0"/>
        </w:rPr>
        <w:t xml:space="preserve">This supplementary file was prepared in response to the reviewer comment that the PIM-A / PIM-C / PIM-ALL grouping lacked transparency. It provides an explicit, reproducible operational definition of how individual medications were allocated to each category, the specific criterion that triggered each classification (age, fixed dose, duration of use, clinical condition, laboratory parameter, documented clinical event, or drug-drug interaction), and the corresponding frequency observed in the study cohort (N = 397 patients). Medication names are reported by International Nonproprietary Name (INN). Table S4 quantifies, for the most consequential condition-dependent items, the number of patients in whom the item could not be adjudicated, and Table S5 gives the distribution of the number of PIM-ALL items per patient. Abbreviations: ASA, acetylsalicylic acid; NSAID, non-steroidal anti-inflammatory drug; PPI, proton pump inhibitor; GFR, glomerular filtration rate; EF, ejection fraction; BPH, benign prostatic hyperplasia.</w:t>
      </w:r>
    </w:p>
    <w:p w:rsidR="00000000" w:rsidDel="00000000" w:rsidP="00000000" w:rsidRDefault="00000000" w:rsidRPr="00000000" w14:paraId="00000004">
      <w:pPr>
        <w:pStyle w:val="Heading2"/>
        <w:rPr/>
      </w:pPr>
      <w:bookmarkStart w:colFirst="0" w:colLast="0" w:name="_heading=h.74pmdaqi4uab" w:id="1"/>
      <w:bookmarkEnd w:id="1"/>
      <w:r w:rsidDel="00000000" w:rsidR="00000000" w:rsidRPr="00000000">
        <w:rPr>
          <w:rtl w:val="0"/>
        </w:rPr>
        <w:t xml:space="preserve">Operational Definitions</w:t>
      </w:r>
    </w:p>
    <w:p w:rsidR="00000000" w:rsidDel="00000000" w:rsidP="00000000" w:rsidRDefault="00000000" w:rsidRPr="00000000" w14:paraId="00000005">
      <w:pPr>
        <w:rPr/>
      </w:pPr>
      <w:r w:rsidDel="00000000" w:rsidR="00000000" w:rsidRPr="00000000">
        <w:rPr>
          <w:rtl w:val="0"/>
        </w:rPr>
        <w:t xml:space="preserve">Table S1 summarizes the operational definition of each PIM category and the specific classification rule applied in this study.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Table S1. Operational definitions of PIM-A, PIM-C, and PIM-ALL and the classification rule applied in this study.</w:t>
      </w:r>
      <w:r w:rsidDel="00000000" w:rsidR="00000000" w:rsidRPr="00000000">
        <w:rPr>
          <w:rtl w:val="0"/>
        </w:rPr>
      </w:r>
    </w:p>
    <w:tbl>
      <w:tblPr>
        <w:tblStyle w:val="Table1"/>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PIM 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Definition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Classification rule applied in this study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PIM-A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Medications considered potentially inappropriate on the basis of age, fixed maximum dose, or maximum recommended duration of use (PRISCUS 2.0, Beers 2019, STOPP v3), independent of the patient’s clinical condition.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Coded as PIM-A whenever the source list flagged the item solely because the patient was above the specified age threshold, the dose exceeded a fixed maximum, or the duration of use exceeded a fixed maximum, with no requirement for a co-existing disease, laboratory abnormality, or clinical event.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PIM-C</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Medications considered potentially inappropriate on the basis of the patient’s clinical condition, comorbidity, prescription details, laboratory findings, or a documented clinical event (Beers 2019, STOPP v3).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Coded as PIM-C whenever the source list required, in addition to the medication itself, a specific comorbidity/disease documented as a clinical diagnosis in the EHR (e.g., dementia), an abnormal laboratory parameter (e.g., eGFR, potassium, ejection fraction), a documented clinical event (fall, fracture, delirium, hospitalization), or an interacting co-medication (drug-drug interaction).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PIM-ALL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comprehensive classification combining PIM-A and PIM-C, based on PRISCUS 2.0, Beers 2019, and STOPP v3, providing a holistic view of PIMs.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Calculated as the de-duplicated union of all PIM-A and PIM-C items identified for a given patient across the three reference lists (i.e., a medication flagged by more than one list is counted only once).</w:t>
            </w:r>
          </w:p>
        </w:tc>
      </w:tr>
    </w:tbl>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heading=h.ujn5nalg4b0v" w:id="2"/>
      <w:bookmarkEnd w:id="2"/>
      <w:r w:rsidDel="00000000" w:rsidR="00000000" w:rsidRPr="00000000">
        <w:rPr>
          <w:rtl w:val="0"/>
        </w:rPr>
        <w:t xml:space="preserve">Reproducible Classification Algorithm</w:t>
      </w:r>
    </w:p>
    <w:p w:rsidR="00000000" w:rsidDel="00000000" w:rsidP="00000000" w:rsidRDefault="00000000" w:rsidRPr="00000000" w14:paraId="00000016">
      <w:pPr>
        <w:rPr/>
      </w:pPr>
      <w:r w:rsidDel="00000000" w:rsidR="00000000" w:rsidRPr="00000000">
        <w:rPr>
          <w:rtl w:val="0"/>
        </w:rPr>
        <w:t xml:space="preserve">Step 1. For every medication in a patient’s regimen, check whether it appears on the PRISCUS 2.0, Beers 2019, and/or STOPP v3 reference lists used in this study.</w:t>
      </w:r>
    </w:p>
    <w:p w:rsidR="00000000" w:rsidDel="00000000" w:rsidP="00000000" w:rsidRDefault="00000000" w:rsidRPr="00000000" w14:paraId="00000017">
      <w:pPr>
        <w:rPr/>
      </w:pPr>
      <w:r w:rsidDel="00000000" w:rsidR="00000000" w:rsidRPr="00000000">
        <w:rPr>
          <w:rtl w:val="0"/>
        </w:rPr>
        <w:t xml:space="preserve">Step 2. For each match, identify the specific sub-criterion invoked by that list: an age threshold, a fixed maximum dose, or a maximum recommended duration of use, versus a specific comorbidity/disease, a laboratory parameter (eGFR, potassium, ejection fraction), a documented clinical event (fall, fracture, delirium, hospitalization), or a drug-drug interaction.</w:t>
      </w:r>
    </w:p>
    <w:p w:rsidR="00000000" w:rsidDel="00000000" w:rsidP="00000000" w:rsidRDefault="00000000" w:rsidRPr="00000000" w14:paraId="00000018">
      <w:pPr>
        <w:rPr/>
      </w:pPr>
      <w:r w:rsidDel="00000000" w:rsidR="00000000" w:rsidRPr="00000000">
        <w:rPr>
          <w:rtl w:val="0"/>
        </w:rPr>
        <w:t xml:space="preserve">Step 3. If the sub-criterion is age, dose, or duration only (independent of clinical context), code the item as PIM-A for that list. If the sub-criterion additionally requires a clinical condition, laboratory abnormality, documented event, or an interacting co-medication, code the item as PIM-C for that list.</w:t>
      </w:r>
    </w:p>
    <w:p w:rsidR="00000000" w:rsidDel="00000000" w:rsidP="00000000" w:rsidRDefault="00000000" w:rsidRPr="00000000" w14:paraId="00000019">
      <w:pPr>
        <w:rPr/>
      </w:pPr>
      <w:r w:rsidDel="00000000" w:rsidR="00000000" w:rsidRPr="00000000">
        <w:rPr>
          <w:rtl w:val="0"/>
        </w:rPr>
        <w:t xml:space="preserve">Step 4. Repeat Steps 1-3 independently for each of the three reference lists (PRISCUS 2.0, Beers 2019, STOPP v3), yielding list-specific PIM-A and PIM-C counts.</w:t>
      </w:r>
    </w:p>
    <w:p w:rsidR="00000000" w:rsidDel="00000000" w:rsidP="00000000" w:rsidRDefault="00000000" w:rsidRPr="00000000" w14:paraId="0000001A">
      <w:pPr>
        <w:rPr/>
      </w:pPr>
      <w:r w:rsidDel="00000000" w:rsidR="00000000" w:rsidRPr="00000000">
        <w:rPr>
          <w:rtl w:val="0"/>
        </w:rPr>
        <w:t xml:space="preserve">Step 5. PIM-ALL is calculated as the de-duplicated union of all PIM-A and PIM-C items identified across the three lists for that patient; a medication flagged by more than one list is counted once.</w:t>
      </w:r>
    </w:p>
    <w:p w:rsidR="00000000" w:rsidDel="00000000" w:rsidP="00000000" w:rsidRDefault="00000000" w:rsidRPr="00000000" w14:paraId="0000001B">
      <w:pPr>
        <w:pStyle w:val="Heading2"/>
        <w:rPr/>
      </w:pPr>
      <w:bookmarkStart w:colFirst="0" w:colLast="0" w:name="_heading=h.mh8gcnxewkpg" w:id="3"/>
      <w:bookmarkEnd w:id="3"/>
      <w:r w:rsidDel="00000000" w:rsidR="00000000" w:rsidRPr="00000000">
        <w:rPr>
          <w:rtl w:val="0"/>
        </w:rPr>
        <w:t xml:space="preserve">List-Specific Coding Detail (N = 397 patients)</w:t>
      </w:r>
    </w:p>
    <w:p w:rsidR="00000000" w:rsidDel="00000000" w:rsidP="00000000" w:rsidRDefault="00000000" w:rsidRPr="00000000" w14:paraId="0000001C">
      <w:pPr>
        <w:rPr/>
      </w:pPr>
      <w:r w:rsidDel="00000000" w:rsidR="00000000" w:rsidRPr="00000000">
        <w:rPr>
          <w:rtl w:val="0"/>
        </w:rPr>
        <w:t xml:space="preserve">For each of the three reference lists, the algorithm above was applied item-by-item to the full cohort. The resulting PIM-A item list (drug, triggering sub-criterion, and number of patients in whom it was flagged) and the PIM-C items (drug paired with the qualifying clinical condition, laboratory finding, or interacting co-medication, and the corresponding number of patients) are reported below. In Tables S2 and S3, n refers to items (drug-condition pairs): a drug-drug interaction counts as one item, and a drug flagged under two different triggers is listed under each trigger. In Table 2 of the main text, counts refer to distinct medications per patient, so a two-drug interaction contributes two medications and a drug flagged under two triggers contributes one. The two totals therefore differ slightly (Beers 2019 PIM-C: 160 items vs 158 medications; STOPP v3 PIM-C: 122 items vs 130 medications). PIM-A totals are identical in both (Beers 2019: 151; PRISCUS 2.0: 328; STOPP v3: 147).</w:t>
      </w:r>
    </w:p>
    <w:p w:rsidR="00000000" w:rsidDel="00000000" w:rsidP="00000000" w:rsidRDefault="00000000" w:rsidRPr="00000000" w14:paraId="0000001D">
      <w:pPr>
        <w:pStyle w:val="Heading3"/>
        <w:rPr/>
      </w:pPr>
      <w:bookmarkStart w:colFirst="0" w:colLast="0" w:name="_heading=h.8q5aosybesil" w:id="4"/>
      <w:bookmarkEnd w:id="4"/>
      <w:r w:rsidDel="00000000" w:rsidR="00000000" w:rsidRPr="00000000">
        <w:rPr>
          <w:rtl w:val="0"/>
        </w:rPr>
        <w:t xml:space="preserve">Beers Criteria 2019</w:t>
      </w:r>
    </w:p>
    <w:p w:rsidR="00000000" w:rsidDel="00000000" w:rsidP="00000000" w:rsidRDefault="00000000" w:rsidRPr="00000000" w14:paraId="0000001E">
      <w:pPr>
        <w:rPr/>
      </w:pPr>
      <w:r w:rsidDel="00000000" w:rsidR="00000000" w:rsidRPr="00000000">
        <w:rPr>
          <w:rtl w:val="0"/>
        </w:rPr>
        <w:t xml:space="preserve">PIM-A (age/dose/duration-dependent), n = 18 unique items:</w:t>
      </w:r>
    </w:p>
    <w:p w:rsidR="00000000" w:rsidDel="00000000" w:rsidP="00000000" w:rsidRDefault="00000000" w:rsidRPr="00000000" w14:paraId="0000001F">
      <w:pPr>
        <w:rPr/>
      </w:pPr>
      <w:r w:rsidDel="00000000" w:rsidR="00000000" w:rsidRPr="00000000">
        <w:rPr>
          <w:rtl w:val="0"/>
        </w:rPr>
        <w:t xml:space="preserve">PPI/proton pump inhibitor (n=92, duration); gliclazide (n=18, age); short-/intermediate-acting insulin (n=11, age); doxazosin (n=10, age); amitriptyline (n=6, age); glimepiride (n=2, age); olanzapine (n=1, age); sulpiride (n=1, age); clonazepam (n=1, age); paroxetine (n=1, age); atropine (n=1, age); amiodarone (n=1, age); metoclopramide (n=1, age); doxylamine (n=1, age); chlorzoxazone (n=1, age); lorazepam (n=1, age); hydroxyzine (n=1, age); alprazolam (n=1, age).</w:t>
      </w:r>
    </w:p>
    <w:p w:rsidR="00000000" w:rsidDel="00000000" w:rsidP="00000000" w:rsidRDefault="00000000" w:rsidRPr="00000000" w14:paraId="00000020">
      <w:pPr>
        <w:rPr/>
      </w:pPr>
      <w:r w:rsidDel="00000000" w:rsidR="00000000" w:rsidRPr="00000000">
        <w:rPr>
          <w:rtl w:val="0"/>
        </w:rPr>
        <w:t xml:space="preserve">PIM-C (clinical condition/laboratory/event- or interaction-dependent), grouped by triggering domain (Table S2):</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rtl w:val="0"/>
        </w:rPr>
        <w:t xml:space="preserve">Table S2. Beers 2019 PIM-C items grouped by triggering clinical domain (N = 397).</w:t>
      </w:r>
      <w:r w:rsidDel="00000000" w:rsidR="00000000" w:rsidRPr="00000000">
        <w:rPr>
          <w:rtl w:val="0"/>
        </w:rPr>
      </w:r>
    </w:p>
    <w:tbl>
      <w:tblPr>
        <w:tblStyle w:val="Table2"/>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Clinical domain / trigger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items (drug — condition, 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Dementia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quetiapine (n=36); olanzapine (n=6); trospium (n=3); fesoterodine (n=2); haloperidol (n=2); risperidone (n=2); aripiprazole (n=1); propiverine (n=1); tolterodine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History of falls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escitalopram (n=10); citalopram (n=6); quetiapine (n=6); sertraline (n=6); duloxetine (n=4); olanzapine (n=2); amitriptyline (n=1); carbamazepine (n=1); fentanyl (n=1); haloperidol (n=1); paroxetine (n=1); pregabalin (n=1); trifluoperazine (n=1); tramadol (n=1); opioid, unspecified (n=1); SSRI, unspecified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Drug-drug interaction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NSAID + clopidogrel (n=3); NSAID + ASA (n=2); NSAID + NSAID + CKD (n=1); NSAID + rivaroxaban (n=1); quetiapine + olanzapine (n=1); quetiapine + haloperidol (n=1); quetiapine + citalopram + olanzapine (n=1); quetiapine + aripiprazole + sertraline + trazodone (n=1); clonazepam + quetiapine + sertraline (n=1); gabapentin + quetiapine + tramadol (n=1); sertraline + sulpiride + gabapentin (n=1); sertraline + trazodone + pregabalin (n=1); pregabalin + tramadol + duloxetine (n=1); pregabalin + tramadol + quetiapine + escitalopram + fentanyl + olanzapine (n=1); amitriptyline + duloxetine + sitilizan (n=1); aripiprazole + alprazolam + tramadol (n=1); levetiracetam + venlafaxine + primidone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History of fracture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quetiapine (n=2); alprazolam (n=1); amitriptyline (n=1); aripiprazole (n=1); codeine (n=1); duloxetine (n=1); escitalopram (n=1); gabapentin (n=1); sertraline (n=1); tramadol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Urinary incontinence / BPH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doxazosin (n=4); alverine (n=1); atropine (n=1); fesoterodine (n=1); tolterodine (n=1); trospium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Low GFR (renal impairment)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levetiracetam (n=3); pregabalin (n=2); famotidine (n=1); apixaban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Heart failure / low 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digoxin in HFpEF (n=3); diltiazem (n=1); NSAID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History of delirium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quetiapine (n=3); lorazepam (n=1); olanzapine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Hypertension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doxazosin (n=2)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Parkinson’s disease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aripiprazole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Atrial fibrillation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amiodarone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Other clinical condition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oxybutynin + propiverine (n=1)</w:t>
            </w:r>
          </w:p>
        </w:tc>
      </w:tr>
    </w:tbl>
    <w:p w:rsidR="00000000" w:rsidDel="00000000" w:rsidP="00000000" w:rsidRDefault="00000000" w:rsidRPr="00000000" w14:paraId="0000004B">
      <w:pPr>
        <w:pStyle w:val="Heading3"/>
        <w:rPr/>
      </w:pPr>
      <w:bookmarkStart w:colFirst="0" w:colLast="0" w:name="_heading=h.an1kap6tqc3" w:id="5"/>
      <w:bookmarkEnd w:id="5"/>
      <w:r w:rsidDel="00000000" w:rsidR="00000000" w:rsidRPr="00000000">
        <w:rPr>
          <w:rtl w:val="0"/>
        </w:rPr>
        <w:t xml:space="preserve">PRISCUS 2.0</w:t>
      </w:r>
    </w:p>
    <w:p w:rsidR="00000000" w:rsidDel="00000000" w:rsidP="00000000" w:rsidRDefault="00000000" w:rsidRPr="00000000" w14:paraId="0000004C">
      <w:pPr>
        <w:rPr/>
      </w:pPr>
      <w:r w:rsidDel="00000000" w:rsidR="00000000" w:rsidRPr="00000000">
        <w:rPr>
          <w:rtl w:val="0"/>
        </w:rPr>
        <w:t xml:space="preserve">The PRISCUS 2.0 list is structured predominantly as an explicit, age-based inventory of medications to avoid or use with caution in patients aged 65 years or older; unlike Beers 2019 and STOPP v3, it contains very few criteria that are conditional on comorbidity or laboratory findings. Consistent with this structure, no PIM-C item was identified under PRISCUS 2.0 in the present cohort (all 328 PRISCUS-flagged medication entries were coded PIM-A).</w:t>
      </w:r>
    </w:p>
    <w:p w:rsidR="00000000" w:rsidDel="00000000" w:rsidP="00000000" w:rsidRDefault="00000000" w:rsidRPr="00000000" w14:paraId="0000004D">
      <w:pPr>
        <w:rPr/>
      </w:pPr>
      <w:r w:rsidDel="00000000" w:rsidR="00000000" w:rsidRPr="00000000">
        <w:rPr>
          <w:rtl w:val="0"/>
        </w:rPr>
        <w:t xml:space="preserve">PIM-A (age/dose/duration-dependent), n = 52 unique items:</w:t>
      </w:r>
    </w:p>
    <w:p w:rsidR="00000000" w:rsidDel="00000000" w:rsidP="00000000" w:rsidRDefault="00000000" w:rsidRPr="00000000" w14:paraId="0000004E">
      <w:pPr>
        <w:rPr/>
      </w:pPr>
      <w:r w:rsidDel="00000000" w:rsidR="00000000" w:rsidRPr="00000000">
        <w:rPr>
          <w:rtl w:val="0"/>
        </w:rPr>
        <w:t xml:space="preserve">PPI (n=93; age n=3, dose n=10, duration n=80); quetiapine (n=34; dose n=2, duration n=32); gliclazide (n=22, age); NSAID (n=20, age); trimetazidine (n=15, age); doxazosin (n=12, age); Ginkgo biloba (n=9, age); olanzapine (n=8, age); pramipexole (n=9, age); digoxin (n=8, age); betahistine (n=7, age); piracetam (n=7, age); trospium (n=7, age); tramadol (n=7, age); rasagiline (n=5, age); propiverine (n=4, age); cilostazol (n=5, age); solifenacin (n=3, age); acemetacin (n=4, age); haloperidol (n=3, age); domperidone (n=2, age); glimepiride (n=2, age); amitriptyline (n=2, age); fesoterodine (n=2, age); ketotifen (n=2, age); mirabegron (n=2, age); quinolone (n=2, age); theophylline (n=2, age); carbamazepine (n=2, age); paroxetine (n=2, age); oxybutynin (n=2, age); aripiprazole (n=2, age); risperidone (n=2, duration); prasugrel (n=1, age); primidone (n=1, age); clonazepam (n=1, age); tolterodine (n=2, age); doxylamine (n=1, age); flavoxate (n=1, age); lorazepam (n=1, age); opipramol (n=1, age); pioglitazone (n=1, age); levofloxacin (n=1, age); silodosin (n=1, age); propafenone (n=1, age); alprazolam (n=1, age); codeine (n=1, age); sulpiride (n=1, age); propranolol (n=1, age); sennosides (n=1, age); hydroxyzine (n=1, age); naftidrofuryl (n=1, age).</w:t>
      </w:r>
    </w:p>
    <w:p w:rsidR="00000000" w:rsidDel="00000000" w:rsidP="00000000" w:rsidRDefault="00000000" w:rsidRPr="00000000" w14:paraId="0000004F">
      <w:pPr>
        <w:pStyle w:val="Heading3"/>
        <w:rPr/>
      </w:pPr>
      <w:bookmarkStart w:colFirst="0" w:colLast="0" w:name="_heading=h.y1h1mbps3dl6" w:id="6"/>
      <w:bookmarkEnd w:id="6"/>
      <w:r w:rsidDel="00000000" w:rsidR="00000000" w:rsidRPr="00000000">
        <w:rPr>
          <w:rtl w:val="0"/>
        </w:rPr>
        <w:t xml:space="preserve">STOPP v3</w:t>
      </w:r>
    </w:p>
    <w:p w:rsidR="00000000" w:rsidDel="00000000" w:rsidP="00000000" w:rsidRDefault="00000000" w:rsidRPr="00000000" w14:paraId="00000050">
      <w:pPr>
        <w:rPr/>
      </w:pPr>
      <w:r w:rsidDel="00000000" w:rsidR="00000000" w:rsidRPr="00000000">
        <w:rPr>
          <w:rtl w:val="0"/>
        </w:rPr>
        <w:t xml:space="preserve">PIM-A (age/dose/duration-dependent), n = 14 unique items:</w:t>
      </w:r>
    </w:p>
    <w:p w:rsidR="00000000" w:rsidDel="00000000" w:rsidP="00000000" w:rsidRDefault="00000000" w:rsidRPr="00000000" w14:paraId="00000051">
      <w:pPr>
        <w:rPr/>
      </w:pPr>
      <w:r w:rsidDel="00000000" w:rsidR="00000000" w:rsidRPr="00000000">
        <w:rPr>
          <w:rtl w:val="0"/>
        </w:rPr>
        <w:t xml:space="preserve">PPI (n=92; age n=3, duration n=89); gliclazide (n=22, age); NSAID &gt; 3 months (n=9, duration); tramadol (n=7, age); atorvastatin (n=5, age); rosuvastatin (n=2, age); glimepiride (n=2, age); ketotifen (n=2, age); nebivolol (n=1, age); mirtazapine (n=1, age); fentanyl (n=1, age); hydroxyzine (n=1, age); ASA &gt; 100 mg (n=1, dose); benzodiazepine &gt; 4 weeks (n=1, duration).</w:t>
      </w:r>
    </w:p>
    <w:p w:rsidR="00000000" w:rsidDel="00000000" w:rsidP="00000000" w:rsidRDefault="00000000" w:rsidRPr="00000000" w14:paraId="00000052">
      <w:pPr>
        <w:rPr/>
      </w:pPr>
      <w:r w:rsidDel="00000000" w:rsidR="00000000" w:rsidRPr="00000000">
        <w:rPr>
          <w:rtl w:val="0"/>
        </w:rPr>
        <w:t xml:space="preserve">PIM-C (clinical condition/laboratory/event- or interaction-dependent), grouped by triggering domain (Table S3):</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b w:val="1"/>
          <w:bCs w:val="1"/>
          <w:rtl w:val="0"/>
        </w:rPr>
        <w:t xml:space="preserve">Table S3. STOPP v3 PIM-C items grouped by triggering clinical domain (N = 397).</w:t>
      </w:r>
      <w:r w:rsidDel="00000000" w:rsidR="00000000" w:rsidRPr="00000000">
        <w:rPr>
          <w:rtl w:val="0"/>
        </w:rPr>
      </w:r>
    </w:p>
    <w:tbl>
      <w:tblPr>
        <w:tblStyle w:val="Table3"/>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Clinical domain/trigger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items (drug - condition, 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Dementia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quetiapine (n=22); Ginkgo biloba (n=6); piracetam (n=4); olanzapine (n=3); trospium (n=3); aripiprazole (n=1); fesoterodine (n=1); propiverine (n=1); tolterodine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Urinary incontinence / BPH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furosemide (n=20); alverine (n=1); duloxetine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Drug-drug interaction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ASA + clopidogrel (n=5); NSAID + ASA (n=2); NSAID + NSAID (n=1); PPI + PPI (n=1); donepezil + bisoprolol (n=1); donepezil + propranolol (n=1); haloperidol + quetiapine (n=1); simethicone + otilonium bromide (n=1); rivaroxaban + ASA (n=1); rivaroxaban + clopidogrel (n=1); rivaroxaban + carvedilol (n=1); amiodarone + apixaban (n=1); amiodarone + rivaroxaban (n=1); dabigatran + ranolazine (n=1); edoxaban + carvedilol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Low GFR (renal impairment)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NSAID (n=9); ASA (n=5); apixaban (n=1); metformin (n=1); spironolactone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History of falls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quetiapine (n=2); benzodiazepine, unspecified (n=1); carbamazepine (n=1); citalopram (n=1); doxazosin (n=1); duloxetine (n=1); escitalopram (n=1); mirtazapine (n=1); olanzapine (n=1); paroxetine (n=1); sertraline (n=1); tramadol (n=1); trospium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Heart failure / low 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digoxin in HFpEF (n=3)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History of delirium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quetiapine (n=2)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Hyperkalemia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perindopril (n=1)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History of stroke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sulpiride (n=1)</w:t>
            </w:r>
          </w:p>
        </w:tc>
      </w:tr>
    </w:tbl>
    <w:p w:rsidR="00000000" w:rsidDel="00000000" w:rsidP="00000000" w:rsidRDefault="00000000" w:rsidRPr="00000000" w14:paraId="00000073">
      <w:pPr>
        <w:pStyle w:val="Heading2"/>
        <w:rPr/>
      </w:pPr>
      <w:r w:rsidDel="00000000" w:rsidR="00000000" w:rsidRPr="00000000">
        <w:rPr>
          <w:rtl w:val="0"/>
        </w:rPr>
        <w:t xml:space="preserve">Non-Adjudicable Condition-Dependent Items</w:t>
      </w:r>
    </w:p>
    <w:p w:rsidR="00000000" w:rsidDel="00000000" w:rsidP="00000000" w:rsidRDefault="00000000" w:rsidRPr="00000000" w14:paraId="00000074">
      <w:pPr>
        <w:rPr/>
      </w:pPr>
      <w:r w:rsidDel="00000000" w:rsidR="00000000" w:rsidRPr="00000000">
        <w:rPr>
          <w:rtl w:val="0"/>
        </w:rPr>
        <w:t xml:space="preserve">Condition-dependent (PIM-C) items and duration-dependent items were applied only when the qualifying information (indication, duration of use, comorbidity, laboratory value, frailty or life expectancy) was documented in the electronic health record. Because these clinical conditions were not captured as a discrete structured variable, patients in whom the information was not documented cannot be separated retrospectively from patients in whom the condition was genuinely absent, and a sensitivity analysis restricted to fully adjudicable patients is therefore not possible. To make the maximum possible extent of under-ascertainment transparent, Table S4 reports, for the most consequential items, the number of patients receiving the index drug, the number in whom the item was coded as a PIM, and the difference. The difference comprises both patients in whom the criterion was genuinely not met and patients in whom the qualifying information was missing; it therefore represents an upper bound of possible under-ascertainment for that item. For drugs listed in PRISCUS 2.0 with an age-only criterion (e.g., NSAIDs, PPIs), the PRISCUS count captures all users aged 65 years or older and serves as the denominator. Because PRISCUS 2.0 is almost entirely age-based, it is essentially unaffected by this limitation; the potential under-ascertainment concerns the Beers 2019 and STOPP v3 lists.</w:t>
      </w:r>
    </w:p>
    <w:p w:rsidR="00000000" w:rsidDel="00000000" w:rsidP="00000000" w:rsidRDefault="00000000" w:rsidRPr="00000000" w14:paraId="00000075">
      <w:pPr>
        <w:rPr/>
      </w:pPr>
      <w:r w:rsidDel="00000000" w:rsidR="00000000" w:rsidRPr="00000000">
        <w:rPr>
          <w:b w:val="1"/>
          <w:bCs w:val="1"/>
          <w:rtl w:val="0"/>
        </w:rPr>
        <w:t xml:space="preserve">Table S4. Upper bound of non-adjudicable condition-dependent items for the most consequential criteria (N = 397).</w:t>
      </w:r>
      <w:r w:rsidDel="00000000" w:rsidR="00000000" w:rsidRPr="00000000">
        <w:rPr>
          <w:rtl w:val="0"/>
        </w:rPr>
      </w:r>
    </w:p>
    <w:tbl>
      <w:tblPr>
        <w:tblStyle w:val="Table4"/>
        <w:tblW w:w="87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100"/>
        <w:gridCol w:w="1300"/>
        <w:gridCol w:w="1150"/>
        <w:gridCol w:w="1200"/>
        <w:gridCol w:w="1400"/>
        <w:gridCol w:w="1550"/>
        <w:tblGridChange w:id="0">
          <w:tblGrid>
            <w:gridCol w:w="2100"/>
            <w:gridCol w:w="1300"/>
            <w:gridCol w:w="1150"/>
            <w:gridCol w:w="1200"/>
            <w:gridCol w:w="1400"/>
            <w:gridCol w:w="1550"/>
          </w:tblGrid>
        </w:tblGridChange>
      </w:tblGrid>
      <w:tr>
        <w:trPr>
          <w:cantSplit w:val="0"/>
          <w:tblHeader w:val="0"/>
        </w:trPr>
        <w:tc>
          <w:tcPr>
            <w:tcMar>
              <w:top w:w="60.0" w:type="dxa"/>
              <w:left w:w="80.0" w:type="dxa"/>
              <w:bottom w:w="60.0" w:type="dxa"/>
              <w:right w:w="80.0" w:type="dxa"/>
            </w:tcMar>
          </w:tcPr>
          <w:p w:rsidR="00000000" w:rsidDel="00000000" w:rsidP="00000000" w:rsidRDefault="00000000" w:rsidRPr="00000000" w14:paraId="00000076">
            <w:pPr>
              <w:spacing w:after="0" w:before="0" w:line="240" w:lineRule="auto"/>
              <w:jc w:val="left"/>
              <w:rPr/>
            </w:pPr>
            <w:r w:rsidDel="00000000" w:rsidR="00000000" w:rsidRPr="00000000">
              <w:rPr>
                <w:b w:val="1"/>
                <w:bCs w:val="1"/>
                <w:rtl w:val="0"/>
              </w:rPr>
              <w:t xml:space="preserve">Criterion (list)</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7">
            <w:pPr>
              <w:spacing w:after="0" w:before="0" w:line="240" w:lineRule="auto"/>
              <w:jc w:val="left"/>
              <w:rPr/>
            </w:pPr>
            <w:r w:rsidDel="00000000" w:rsidR="00000000" w:rsidRPr="00000000">
              <w:rPr>
                <w:b w:val="1"/>
                <w:bCs w:val="1"/>
                <w:rtl w:val="0"/>
              </w:rPr>
              <w:t xml:space="preserve">Index drug(s)</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8">
            <w:pPr>
              <w:spacing w:after="0" w:before="0" w:line="240" w:lineRule="auto"/>
              <w:jc w:val="left"/>
              <w:rPr/>
            </w:pPr>
            <w:r w:rsidDel="00000000" w:rsidR="00000000" w:rsidRPr="00000000">
              <w:rPr>
                <w:b w:val="1"/>
                <w:bCs w:val="1"/>
                <w:rtl w:val="0"/>
              </w:rPr>
              <w:t xml:space="preserve">Patients receiving index drug, n</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9">
            <w:pPr>
              <w:spacing w:after="0" w:before="0" w:line="240" w:lineRule="auto"/>
              <w:jc w:val="left"/>
              <w:rPr/>
            </w:pPr>
            <w:r w:rsidDel="00000000" w:rsidR="00000000" w:rsidRPr="00000000">
              <w:rPr>
                <w:b w:val="1"/>
                <w:bCs w:val="1"/>
                <w:rtl w:val="0"/>
              </w:rPr>
              <w:t xml:space="preserve">Coded as PIM, n</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A">
            <w:pPr>
              <w:spacing w:after="0" w:before="0" w:line="240" w:lineRule="auto"/>
              <w:jc w:val="left"/>
              <w:rPr/>
            </w:pPr>
            <w:r w:rsidDel="00000000" w:rsidR="00000000" w:rsidRPr="00000000">
              <w:rPr>
                <w:b w:val="1"/>
                <w:bCs w:val="1"/>
                <w:rtl w:val="0"/>
              </w:rPr>
              <w:t xml:space="preserve">Not coded (criterion not met or information not documented), n</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7B">
            <w:pPr>
              <w:spacing w:after="0" w:before="0" w:line="240" w:lineRule="auto"/>
              <w:jc w:val="left"/>
              <w:rPr/>
            </w:pPr>
            <w:r w:rsidDel="00000000" w:rsidR="00000000" w:rsidRPr="00000000">
              <w:rPr>
                <w:b w:val="1"/>
                <w:bCs w:val="1"/>
                <w:rtl w:val="0"/>
              </w:rPr>
              <w:t xml:space="preserve">Information required for adjudication</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7C">
            <w:pPr>
              <w:spacing w:after="0" w:before="0" w:line="240" w:lineRule="auto"/>
              <w:jc w:val="left"/>
              <w:rPr/>
            </w:pPr>
            <w:r w:rsidDel="00000000" w:rsidR="00000000" w:rsidRPr="00000000">
              <w:rPr>
                <w:rtl w:val="0"/>
              </w:rPr>
              <w:t xml:space="preserve">ASA for primary cardiovascular prevention (Beers, STOPP)</w:t>
            </w:r>
          </w:p>
        </w:tc>
        <w:tc>
          <w:tcPr>
            <w:tcMar>
              <w:top w:w="60.0" w:type="dxa"/>
              <w:left w:w="80.0" w:type="dxa"/>
              <w:bottom w:w="60.0" w:type="dxa"/>
              <w:right w:w="80.0" w:type="dxa"/>
            </w:tcMar>
          </w:tcPr>
          <w:p w:rsidR="00000000" w:rsidDel="00000000" w:rsidP="00000000" w:rsidRDefault="00000000" w:rsidRPr="00000000" w14:paraId="0000007D">
            <w:pPr>
              <w:spacing w:after="0" w:before="0" w:line="240" w:lineRule="auto"/>
              <w:jc w:val="left"/>
              <w:rPr/>
            </w:pPr>
            <w:r w:rsidDel="00000000" w:rsidR="00000000" w:rsidRPr="00000000">
              <w:rPr>
                <w:rtl w:val="0"/>
              </w:rPr>
              <w:t xml:space="preserve">acetylsalicylic acid</w:t>
            </w:r>
          </w:p>
        </w:tc>
        <w:tc>
          <w:tcPr>
            <w:tcMar>
              <w:top w:w="60.0" w:type="dxa"/>
              <w:left w:w="80.0" w:type="dxa"/>
              <w:bottom w:w="60.0" w:type="dxa"/>
              <w:right w:w="80.0" w:type="dxa"/>
            </w:tcMar>
          </w:tcPr>
          <w:p w:rsidR="00000000" w:rsidDel="00000000" w:rsidP="00000000" w:rsidRDefault="00000000" w:rsidRPr="00000000" w14:paraId="0000007E">
            <w:pPr>
              <w:spacing w:after="0" w:before="0" w:line="240" w:lineRule="auto"/>
              <w:jc w:val="left"/>
              <w:rPr/>
            </w:pPr>
            <w:r w:rsidDel="00000000" w:rsidR="00000000" w:rsidRPr="00000000">
              <w:rPr>
                <w:rtl w:val="0"/>
              </w:rPr>
              <w:t xml:space="preserve">104</w:t>
            </w:r>
          </w:p>
        </w:tc>
        <w:tc>
          <w:tcPr>
            <w:tcMar>
              <w:top w:w="60.0" w:type="dxa"/>
              <w:left w:w="80.0" w:type="dxa"/>
              <w:bottom w:w="60.0" w:type="dxa"/>
              <w:right w:w="80.0" w:type="dxa"/>
            </w:tcMar>
          </w:tcPr>
          <w:p w:rsidR="00000000" w:rsidDel="00000000" w:rsidP="00000000" w:rsidRDefault="00000000" w:rsidRPr="00000000" w14:paraId="0000007F">
            <w:pPr>
              <w:spacing w:after="0" w:before="0" w:line="240" w:lineRule="auto"/>
              <w:jc w:val="left"/>
              <w:rPr/>
            </w:pPr>
            <w:r w:rsidDel="00000000" w:rsidR="00000000" w:rsidRPr="00000000">
              <w:rPr>
                <w:rtl w:val="0"/>
              </w:rPr>
              <w:t xml:space="preserve">0</w:t>
            </w:r>
          </w:p>
        </w:tc>
        <w:tc>
          <w:tcPr>
            <w:tcMar>
              <w:top w:w="60.0" w:type="dxa"/>
              <w:left w:w="80.0" w:type="dxa"/>
              <w:bottom w:w="60.0" w:type="dxa"/>
              <w:right w:w="80.0" w:type="dxa"/>
            </w:tcMar>
          </w:tcPr>
          <w:p w:rsidR="00000000" w:rsidDel="00000000" w:rsidP="00000000" w:rsidRDefault="00000000" w:rsidRPr="00000000" w14:paraId="00000080">
            <w:pPr>
              <w:spacing w:after="0" w:before="0" w:line="240" w:lineRule="auto"/>
              <w:jc w:val="left"/>
              <w:rPr/>
            </w:pPr>
            <w:r w:rsidDel="00000000" w:rsidR="00000000" w:rsidRPr="00000000">
              <w:rPr>
                <w:rtl w:val="0"/>
              </w:rPr>
              <w:t xml:space="preserve">104</w:t>
            </w:r>
          </w:p>
        </w:tc>
        <w:tc>
          <w:tcPr>
            <w:tcMar>
              <w:top w:w="60.0" w:type="dxa"/>
              <w:left w:w="80.0" w:type="dxa"/>
              <w:bottom w:w="60.0" w:type="dxa"/>
              <w:right w:w="80.0" w:type="dxa"/>
            </w:tcMar>
          </w:tcPr>
          <w:p w:rsidR="00000000" w:rsidDel="00000000" w:rsidP="00000000" w:rsidRDefault="00000000" w:rsidRPr="00000000" w14:paraId="00000081">
            <w:pPr>
              <w:spacing w:after="0" w:before="0" w:line="240" w:lineRule="auto"/>
              <w:jc w:val="left"/>
              <w:rPr/>
            </w:pPr>
            <w:r w:rsidDel="00000000" w:rsidR="00000000" w:rsidRPr="00000000">
              <w:rPr>
                <w:rtl w:val="0"/>
              </w:rPr>
              <w:t xml:space="preserve">Indication (primary vs secondary prevention)</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82">
            <w:pPr>
              <w:spacing w:after="0" w:before="0" w:line="240" w:lineRule="auto"/>
              <w:jc w:val="left"/>
              <w:rPr/>
            </w:pPr>
            <w:r w:rsidDel="00000000" w:rsidR="00000000" w:rsidRPr="00000000">
              <w:rPr>
                <w:rtl w:val="0"/>
              </w:rPr>
              <w:t xml:space="preserve">NSAID &gt; 3 months or without gastroprotection (STOPP)</w:t>
            </w:r>
          </w:p>
        </w:tc>
        <w:tc>
          <w:tcPr>
            <w:tcMar>
              <w:top w:w="60.0" w:type="dxa"/>
              <w:left w:w="80.0" w:type="dxa"/>
              <w:bottom w:w="60.0" w:type="dxa"/>
              <w:right w:w="80.0" w:type="dxa"/>
            </w:tcMar>
          </w:tcPr>
          <w:p w:rsidR="00000000" w:rsidDel="00000000" w:rsidP="00000000" w:rsidRDefault="00000000" w:rsidRPr="00000000" w14:paraId="00000083">
            <w:pPr>
              <w:spacing w:after="0" w:before="0" w:line="240" w:lineRule="auto"/>
              <w:jc w:val="left"/>
              <w:rPr/>
            </w:pPr>
            <w:r w:rsidDel="00000000" w:rsidR="00000000" w:rsidRPr="00000000">
              <w:rPr>
                <w:rtl w:val="0"/>
              </w:rPr>
              <w:t xml:space="preserve">NSAIDs</w:t>
            </w:r>
          </w:p>
        </w:tc>
        <w:tc>
          <w:tcPr>
            <w:tcMar>
              <w:top w:w="60.0" w:type="dxa"/>
              <w:left w:w="80.0" w:type="dxa"/>
              <w:bottom w:w="60.0" w:type="dxa"/>
              <w:right w:w="80.0" w:type="dxa"/>
            </w:tcMar>
          </w:tcPr>
          <w:p w:rsidR="00000000" w:rsidDel="00000000" w:rsidP="00000000" w:rsidRDefault="00000000" w:rsidRPr="00000000" w14:paraId="00000084">
            <w:pPr>
              <w:spacing w:after="0" w:before="0" w:line="240" w:lineRule="auto"/>
              <w:jc w:val="left"/>
              <w:rPr/>
            </w:pPr>
            <w:r w:rsidDel="00000000" w:rsidR="00000000" w:rsidRPr="00000000">
              <w:rPr>
                <w:rtl w:val="0"/>
              </w:rPr>
              <w:t xml:space="preserve">20</w:t>
            </w:r>
          </w:p>
        </w:tc>
        <w:tc>
          <w:tcPr>
            <w:tcMar>
              <w:top w:w="60.0" w:type="dxa"/>
              <w:left w:w="80.0" w:type="dxa"/>
              <w:bottom w:w="60.0" w:type="dxa"/>
              <w:right w:w="80.0" w:type="dxa"/>
            </w:tcMar>
          </w:tcPr>
          <w:p w:rsidR="00000000" w:rsidDel="00000000" w:rsidP="00000000" w:rsidRDefault="00000000" w:rsidRPr="00000000" w14:paraId="00000085">
            <w:pPr>
              <w:spacing w:after="0" w:before="0" w:line="240" w:lineRule="auto"/>
              <w:jc w:val="left"/>
              <w:rPr/>
            </w:pPr>
            <w:r w:rsidDel="00000000" w:rsidR="00000000" w:rsidRPr="00000000">
              <w:rPr>
                <w:rtl w:val="0"/>
              </w:rPr>
              <w:t xml:space="preserve">9</w:t>
            </w:r>
          </w:p>
        </w:tc>
        <w:tc>
          <w:tcPr>
            <w:tcMar>
              <w:top w:w="60.0" w:type="dxa"/>
              <w:left w:w="80.0" w:type="dxa"/>
              <w:bottom w:w="60.0" w:type="dxa"/>
              <w:right w:w="80.0" w:type="dxa"/>
            </w:tcMar>
          </w:tcPr>
          <w:p w:rsidR="00000000" w:rsidDel="00000000" w:rsidP="00000000" w:rsidRDefault="00000000" w:rsidRPr="00000000" w14:paraId="00000086">
            <w:pPr>
              <w:spacing w:after="0" w:before="0" w:line="240" w:lineRule="auto"/>
              <w:jc w:val="left"/>
              <w:rPr/>
            </w:pPr>
            <w:r w:rsidDel="00000000" w:rsidR="00000000" w:rsidRPr="00000000">
              <w:rPr>
                <w:rtl w:val="0"/>
              </w:rPr>
              <w:t xml:space="preserve">11</w:t>
            </w:r>
          </w:p>
        </w:tc>
        <w:tc>
          <w:tcPr>
            <w:tcMar>
              <w:top w:w="60.0" w:type="dxa"/>
              <w:left w:w="80.0" w:type="dxa"/>
              <w:bottom w:w="60.0" w:type="dxa"/>
              <w:right w:w="80.0" w:type="dxa"/>
            </w:tcMar>
          </w:tcPr>
          <w:p w:rsidR="00000000" w:rsidDel="00000000" w:rsidP="00000000" w:rsidRDefault="00000000" w:rsidRPr="00000000" w14:paraId="00000087">
            <w:pPr>
              <w:spacing w:after="0" w:before="0" w:line="240" w:lineRule="auto"/>
              <w:jc w:val="left"/>
              <w:rPr/>
            </w:pPr>
            <w:r w:rsidDel="00000000" w:rsidR="00000000" w:rsidRPr="00000000">
              <w:rPr>
                <w:rtl w:val="0"/>
              </w:rPr>
              <w:t xml:space="preserve">Duration of use</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88">
            <w:pPr>
              <w:spacing w:after="0" w:before="0" w:line="240" w:lineRule="auto"/>
              <w:jc w:val="left"/>
              <w:rPr/>
            </w:pPr>
            <w:r w:rsidDel="00000000" w:rsidR="00000000" w:rsidRPr="00000000">
              <w:rPr>
                <w:rtl w:val="0"/>
              </w:rPr>
              <w:t xml:space="preserve">PPI &gt; 8 weeks without indication (Beers, STOPP, PRISCUS)</w:t>
            </w:r>
          </w:p>
        </w:tc>
        <w:tc>
          <w:tcPr>
            <w:tcMar>
              <w:top w:w="60.0" w:type="dxa"/>
              <w:left w:w="80.0" w:type="dxa"/>
              <w:bottom w:w="60.0" w:type="dxa"/>
              <w:right w:w="80.0" w:type="dxa"/>
            </w:tcMar>
          </w:tcPr>
          <w:p w:rsidR="00000000" w:rsidDel="00000000" w:rsidP="00000000" w:rsidRDefault="00000000" w:rsidRPr="00000000" w14:paraId="00000089">
            <w:pPr>
              <w:spacing w:after="0" w:before="0" w:line="240" w:lineRule="auto"/>
              <w:jc w:val="left"/>
              <w:rPr/>
            </w:pPr>
            <w:r w:rsidDel="00000000" w:rsidR="00000000" w:rsidRPr="00000000">
              <w:rPr>
                <w:rtl w:val="0"/>
              </w:rPr>
              <w:t xml:space="preserve">PPIs</w:t>
            </w:r>
          </w:p>
        </w:tc>
        <w:tc>
          <w:tcPr>
            <w:tcMar>
              <w:top w:w="60.0" w:type="dxa"/>
              <w:left w:w="80.0" w:type="dxa"/>
              <w:bottom w:w="60.0" w:type="dxa"/>
              <w:right w:w="80.0" w:type="dxa"/>
            </w:tcMar>
          </w:tcPr>
          <w:p w:rsidR="00000000" w:rsidDel="00000000" w:rsidP="00000000" w:rsidRDefault="00000000" w:rsidRPr="00000000" w14:paraId="0000008A">
            <w:pPr>
              <w:spacing w:after="0" w:before="0" w:line="240" w:lineRule="auto"/>
              <w:jc w:val="left"/>
              <w:rPr/>
            </w:pPr>
            <w:r w:rsidDel="00000000" w:rsidR="00000000" w:rsidRPr="00000000">
              <w:rPr>
                <w:rtl w:val="0"/>
              </w:rPr>
              <w:t xml:space="preserve">93</w:t>
            </w:r>
          </w:p>
        </w:tc>
        <w:tc>
          <w:tcPr>
            <w:tcMar>
              <w:top w:w="60.0" w:type="dxa"/>
              <w:left w:w="80.0" w:type="dxa"/>
              <w:bottom w:w="60.0" w:type="dxa"/>
              <w:right w:w="80.0" w:type="dxa"/>
            </w:tcMar>
          </w:tcPr>
          <w:p w:rsidR="00000000" w:rsidDel="00000000" w:rsidP="00000000" w:rsidRDefault="00000000" w:rsidRPr="00000000" w14:paraId="0000008B">
            <w:pPr>
              <w:spacing w:after="0" w:before="0" w:line="240" w:lineRule="auto"/>
              <w:jc w:val="left"/>
              <w:rPr/>
            </w:pPr>
            <w:r w:rsidDel="00000000" w:rsidR="00000000" w:rsidRPr="00000000">
              <w:rPr>
                <w:rtl w:val="0"/>
              </w:rPr>
              <w:t xml:space="preserve">92 (STOPP; 89 duration + 3 age), 92 (Beers)</w:t>
            </w:r>
          </w:p>
        </w:tc>
        <w:tc>
          <w:tcPr>
            <w:tcMar>
              <w:top w:w="60.0" w:type="dxa"/>
              <w:left w:w="80.0" w:type="dxa"/>
              <w:bottom w:w="60.0" w:type="dxa"/>
              <w:right w:w="80.0" w:type="dxa"/>
            </w:tcMar>
          </w:tcPr>
          <w:p w:rsidR="00000000" w:rsidDel="00000000" w:rsidP="00000000" w:rsidRDefault="00000000" w:rsidRPr="00000000" w14:paraId="0000008C">
            <w:pPr>
              <w:spacing w:after="0" w:before="0" w:line="240" w:lineRule="auto"/>
              <w:jc w:val="left"/>
              <w:rPr/>
            </w:pPr>
            <w:r w:rsidDel="00000000" w:rsidR="00000000" w:rsidRPr="00000000">
              <w:rPr>
                <w:rtl w:val="0"/>
              </w:rPr>
              <w:t xml:space="preserve">1 to 4</w:t>
            </w:r>
          </w:p>
        </w:tc>
        <w:tc>
          <w:tcPr>
            <w:tcMar>
              <w:top w:w="60.0" w:type="dxa"/>
              <w:left w:w="80.0" w:type="dxa"/>
              <w:bottom w:w="60.0" w:type="dxa"/>
              <w:right w:w="80.0" w:type="dxa"/>
            </w:tcMar>
          </w:tcPr>
          <w:p w:rsidR="00000000" w:rsidDel="00000000" w:rsidP="00000000" w:rsidRDefault="00000000" w:rsidRPr="00000000" w14:paraId="0000008D">
            <w:pPr>
              <w:spacing w:after="0" w:before="0" w:line="240" w:lineRule="auto"/>
              <w:jc w:val="left"/>
              <w:rPr/>
            </w:pPr>
            <w:r w:rsidDel="00000000" w:rsidR="00000000" w:rsidRPr="00000000">
              <w:rPr>
                <w:rtl w:val="0"/>
              </w:rPr>
              <w:t xml:space="preserve">Duration of use, indication</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8E">
            <w:pPr>
              <w:spacing w:after="0" w:before="0" w:line="240" w:lineRule="auto"/>
              <w:jc w:val="left"/>
              <w:rPr/>
            </w:pPr>
            <w:r w:rsidDel="00000000" w:rsidR="00000000" w:rsidRPr="00000000">
              <w:rPr>
                <w:rtl w:val="0"/>
              </w:rPr>
              <w:t xml:space="preserve">Benzodiazepine or Z-drug &gt; 4 weeks (STOPP)</w:t>
            </w:r>
          </w:p>
        </w:tc>
        <w:tc>
          <w:tcPr>
            <w:tcMar>
              <w:top w:w="60.0" w:type="dxa"/>
              <w:left w:w="80.0" w:type="dxa"/>
              <w:bottom w:w="60.0" w:type="dxa"/>
              <w:right w:w="80.0" w:type="dxa"/>
            </w:tcMar>
          </w:tcPr>
          <w:p w:rsidR="00000000" w:rsidDel="00000000" w:rsidP="00000000" w:rsidRDefault="00000000" w:rsidRPr="00000000" w14:paraId="0000008F">
            <w:pPr>
              <w:spacing w:after="0" w:before="0" w:line="240" w:lineRule="auto"/>
              <w:jc w:val="left"/>
              <w:rPr/>
            </w:pPr>
            <w:r w:rsidDel="00000000" w:rsidR="00000000" w:rsidRPr="00000000">
              <w:rPr>
                <w:rtl w:val="0"/>
              </w:rPr>
              <w:t xml:space="preserve">benzodiazepines, Z-drugs</w:t>
            </w:r>
          </w:p>
        </w:tc>
        <w:tc>
          <w:tcPr>
            <w:tcMar>
              <w:top w:w="60.0" w:type="dxa"/>
              <w:left w:w="80.0" w:type="dxa"/>
              <w:bottom w:w="60.0" w:type="dxa"/>
              <w:right w:w="80.0" w:type="dxa"/>
            </w:tcMar>
          </w:tcPr>
          <w:p w:rsidR="00000000" w:rsidDel="00000000" w:rsidP="00000000" w:rsidRDefault="00000000" w:rsidRPr="00000000" w14:paraId="00000090">
            <w:pPr>
              <w:spacing w:after="0" w:before="0" w:line="240" w:lineRule="auto"/>
              <w:jc w:val="left"/>
              <w:rPr/>
            </w:pPr>
            <w:r w:rsidDel="00000000" w:rsidR="00000000" w:rsidRPr="00000000">
              <w:rPr>
                <w:rtl w:val="0"/>
              </w:rPr>
              <w:t xml:space="preserve">3</w:t>
            </w:r>
          </w:p>
        </w:tc>
        <w:tc>
          <w:tcPr>
            <w:tcMar>
              <w:top w:w="60.0" w:type="dxa"/>
              <w:left w:w="80.0" w:type="dxa"/>
              <w:bottom w:w="60.0" w:type="dxa"/>
              <w:right w:w="80.0" w:type="dxa"/>
            </w:tcMar>
          </w:tcPr>
          <w:p w:rsidR="00000000" w:rsidDel="00000000" w:rsidP="00000000" w:rsidRDefault="00000000" w:rsidRPr="00000000" w14:paraId="00000091">
            <w:pPr>
              <w:spacing w:after="0" w:before="0" w:line="240" w:lineRule="auto"/>
              <w:jc w:val="left"/>
              <w:rPr/>
            </w:pPr>
            <w:r w:rsidDel="00000000" w:rsidR="00000000" w:rsidRPr="00000000">
              <w:rPr>
                <w:rtl w:val="0"/>
              </w:rPr>
              <w:t xml:space="preserve">1</w:t>
            </w:r>
          </w:p>
        </w:tc>
        <w:tc>
          <w:tcPr>
            <w:tcMar>
              <w:top w:w="60.0" w:type="dxa"/>
              <w:left w:w="80.0" w:type="dxa"/>
              <w:bottom w:w="60.0" w:type="dxa"/>
              <w:right w:w="80.0" w:type="dxa"/>
            </w:tcMar>
          </w:tcPr>
          <w:p w:rsidR="00000000" w:rsidDel="00000000" w:rsidP="00000000" w:rsidRDefault="00000000" w:rsidRPr="00000000" w14:paraId="00000092">
            <w:pPr>
              <w:spacing w:after="0" w:before="0" w:line="240" w:lineRule="auto"/>
              <w:jc w:val="left"/>
              <w:rPr/>
            </w:pPr>
            <w:r w:rsidDel="00000000" w:rsidR="00000000" w:rsidRPr="00000000">
              <w:rPr>
                <w:rtl w:val="0"/>
              </w:rPr>
              <w:t xml:space="preserve">2</w:t>
            </w:r>
          </w:p>
        </w:tc>
        <w:tc>
          <w:tcPr>
            <w:tcMar>
              <w:top w:w="60.0" w:type="dxa"/>
              <w:left w:w="80.0" w:type="dxa"/>
              <w:bottom w:w="60.0" w:type="dxa"/>
              <w:right w:w="80.0" w:type="dxa"/>
            </w:tcMar>
          </w:tcPr>
          <w:p w:rsidR="00000000" w:rsidDel="00000000" w:rsidP="00000000" w:rsidRDefault="00000000" w:rsidRPr="00000000" w14:paraId="00000093">
            <w:pPr>
              <w:spacing w:after="0" w:before="0" w:line="240" w:lineRule="auto"/>
              <w:jc w:val="left"/>
              <w:rPr/>
            </w:pPr>
            <w:r w:rsidDel="00000000" w:rsidR="00000000" w:rsidRPr="00000000">
              <w:rPr>
                <w:rtl w:val="0"/>
              </w:rPr>
              <w:t xml:space="preserve">Duration of use</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94">
            <w:pPr>
              <w:spacing w:after="0" w:before="0" w:line="240" w:lineRule="auto"/>
              <w:jc w:val="left"/>
              <w:rPr/>
            </w:pPr>
            <w:r w:rsidDel="00000000" w:rsidR="00000000" w:rsidRPr="00000000">
              <w:rPr>
                <w:rtl w:val="0"/>
              </w:rPr>
              <w:t xml:space="preserve">Statin in limited life expectancy or frailty (STOPP)</w:t>
            </w:r>
          </w:p>
        </w:tc>
        <w:tc>
          <w:tcPr>
            <w:tcMar>
              <w:top w:w="60.0" w:type="dxa"/>
              <w:left w:w="80.0" w:type="dxa"/>
              <w:bottom w:w="60.0" w:type="dxa"/>
              <w:right w:w="80.0" w:type="dxa"/>
            </w:tcMar>
          </w:tcPr>
          <w:p w:rsidR="00000000" w:rsidDel="00000000" w:rsidP="00000000" w:rsidRDefault="00000000" w:rsidRPr="00000000" w14:paraId="00000095">
            <w:pPr>
              <w:spacing w:after="0" w:before="0" w:line="240" w:lineRule="auto"/>
              <w:jc w:val="left"/>
              <w:rPr/>
            </w:pPr>
            <w:r w:rsidDel="00000000" w:rsidR="00000000" w:rsidRPr="00000000">
              <w:rPr>
                <w:rtl w:val="0"/>
              </w:rPr>
              <w:t xml:space="preserve">statins</w:t>
            </w:r>
          </w:p>
        </w:tc>
        <w:tc>
          <w:tcPr>
            <w:tcMar>
              <w:top w:w="60.0" w:type="dxa"/>
              <w:left w:w="80.0" w:type="dxa"/>
              <w:bottom w:w="60.0" w:type="dxa"/>
              <w:right w:w="80.0" w:type="dxa"/>
            </w:tcMar>
          </w:tcPr>
          <w:p w:rsidR="00000000" w:rsidDel="00000000" w:rsidP="00000000" w:rsidRDefault="00000000" w:rsidRPr="00000000" w14:paraId="00000096">
            <w:pPr>
              <w:spacing w:after="0" w:before="0" w:line="240" w:lineRule="auto"/>
              <w:jc w:val="left"/>
              <w:rPr/>
            </w:pPr>
            <w:r w:rsidDel="00000000" w:rsidR="00000000" w:rsidRPr="00000000">
              <w:rPr>
                <w:rtl w:val="0"/>
              </w:rPr>
              <w:t xml:space="preserve">64</w:t>
            </w:r>
          </w:p>
        </w:tc>
        <w:tc>
          <w:tcPr>
            <w:tcMar>
              <w:top w:w="60.0" w:type="dxa"/>
              <w:left w:w="80.0" w:type="dxa"/>
              <w:bottom w:w="60.0" w:type="dxa"/>
              <w:right w:w="80.0" w:type="dxa"/>
            </w:tcMar>
          </w:tcPr>
          <w:p w:rsidR="00000000" w:rsidDel="00000000" w:rsidP="00000000" w:rsidRDefault="00000000" w:rsidRPr="00000000" w14:paraId="00000097">
            <w:pPr>
              <w:spacing w:after="0" w:before="0" w:line="240" w:lineRule="auto"/>
              <w:jc w:val="left"/>
              <w:rPr/>
            </w:pPr>
            <w:r w:rsidDel="00000000" w:rsidR="00000000" w:rsidRPr="00000000">
              <w:rPr>
                <w:rtl w:val="0"/>
              </w:rPr>
              <w:t xml:space="preserve">0</w:t>
            </w:r>
          </w:p>
        </w:tc>
        <w:tc>
          <w:tcPr>
            <w:tcMar>
              <w:top w:w="60.0" w:type="dxa"/>
              <w:left w:w="80.0" w:type="dxa"/>
              <w:bottom w:w="60.0" w:type="dxa"/>
              <w:right w:w="80.0" w:type="dxa"/>
            </w:tcMar>
          </w:tcPr>
          <w:p w:rsidR="00000000" w:rsidDel="00000000" w:rsidP="00000000" w:rsidRDefault="00000000" w:rsidRPr="00000000" w14:paraId="00000098">
            <w:pPr>
              <w:spacing w:after="0" w:before="0" w:line="240" w:lineRule="auto"/>
              <w:jc w:val="left"/>
              <w:rPr/>
            </w:pPr>
            <w:r w:rsidDel="00000000" w:rsidR="00000000" w:rsidRPr="00000000">
              <w:rPr>
                <w:rtl w:val="0"/>
              </w:rPr>
              <w:t xml:space="preserve">64</w:t>
            </w:r>
          </w:p>
        </w:tc>
        <w:tc>
          <w:tcPr>
            <w:tcMar>
              <w:top w:w="60.0" w:type="dxa"/>
              <w:left w:w="80.0" w:type="dxa"/>
              <w:bottom w:w="60.0" w:type="dxa"/>
              <w:right w:w="80.0" w:type="dxa"/>
            </w:tcMar>
          </w:tcPr>
          <w:p w:rsidR="00000000" w:rsidDel="00000000" w:rsidP="00000000" w:rsidRDefault="00000000" w:rsidRPr="00000000" w14:paraId="00000099">
            <w:pPr>
              <w:spacing w:after="0" w:before="0" w:line="240" w:lineRule="auto"/>
              <w:jc w:val="left"/>
              <w:rPr/>
            </w:pPr>
            <w:r w:rsidDel="00000000" w:rsidR="00000000" w:rsidRPr="00000000">
              <w:rPr>
                <w:rtl w:val="0"/>
              </w:rPr>
              <w:t xml:space="preserve">Life expectancy, frailty status</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9A">
            <w:pPr>
              <w:spacing w:after="0" w:before="0" w:line="240" w:lineRule="auto"/>
              <w:jc w:val="left"/>
              <w:rPr/>
            </w:pPr>
            <w:r w:rsidDel="00000000" w:rsidR="00000000" w:rsidRPr="00000000">
              <w:rPr>
                <w:rtl w:val="0"/>
              </w:rPr>
              <w:t xml:space="preserve">Antipsychotic in dementia (Beers, STOPP)</w:t>
            </w:r>
          </w:p>
        </w:tc>
        <w:tc>
          <w:tcPr>
            <w:tcMar>
              <w:top w:w="60.0" w:type="dxa"/>
              <w:left w:w="80.0" w:type="dxa"/>
              <w:bottom w:w="60.0" w:type="dxa"/>
              <w:right w:w="80.0" w:type="dxa"/>
            </w:tcMar>
          </w:tcPr>
          <w:p w:rsidR="00000000" w:rsidDel="00000000" w:rsidP="00000000" w:rsidRDefault="00000000" w:rsidRPr="00000000" w14:paraId="0000009B">
            <w:pPr>
              <w:spacing w:after="0" w:before="0" w:line="240" w:lineRule="auto"/>
              <w:jc w:val="left"/>
              <w:rPr/>
            </w:pPr>
            <w:r w:rsidDel="00000000" w:rsidR="00000000" w:rsidRPr="00000000">
              <w:rPr>
                <w:rtl w:val="0"/>
              </w:rPr>
              <w:t xml:space="preserve">quetiapine</w:t>
            </w:r>
          </w:p>
        </w:tc>
        <w:tc>
          <w:tcPr>
            <w:tcMar>
              <w:top w:w="60.0" w:type="dxa"/>
              <w:left w:w="80.0" w:type="dxa"/>
              <w:bottom w:w="60.0" w:type="dxa"/>
              <w:right w:w="80.0" w:type="dxa"/>
            </w:tcMar>
          </w:tcPr>
          <w:p w:rsidR="00000000" w:rsidDel="00000000" w:rsidP="00000000" w:rsidRDefault="00000000" w:rsidRPr="00000000" w14:paraId="0000009C">
            <w:pPr>
              <w:spacing w:after="0" w:before="0" w:line="240" w:lineRule="auto"/>
              <w:jc w:val="left"/>
              <w:rPr/>
            </w:pPr>
            <w:r w:rsidDel="00000000" w:rsidR="00000000" w:rsidRPr="00000000">
              <w:rPr>
                <w:rtl w:val="0"/>
              </w:rPr>
              <w:t xml:space="preserve">40</w:t>
            </w:r>
          </w:p>
        </w:tc>
        <w:tc>
          <w:tcPr>
            <w:tcMar>
              <w:top w:w="60.0" w:type="dxa"/>
              <w:left w:w="80.0" w:type="dxa"/>
              <w:bottom w:w="60.0" w:type="dxa"/>
              <w:right w:w="80.0" w:type="dxa"/>
            </w:tcMar>
          </w:tcPr>
          <w:p w:rsidR="00000000" w:rsidDel="00000000" w:rsidP="00000000" w:rsidRDefault="00000000" w:rsidRPr="00000000" w14:paraId="0000009D">
            <w:pPr>
              <w:spacing w:after="0" w:before="0" w:line="240" w:lineRule="auto"/>
              <w:jc w:val="left"/>
              <w:rPr/>
            </w:pPr>
            <w:r w:rsidDel="00000000" w:rsidR="00000000" w:rsidRPr="00000000">
              <w:rPr>
                <w:rtl w:val="0"/>
              </w:rPr>
              <w:t xml:space="preserve">36 (Beers), 22 (STOPP)</w:t>
            </w:r>
          </w:p>
        </w:tc>
        <w:tc>
          <w:tcPr>
            <w:tcMar>
              <w:top w:w="60.0" w:type="dxa"/>
              <w:left w:w="80.0" w:type="dxa"/>
              <w:bottom w:w="60.0" w:type="dxa"/>
              <w:right w:w="80.0" w:type="dxa"/>
            </w:tcMar>
          </w:tcPr>
          <w:p w:rsidR="00000000" w:rsidDel="00000000" w:rsidP="00000000" w:rsidRDefault="00000000" w:rsidRPr="00000000" w14:paraId="0000009E">
            <w:pPr>
              <w:spacing w:after="0" w:before="0" w:line="240" w:lineRule="auto"/>
              <w:jc w:val="left"/>
              <w:rPr/>
            </w:pPr>
            <w:r w:rsidDel="00000000" w:rsidR="00000000" w:rsidRPr="00000000">
              <w:rPr>
                <w:rtl w:val="0"/>
              </w:rPr>
              <w:t xml:space="preserve">4 (Beers), 18 (STOPP)</w:t>
            </w:r>
          </w:p>
        </w:tc>
        <w:tc>
          <w:tcPr>
            <w:tcMar>
              <w:top w:w="60.0" w:type="dxa"/>
              <w:left w:w="80.0" w:type="dxa"/>
              <w:bottom w:w="60.0" w:type="dxa"/>
              <w:right w:w="80.0" w:type="dxa"/>
            </w:tcMar>
          </w:tcPr>
          <w:p w:rsidR="00000000" w:rsidDel="00000000" w:rsidP="00000000" w:rsidRDefault="00000000" w:rsidRPr="00000000" w14:paraId="0000009F">
            <w:pPr>
              <w:spacing w:after="0" w:before="0" w:line="240" w:lineRule="auto"/>
              <w:jc w:val="left"/>
              <w:rPr/>
            </w:pPr>
            <w:r w:rsidDel="00000000" w:rsidR="00000000" w:rsidRPr="00000000">
              <w:rPr>
                <w:rtl w:val="0"/>
              </w:rPr>
              <w:t xml:space="preserve">Dementia diagnosis</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A0">
            <w:pPr>
              <w:spacing w:after="0" w:before="0" w:line="240" w:lineRule="auto"/>
              <w:jc w:val="left"/>
              <w:rPr/>
            </w:pPr>
            <w:r w:rsidDel="00000000" w:rsidR="00000000" w:rsidRPr="00000000">
              <w:rPr>
                <w:rtl w:val="0"/>
              </w:rPr>
              <w:t xml:space="preserve">SSRI with history of falls (Beers)</w:t>
            </w:r>
          </w:p>
        </w:tc>
        <w:tc>
          <w:tcPr>
            <w:tcMar>
              <w:top w:w="60.0" w:type="dxa"/>
              <w:left w:w="80.0" w:type="dxa"/>
              <w:bottom w:w="60.0" w:type="dxa"/>
              <w:right w:w="80.0" w:type="dxa"/>
            </w:tcMar>
          </w:tcPr>
          <w:p w:rsidR="00000000" w:rsidDel="00000000" w:rsidP="00000000" w:rsidRDefault="00000000" w:rsidRPr="00000000" w14:paraId="000000A1">
            <w:pPr>
              <w:spacing w:after="0" w:before="0" w:line="240" w:lineRule="auto"/>
              <w:jc w:val="left"/>
              <w:rPr/>
            </w:pPr>
            <w:r w:rsidDel="00000000" w:rsidR="00000000" w:rsidRPr="00000000">
              <w:rPr>
                <w:rtl w:val="0"/>
              </w:rPr>
              <w:t xml:space="preserve">escitalopram, citalopram, sertraline</w:t>
            </w:r>
          </w:p>
        </w:tc>
        <w:tc>
          <w:tcPr>
            <w:tcMar>
              <w:top w:w="60.0" w:type="dxa"/>
              <w:left w:w="80.0" w:type="dxa"/>
              <w:bottom w:w="60.0" w:type="dxa"/>
              <w:right w:w="80.0" w:type="dxa"/>
            </w:tcMar>
          </w:tcPr>
          <w:p w:rsidR="00000000" w:rsidDel="00000000" w:rsidP="00000000" w:rsidRDefault="00000000" w:rsidRPr="00000000" w14:paraId="000000A2">
            <w:pPr>
              <w:spacing w:after="0" w:before="0" w:line="240" w:lineRule="auto"/>
              <w:jc w:val="left"/>
              <w:rPr/>
            </w:pPr>
            <w:r w:rsidDel="00000000" w:rsidR="00000000" w:rsidRPr="00000000">
              <w:rPr>
                <w:rtl w:val="0"/>
              </w:rPr>
              <w:t xml:space="preserve">50</w:t>
            </w:r>
          </w:p>
        </w:tc>
        <w:tc>
          <w:tcPr>
            <w:tcMar>
              <w:top w:w="60.0" w:type="dxa"/>
              <w:left w:w="80.0" w:type="dxa"/>
              <w:bottom w:w="60.0" w:type="dxa"/>
              <w:right w:w="80.0" w:type="dxa"/>
            </w:tcMar>
          </w:tcPr>
          <w:p w:rsidR="00000000" w:rsidDel="00000000" w:rsidP="00000000" w:rsidRDefault="00000000" w:rsidRPr="00000000" w14:paraId="000000A3">
            <w:pPr>
              <w:spacing w:after="0" w:before="0" w:line="240" w:lineRule="auto"/>
              <w:jc w:val="left"/>
              <w:rPr/>
            </w:pPr>
            <w:r w:rsidDel="00000000" w:rsidR="00000000" w:rsidRPr="00000000">
              <w:rPr>
                <w:rtl w:val="0"/>
              </w:rPr>
              <w:t xml:space="preserve">22</w:t>
            </w:r>
          </w:p>
        </w:tc>
        <w:tc>
          <w:tcPr>
            <w:tcMar>
              <w:top w:w="60.0" w:type="dxa"/>
              <w:left w:w="80.0" w:type="dxa"/>
              <w:bottom w:w="60.0" w:type="dxa"/>
              <w:right w:w="80.0" w:type="dxa"/>
            </w:tcMar>
          </w:tcPr>
          <w:p w:rsidR="00000000" w:rsidDel="00000000" w:rsidP="00000000" w:rsidRDefault="00000000" w:rsidRPr="00000000" w14:paraId="000000A4">
            <w:pPr>
              <w:spacing w:after="0" w:before="0" w:line="240" w:lineRule="auto"/>
              <w:jc w:val="left"/>
              <w:rPr/>
            </w:pPr>
            <w:r w:rsidDel="00000000" w:rsidR="00000000" w:rsidRPr="00000000">
              <w:rPr>
                <w:rtl w:val="0"/>
              </w:rPr>
              <w:t xml:space="preserve">28</w:t>
            </w:r>
          </w:p>
        </w:tc>
        <w:tc>
          <w:tcPr>
            <w:tcMar>
              <w:top w:w="60.0" w:type="dxa"/>
              <w:left w:w="80.0" w:type="dxa"/>
              <w:bottom w:w="60.0" w:type="dxa"/>
              <w:right w:w="80.0" w:type="dxa"/>
            </w:tcMar>
          </w:tcPr>
          <w:p w:rsidR="00000000" w:rsidDel="00000000" w:rsidP="00000000" w:rsidRDefault="00000000" w:rsidRPr="00000000" w14:paraId="000000A5">
            <w:pPr>
              <w:spacing w:after="0" w:before="0" w:line="240" w:lineRule="auto"/>
              <w:jc w:val="left"/>
              <w:rPr/>
            </w:pPr>
            <w:r w:rsidDel="00000000" w:rsidR="00000000" w:rsidRPr="00000000">
              <w:rPr>
                <w:rtl w:val="0"/>
              </w:rPr>
              <w:t xml:space="preserve">Documented fall history</w:t>
            </w:r>
          </w:p>
        </w:tc>
      </w:tr>
    </w:tbl>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ASA, acetylsalicylic acid; NSAID, non-steroidal anti-inflammatory drug; PPI, proton pump inhibitor; SSRI, selective serotonin reuptake inhibitor; BZD, benzodiazepine; Z-drugs, zolpidem, zopiclone, zaleplon. The 'not coded' column cannot distinguish undocumented from genuinely absent conditions and is an upper bound.</w:t>
      </w:r>
    </w:p>
    <w:p w:rsidR="00000000" w:rsidDel="00000000" w:rsidP="00000000" w:rsidRDefault="00000000" w:rsidRPr="00000000" w14:paraId="000000A8">
      <w:pPr>
        <w:pStyle w:val="Heading2"/>
        <w:rPr/>
      </w:pPr>
      <w:bookmarkStart w:colFirst="0" w:colLast="0" w:name="_heading=h.48tjusad1a05" w:id="7"/>
      <w:bookmarkEnd w:id="7"/>
      <w:r w:rsidDel="00000000" w:rsidR="00000000" w:rsidRPr="00000000">
        <w:rPr>
          <w:rtl w:val="0"/>
        </w:rPr>
        <w:t xml:space="preserve">PIM-ALL: Combination Rule and Cohort Summary</w:t>
      </w:r>
    </w:p>
    <w:p w:rsidR="00000000" w:rsidDel="00000000" w:rsidP="00000000" w:rsidRDefault="00000000" w:rsidRPr="00000000" w14:paraId="000000A9">
      <w:pPr>
        <w:rPr/>
      </w:pPr>
      <w:r w:rsidDel="00000000" w:rsidR="00000000" w:rsidRPr="00000000">
        <w:rPr>
          <w:rtl w:val="0"/>
        </w:rPr>
        <w:t xml:space="preserve">For each patient, PIM-ALL was derived by pooling every medication coded as PIM-A or PIM-C under PRISCUS 2.0, Beers 2019, or STOPP v3, and removing duplicate entries so that a medication independently flagged by more than one list (e.g., PPI overuse, flagged by all three lists, or quetiapine in dementia, flagged by both Beers 2019 and STOPP v3) contributed only once to the patient’s total PIM-ALL count. This is consistent with the definition of PIM-ALL as a comprehensive, non-redundant summary measure rather than a simple sum of the three list-specific counts.</w:t>
      </w:r>
    </w:p>
    <w:p w:rsidR="00000000" w:rsidDel="00000000" w:rsidP="00000000" w:rsidRDefault="00000000" w:rsidRPr="00000000" w14:paraId="000000AA">
      <w:pPr>
        <w:rPr/>
      </w:pPr>
      <w:r w:rsidDel="00000000" w:rsidR="00000000" w:rsidRPr="00000000">
        <w:rPr>
          <w:rtl w:val="0"/>
        </w:rPr>
        <w:t xml:space="preserve">The distribution of the number of PIM-ALL items per patient is shown in Table S5. Of the 397 patients, 233 (58.7%) had at least one PIM and 60 (15.1%) had three or more; the maximum was 7.</w:t>
      </w:r>
    </w:p>
    <w:p w:rsidR="00000000" w:rsidDel="00000000" w:rsidP="00000000" w:rsidRDefault="00000000" w:rsidRPr="00000000" w14:paraId="000000AB">
      <w:pPr>
        <w:rPr/>
      </w:pPr>
      <w:r w:rsidDel="00000000" w:rsidR="00000000" w:rsidRPr="00000000">
        <w:rPr>
          <w:b w:val="1"/>
          <w:bCs w:val="1"/>
          <w:rtl w:val="0"/>
        </w:rPr>
        <w:t xml:space="preserve">Table S5. Distribution of the number of PIM-ALL items per patient (N = 397).</w:t>
      </w:r>
      <w:r w:rsidDel="00000000" w:rsidR="00000000" w:rsidRPr="00000000">
        <w:rPr>
          <w:rtl w:val="0"/>
        </w:rPr>
      </w:r>
    </w:p>
    <w:tbl>
      <w:tblPr>
        <w:tblStyle w:val="Table5"/>
        <w:tblW w:w="6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000"/>
        <w:gridCol w:w="1500"/>
        <w:gridCol w:w="1500"/>
        <w:tblGridChange w:id="0">
          <w:tblGrid>
            <w:gridCol w:w="3000"/>
            <w:gridCol w:w="1500"/>
            <w:gridCol w:w="1500"/>
          </w:tblGrid>
        </w:tblGridChange>
      </w:tblGrid>
      <w:tr>
        <w:trPr>
          <w:cantSplit w:val="0"/>
          <w:tblHeader w:val="0"/>
        </w:trPr>
        <w:tc>
          <w:tcPr>
            <w:tcMar>
              <w:top w:w="60.0" w:type="dxa"/>
              <w:left w:w="80.0" w:type="dxa"/>
              <w:bottom w:w="60.0" w:type="dxa"/>
              <w:right w:w="80.0" w:type="dxa"/>
            </w:tcMar>
          </w:tcPr>
          <w:p w:rsidR="00000000" w:rsidDel="00000000" w:rsidP="00000000" w:rsidRDefault="00000000" w:rsidRPr="00000000" w14:paraId="000000AC">
            <w:pPr>
              <w:spacing w:after="0" w:before="0" w:line="240" w:lineRule="auto"/>
              <w:jc w:val="left"/>
              <w:rPr/>
            </w:pPr>
            <w:r w:rsidDel="00000000" w:rsidR="00000000" w:rsidRPr="00000000">
              <w:rPr>
                <w:b w:val="1"/>
                <w:bCs w:val="1"/>
                <w:rtl w:val="0"/>
              </w:rPr>
              <w:t xml:space="preserve">Number of PIM-ALL items</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AD">
            <w:pPr>
              <w:spacing w:after="0" w:before="0" w:line="240" w:lineRule="auto"/>
              <w:jc w:val="left"/>
              <w:rPr/>
            </w:pPr>
            <w:r w:rsidDel="00000000" w:rsidR="00000000" w:rsidRPr="00000000">
              <w:rPr>
                <w:b w:val="1"/>
                <w:bCs w:val="1"/>
                <w:rtl w:val="0"/>
              </w:rPr>
              <w:t xml:space="preserve">n</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AE">
            <w:pPr>
              <w:spacing w:after="0" w:before="0" w:line="240" w:lineRule="auto"/>
              <w:jc w:val="left"/>
              <w:rPr/>
            </w:pPr>
            <w:r w:rsidDel="00000000" w:rsidR="00000000" w:rsidRPr="00000000">
              <w:rPr>
                <w:b w:val="1"/>
                <w:bCs w:val="1"/>
                <w:rtl w:val="0"/>
              </w:rPr>
              <w:t xml:space="preserve">%</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AF">
            <w:pPr>
              <w:spacing w:after="0" w:before="0" w:line="240" w:lineRule="auto"/>
              <w:jc w:val="left"/>
              <w:rPr/>
            </w:pPr>
            <w:r w:rsidDel="00000000" w:rsidR="00000000" w:rsidRPr="00000000">
              <w:rPr>
                <w:rtl w:val="0"/>
              </w:rPr>
              <w:t xml:space="preserve">0</w:t>
            </w:r>
          </w:p>
        </w:tc>
        <w:tc>
          <w:tcPr>
            <w:tcMar>
              <w:top w:w="60.0" w:type="dxa"/>
              <w:left w:w="80.0" w:type="dxa"/>
              <w:bottom w:w="60.0" w:type="dxa"/>
              <w:right w:w="80.0" w:type="dxa"/>
            </w:tcMar>
          </w:tcPr>
          <w:p w:rsidR="00000000" w:rsidDel="00000000" w:rsidP="00000000" w:rsidRDefault="00000000" w:rsidRPr="00000000" w14:paraId="000000B0">
            <w:pPr>
              <w:spacing w:after="0" w:before="0" w:line="240" w:lineRule="auto"/>
              <w:jc w:val="left"/>
              <w:rPr/>
            </w:pPr>
            <w:r w:rsidDel="00000000" w:rsidR="00000000" w:rsidRPr="00000000">
              <w:rPr>
                <w:rtl w:val="0"/>
              </w:rPr>
              <w:t xml:space="preserve">164</w:t>
            </w:r>
          </w:p>
        </w:tc>
        <w:tc>
          <w:tcPr>
            <w:tcMar>
              <w:top w:w="60.0" w:type="dxa"/>
              <w:left w:w="80.0" w:type="dxa"/>
              <w:bottom w:w="60.0" w:type="dxa"/>
              <w:right w:w="80.0" w:type="dxa"/>
            </w:tcMar>
          </w:tcPr>
          <w:p w:rsidR="00000000" w:rsidDel="00000000" w:rsidP="00000000" w:rsidRDefault="00000000" w:rsidRPr="00000000" w14:paraId="000000B1">
            <w:pPr>
              <w:spacing w:after="0" w:before="0" w:line="240" w:lineRule="auto"/>
              <w:jc w:val="left"/>
              <w:rPr/>
            </w:pPr>
            <w:r w:rsidDel="00000000" w:rsidR="00000000" w:rsidRPr="00000000">
              <w:rPr>
                <w:rtl w:val="0"/>
              </w:rPr>
              <w:t xml:space="preserve">41.3</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B2">
            <w:pPr>
              <w:spacing w:after="0" w:before="0" w:line="240" w:lineRule="auto"/>
              <w:jc w:val="left"/>
              <w:rPr/>
            </w:pPr>
            <w:r w:rsidDel="00000000" w:rsidR="00000000" w:rsidRPr="00000000">
              <w:rPr>
                <w:rtl w:val="0"/>
              </w:rPr>
              <w:t xml:space="preserve">1</w:t>
            </w:r>
          </w:p>
        </w:tc>
        <w:tc>
          <w:tcPr>
            <w:tcMar>
              <w:top w:w="60.0" w:type="dxa"/>
              <w:left w:w="80.0" w:type="dxa"/>
              <w:bottom w:w="60.0" w:type="dxa"/>
              <w:right w:w="80.0" w:type="dxa"/>
            </w:tcMar>
          </w:tcPr>
          <w:p w:rsidR="00000000" w:rsidDel="00000000" w:rsidP="00000000" w:rsidRDefault="00000000" w:rsidRPr="00000000" w14:paraId="000000B3">
            <w:pPr>
              <w:spacing w:after="0" w:before="0" w:line="240" w:lineRule="auto"/>
              <w:jc w:val="left"/>
              <w:rPr/>
            </w:pPr>
            <w:r w:rsidDel="00000000" w:rsidR="00000000" w:rsidRPr="00000000">
              <w:rPr>
                <w:rtl w:val="0"/>
              </w:rPr>
              <w:t xml:space="preserve">103</w:t>
            </w:r>
          </w:p>
        </w:tc>
        <w:tc>
          <w:tcPr>
            <w:tcMar>
              <w:top w:w="60.0" w:type="dxa"/>
              <w:left w:w="80.0" w:type="dxa"/>
              <w:bottom w:w="60.0" w:type="dxa"/>
              <w:right w:w="80.0" w:type="dxa"/>
            </w:tcMar>
          </w:tcPr>
          <w:p w:rsidR="00000000" w:rsidDel="00000000" w:rsidP="00000000" w:rsidRDefault="00000000" w:rsidRPr="00000000" w14:paraId="000000B4">
            <w:pPr>
              <w:spacing w:after="0" w:before="0" w:line="240" w:lineRule="auto"/>
              <w:jc w:val="left"/>
              <w:rPr/>
            </w:pPr>
            <w:r w:rsidDel="00000000" w:rsidR="00000000" w:rsidRPr="00000000">
              <w:rPr>
                <w:rtl w:val="0"/>
              </w:rPr>
              <w:t xml:space="preserve">25.9</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B5">
            <w:pPr>
              <w:spacing w:after="0" w:before="0" w:line="240" w:lineRule="auto"/>
              <w:jc w:val="left"/>
              <w:rPr/>
            </w:pPr>
            <w:r w:rsidDel="00000000" w:rsidR="00000000" w:rsidRPr="00000000">
              <w:rPr>
                <w:rtl w:val="0"/>
              </w:rPr>
              <w:t xml:space="preserve">2</w:t>
            </w:r>
          </w:p>
        </w:tc>
        <w:tc>
          <w:tcPr>
            <w:tcMar>
              <w:top w:w="60.0" w:type="dxa"/>
              <w:left w:w="80.0" w:type="dxa"/>
              <w:bottom w:w="60.0" w:type="dxa"/>
              <w:right w:w="80.0" w:type="dxa"/>
            </w:tcMar>
          </w:tcPr>
          <w:p w:rsidR="00000000" w:rsidDel="00000000" w:rsidP="00000000" w:rsidRDefault="00000000" w:rsidRPr="00000000" w14:paraId="000000B6">
            <w:pPr>
              <w:spacing w:after="0" w:before="0" w:line="240" w:lineRule="auto"/>
              <w:jc w:val="left"/>
              <w:rPr/>
            </w:pPr>
            <w:r w:rsidDel="00000000" w:rsidR="00000000" w:rsidRPr="00000000">
              <w:rPr>
                <w:rtl w:val="0"/>
              </w:rPr>
              <w:t xml:space="preserve">70</w:t>
            </w:r>
          </w:p>
        </w:tc>
        <w:tc>
          <w:tcPr>
            <w:tcMar>
              <w:top w:w="60.0" w:type="dxa"/>
              <w:left w:w="80.0" w:type="dxa"/>
              <w:bottom w:w="60.0" w:type="dxa"/>
              <w:right w:w="80.0" w:type="dxa"/>
            </w:tcMar>
          </w:tcPr>
          <w:p w:rsidR="00000000" w:rsidDel="00000000" w:rsidP="00000000" w:rsidRDefault="00000000" w:rsidRPr="00000000" w14:paraId="000000B7">
            <w:pPr>
              <w:spacing w:after="0" w:before="0" w:line="240" w:lineRule="auto"/>
              <w:jc w:val="left"/>
              <w:rPr/>
            </w:pPr>
            <w:r w:rsidDel="00000000" w:rsidR="00000000" w:rsidRPr="00000000">
              <w:rPr>
                <w:rtl w:val="0"/>
              </w:rPr>
              <w:t xml:space="preserve">17.6</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B8">
            <w:pPr>
              <w:spacing w:after="0" w:before="0" w:line="240" w:lineRule="auto"/>
              <w:jc w:val="left"/>
              <w:rPr/>
            </w:pPr>
            <w:r w:rsidDel="00000000" w:rsidR="00000000" w:rsidRPr="00000000">
              <w:rPr>
                <w:rtl w:val="0"/>
              </w:rPr>
              <w:t xml:space="preserve">3</w:t>
            </w:r>
          </w:p>
        </w:tc>
        <w:tc>
          <w:tcPr>
            <w:tcMar>
              <w:top w:w="60.0" w:type="dxa"/>
              <w:left w:w="80.0" w:type="dxa"/>
              <w:bottom w:w="60.0" w:type="dxa"/>
              <w:right w:w="80.0" w:type="dxa"/>
            </w:tcMar>
          </w:tcPr>
          <w:p w:rsidR="00000000" w:rsidDel="00000000" w:rsidP="00000000" w:rsidRDefault="00000000" w:rsidRPr="00000000" w14:paraId="000000B9">
            <w:pPr>
              <w:spacing w:after="0" w:before="0" w:line="240" w:lineRule="auto"/>
              <w:jc w:val="left"/>
              <w:rPr/>
            </w:pPr>
            <w:r w:rsidDel="00000000" w:rsidR="00000000" w:rsidRPr="00000000">
              <w:rPr>
                <w:rtl w:val="0"/>
              </w:rPr>
              <w:t xml:space="preserve">27</w:t>
            </w:r>
          </w:p>
        </w:tc>
        <w:tc>
          <w:tcPr>
            <w:tcMar>
              <w:top w:w="60.0" w:type="dxa"/>
              <w:left w:w="80.0" w:type="dxa"/>
              <w:bottom w:w="60.0" w:type="dxa"/>
              <w:right w:w="80.0" w:type="dxa"/>
            </w:tcMar>
          </w:tcPr>
          <w:p w:rsidR="00000000" w:rsidDel="00000000" w:rsidP="00000000" w:rsidRDefault="00000000" w:rsidRPr="00000000" w14:paraId="000000BA">
            <w:pPr>
              <w:spacing w:after="0" w:before="0" w:line="240" w:lineRule="auto"/>
              <w:jc w:val="left"/>
              <w:rPr/>
            </w:pPr>
            <w:r w:rsidDel="00000000" w:rsidR="00000000" w:rsidRPr="00000000">
              <w:rPr>
                <w:rtl w:val="0"/>
              </w:rPr>
              <w:t xml:space="preserve">6.8</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BB">
            <w:pPr>
              <w:spacing w:after="0" w:before="0" w:line="240" w:lineRule="auto"/>
              <w:jc w:val="left"/>
              <w:rPr/>
            </w:pPr>
            <w:r w:rsidDel="00000000" w:rsidR="00000000" w:rsidRPr="00000000">
              <w:rPr>
                <w:rtl w:val="0"/>
              </w:rPr>
              <w:t xml:space="preserve">4</w:t>
            </w:r>
          </w:p>
        </w:tc>
        <w:tc>
          <w:tcPr>
            <w:tcMar>
              <w:top w:w="60.0" w:type="dxa"/>
              <w:left w:w="80.0" w:type="dxa"/>
              <w:bottom w:w="60.0" w:type="dxa"/>
              <w:right w:w="80.0" w:type="dxa"/>
            </w:tcMar>
          </w:tcPr>
          <w:p w:rsidR="00000000" w:rsidDel="00000000" w:rsidP="00000000" w:rsidRDefault="00000000" w:rsidRPr="00000000" w14:paraId="000000BC">
            <w:pPr>
              <w:spacing w:after="0" w:before="0" w:line="240" w:lineRule="auto"/>
              <w:jc w:val="left"/>
              <w:rPr/>
            </w:pPr>
            <w:r w:rsidDel="00000000" w:rsidR="00000000" w:rsidRPr="00000000">
              <w:rPr>
                <w:rtl w:val="0"/>
              </w:rPr>
              <w:t xml:space="preserve">18</w:t>
            </w:r>
          </w:p>
        </w:tc>
        <w:tc>
          <w:tcPr>
            <w:tcMar>
              <w:top w:w="60.0" w:type="dxa"/>
              <w:left w:w="80.0" w:type="dxa"/>
              <w:bottom w:w="60.0" w:type="dxa"/>
              <w:right w:w="80.0" w:type="dxa"/>
            </w:tcMar>
          </w:tcPr>
          <w:p w:rsidR="00000000" w:rsidDel="00000000" w:rsidP="00000000" w:rsidRDefault="00000000" w:rsidRPr="00000000" w14:paraId="000000BD">
            <w:pPr>
              <w:spacing w:after="0" w:before="0" w:line="240" w:lineRule="auto"/>
              <w:jc w:val="left"/>
              <w:rPr/>
            </w:pPr>
            <w:r w:rsidDel="00000000" w:rsidR="00000000" w:rsidRPr="00000000">
              <w:rPr>
                <w:rtl w:val="0"/>
              </w:rPr>
              <w:t xml:space="preserve">4.5</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BE">
            <w:pPr>
              <w:spacing w:after="0" w:before="0" w:line="240" w:lineRule="auto"/>
              <w:jc w:val="left"/>
              <w:rPr/>
            </w:pPr>
            <w:r w:rsidDel="00000000" w:rsidR="00000000" w:rsidRPr="00000000">
              <w:rPr>
                <w:rtl w:val="0"/>
              </w:rPr>
              <w:t xml:space="preserve">5</w:t>
            </w:r>
          </w:p>
        </w:tc>
        <w:tc>
          <w:tcPr>
            <w:tcMar>
              <w:top w:w="60.0" w:type="dxa"/>
              <w:left w:w="80.0" w:type="dxa"/>
              <w:bottom w:w="60.0" w:type="dxa"/>
              <w:right w:w="80.0" w:type="dxa"/>
            </w:tcMar>
          </w:tcPr>
          <w:p w:rsidR="00000000" w:rsidDel="00000000" w:rsidP="00000000" w:rsidRDefault="00000000" w:rsidRPr="00000000" w14:paraId="000000BF">
            <w:pPr>
              <w:spacing w:after="0" w:before="0" w:line="240" w:lineRule="auto"/>
              <w:jc w:val="left"/>
              <w:rPr/>
            </w:pPr>
            <w:r w:rsidDel="00000000" w:rsidR="00000000" w:rsidRPr="00000000">
              <w:rPr>
                <w:rtl w:val="0"/>
              </w:rPr>
              <w:t xml:space="preserve">7</w:t>
            </w:r>
          </w:p>
        </w:tc>
        <w:tc>
          <w:tcPr>
            <w:tcMar>
              <w:top w:w="60.0" w:type="dxa"/>
              <w:left w:w="80.0" w:type="dxa"/>
              <w:bottom w:w="60.0" w:type="dxa"/>
              <w:right w:w="80.0" w:type="dxa"/>
            </w:tcMar>
          </w:tcPr>
          <w:p w:rsidR="00000000" w:rsidDel="00000000" w:rsidP="00000000" w:rsidRDefault="00000000" w:rsidRPr="00000000" w14:paraId="000000C0">
            <w:pPr>
              <w:spacing w:after="0" w:before="0" w:line="240" w:lineRule="auto"/>
              <w:jc w:val="left"/>
              <w:rPr/>
            </w:pPr>
            <w:r w:rsidDel="00000000" w:rsidR="00000000" w:rsidRPr="00000000">
              <w:rPr>
                <w:rtl w:val="0"/>
              </w:rPr>
              <w:t xml:space="preserve">1.8</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C1">
            <w:pPr>
              <w:spacing w:after="0" w:before="0" w:line="240" w:lineRule="auto"/>
              <w:jc w:val="left"/>
              <w:rPr/>
            </w:pPr>
            <w:r w:rsidDel="00000000" w:rsidR="00000000" w:rsidRPr="00000000">
              <w:rPr>
                <w:rtl w:val="0"/>
              </w:rPr>
              <w:t xml:space="preserve">6</w:t>
            </w:r>
          </w:p>
        </w:tc>
        <w:tc>
          <w:tcPr>
            <w:tcMar>
              <w:top w:w="60.0" w:type="dxa"/>
              <w:left w:w="80.0" w:type="dxa"/>
              <w:bottom w:w="60.0" w:type="dxa"/>
              <w:right w:w="80.0" w:type="dxa"/>
            </w:tcMar>
          </w:tcPr>
          <w:p w:rsidR="00000000" w:rsidDel="00000000" w:rsidP="00000000" w:rsidRDefault="00000000" w:rsidRPr="00000000" w14:paraId="000000C2">
            <w:pPr>
              <w:spacing w:after="0" w:before="0" w:line="240" w:lineRule="auto"/>
              <w:jc w:val="left"/>
              <w:rPr/>
            </w:pPr>
            <w:r w:rsidDel="00000000" w:rsidR="00000000" w:rsidRPr="00000000">
              <w:rPr>
                <w:rtl w:val="0"/>
              </w:rPr>
              <w:t xml:space="preserve">7</w:t>
            </w:r>
          </w:p>
        </w:tc>
        <w:tc>
          <w:tcPr>
            <w:tcMar>
              <w:top w:w="60.0" w:type="dxa"/>
              <w:left w:w="80.0" w:type="dxa"/>
              <w:bottom w:w="60.0" w:type="dxa"/>
              <w:right w:w="80.0" w:type="dxa"/>
            </w:tcMar>
          </w:tcPr>
          <w:p w:rsidR="00000000" w:rsidDel="00000000" w:rsidP="00000000" w:rsidRDefault="00000000" w:rsidRPr="00000000" w14:paraId="000000C3">
            <w:pPr>
              <w:spacing w:after="0" w:before="0" w:line="240" w:lineRule="auto"/>
              <w:jc w:val="left"/>
              <w:rPr/>
            </w:pPr>
            <w:r w:rsidDel="00000000" w:rsidR="00000000" w:rsidRPr="00000000">
              <w:rPr>
                <w:rtl w:val="0"/>
              </w:rPr>
              <w:t xml:space="preserve">1.8</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C4">
            <w:pPr>
              <w:spacing w:after="0" w:before="0" w:line="240" w:lineRule="auto"/>
              <w:jc w:val="left"/>
              <w:rPr/>
            </w:pPr>
            <w:r w:rsidDel="00000000" w:rsidR="00000000" w:rsidRPr="00000000">
              <w:rPr>
                <w:rtl w:val="0"/>
              </w:rPr>
              <w:t xml:space="preserve">7</w:t>
            </w:r>
          </w:p>
        </w:tc>
        <w:tc>
          <w:tcPr>
            <w:tcMar>
              <w:top w:w="60.0" w:type="dxa"/>
              <w:left w:w="80.0" w:type="dxa"/>
              <w:bottom w:w="60.0" w:type="dxa"/>
              <w:right w:w="80.0" w:type="dxa"/>
            </w:tcMar>
          </w:tcPr>
          <w:p w:rsidR="00000000" w:rsidDel="00000000" w:rsidP="00000000" w:rsidRDefault="00000000" w:rsidRPr="00000000" w14:paraId="000000C5">
            <w:pPr>
              <w:spacing w:after="0" w:before="0" w:line="240" w:lineRule="auto"/>
              <w:jc w:val="left"/>
              <w:rPr/>
            </w:pPr>
            <w:r w:rsidDel="00000000" w:rsidR="00000000" w:rsidRPr="00000000">
              <w:rPr>
                <w:rtl w:val="0"/>
              </w:rPr>
              <w:t xml:space="preserve">1</w:t>
            </w:r>
          </w:p>
        </w:tc>
        <w:tc>
          <w:tcPr>
            <w:tcMar>
              <w:top w:w="60.0" w:type="dxa"/>
              <w:left w:w="80.0" w:type="dxa"/>
              <w:bottom w:w="60.0" w:type="dxa"/>
              <w:right w:w="80.0" w:type="dxa"/>
            </w:tcMar>
          </w:tcPr>
          <w:p w:rsidR="00000000" w:rsidDel="00000000" w:rsidP="00000000" w:rsidRDefault="00000000" w:rsidRPr="00000000" w14:paraId="000000C6">
            <w:pPr>
              <w:spacing w:after="0" w:before="0" w:line="240" w:lineRule="auto"/>
              <w:jc w:val="left"/>
              <w:rPr/>
            </w:pPr>
            <w:r w:rsidDel="00000000" w:rsidR="00000000" w:rsidRPr="00000000">
              <w:rPr>
                <w:rtl w:val="0"/>
              </w:rPr>
              <w:t xml:space="preserve">0.3</w:t>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C7">
            <w:pPr>
              <w:spacing w:after="0" w:before="0" w:line="240" w:lineRule="auto"/>
              <w:jc w:val="left"/>
              <w:rPr/>
            </w:pPr>
            <w:r w:rsidDel="00000000" w:rsidR="00000000" w:rsidRPr="00000000">
              <w:rPr>
                <w:rtl w:val="0"/>
              </w:rPr>
              <w:t xml:space="preserve">At least 1 PIM (total)</w:t>
            </w:r>
          </w:p>
        </w:tc>
        <w:tc>
          <w:tcPr>
            <w:tcMar>
              <w:top w:w="60.0" w:type="dxa"/>
              <w:left w:w="80.0" w:type="dxa"/>
              <w:bottom w:w="60.0" w:type="dxa"/>
              <w:right w:w="80.0" w:type="dxa"/>
            </w:tcMar>
          </w:tcPr>
          <w:p w:rsidR="00000000" w:rsidDel="00000000" w:rsidP="00000000" w:rsidRDefault="00000000" w:rsidRPr="00000000" w14:paraId="000000C8">
            <w:pPr>
              <w:spacing w:after="0" w:before="0" w:line="240" w:lineRule="auto"/>
              <w:jc w:val="left"/>
              <w:rPr/>
            </w:pPr>
            <w:r w:rsidDel="00000000" w:rsidR="00000000" w:rsidRPr="00000000">
              <w:rPr>
                <w:rtl w:val="0"/>
              </w:rPr>
              <w:t xml:space="preserve">233</w:t>
            </w:r>
          </w:p>
        </w:tc>
        <w:tc>
          <w:tcPr>
            <w:tcMar>
              <w:top w:w="60.0" w:type="dxa"/>
              <w:left w:w="80.0" w:type="dxa"/>
              <w:bottom w:w="60.0" w:type="dxa"/>
              <w:right w:w="80.0" w:type="dxa"/>
            </w:tcMar>
          </w:tcPr>
          <w:p w:rsidR="00000000" w:rsidDel="00000000" w:rsidP="00000000" w:rsidRDefault="00000000" w:rsidRPr="00000000" w14:paraId="000000C9">
            <w:pPr>
              <w:spacing w:after="0" w:before="0" w:line="240" w:lineRule="auto"/>
              <w:jc w:val="left"/>
              <w:rPr/>
            </w:pPr>
            <w:r w:rsidDel="00000000" w:rsidR="00000000" w:rsidRPr="00000000">
              <w:rPr>
                <w:rtl w:val="0"/>
              </w:rPr>
              <w:t xml:space="preserve">58.7</w:t>
            </w:r>
          </w:p>
        </w:tc>
      </w:tr>
    </w:tbl>
    <w:p w:rsidR="00000000" w:rsidDel="00000000" w:rsidP="00000000" w:rsidRDefault="00000000" w:rsidRPr="00000000" w14:paraId="000000C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drcg8eq8PiC1p+U6XX38zZTZ5Q==">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