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5F5" w:rsidRPr="00071487" w:rsidRDefault="00294FA8" w:rsidP="00CD2420">
      <w:pPr>
        <w:pStyle w:val="Heading3"/>
        <w:spacing w:line="480" w:lineRule="auto"/>
        <w:rPr>
          <w:rFonts w:ascii="Palatino Linotype" w:hAnsi="Palatino Linotype"/>
          <w:sz w:val="24"/>
          <w:szCs w:val="24"/>
        </w:rPr>
      </w:pPr>
      <w:bookmarkStart w:id="0" w:name="_Toc462587664"/>
      <w:r>
        <w:rPr>
          <w:rFonts w:ascii="Palatino Linotype" w:hAnsi="Palatino Linotype"/>
          <w:sz w:val="24"/>
          <w:szCs w:val="24"/>
        </w:rPr>
        <w:t>A</w:t>
      </w:r>
      <w:r w:rsidR="00C855F5" w:rsidRPr="00071487">
        <w:rPr>
          <w:rFonts w:ascii="Palatino Linotype" w:hAnsi="Palatino Linotype"/>
          <w:sz w:val="24"/>
          <w:szCs w:val="24"/>
        </w:rPr>
        <w:t>dditional file 1: The utility of haemoglobin concentration and ZPP as diagnostic tests to screen and rule out iron deficiency</w:t>
      </w:r>
      <w:bookmarkEnd w:id="0"/>
    </w:p>
    <w:p w:rsidR="00C855F5" w:rsidRPr="00071487" w:rsidRDefault="00C855F5" w:rsidP="00CD2420">
      <w:pPr>
        <w:spacing w:line="480" w:lineRule="auto"/>
        <w:rPr>
          <w:rFonts w:ascii="Palatino Linotype" w:hAnsi="Palatino Linotype" w:cs="Arial"/>
          <w:bCs/>
          <w:sz w:val="24"/>
          <w:szCs w:val="24"/>
        </w:rPr>
      </w:pPr>
    </w:p>
    <w:p w:rsidR="00C855F5" w:rsidRPr="00071487" w:rsidRDefault="00C855F5" w:rsidP="00CD2420">
      <w:pPr>
        <w:spacing w:line="480" w:lineRule="auto"/>
        <w:rPr>
          <w:rFonts w:ascii="Palatino Linotype" w:hAnsi="Palatino Linotype" w:cs="Arial"/>
          <w:bCs/>
          <w:sz w:val="24"/>
          <w:szCs w:val="24"/>
        </w:rPr>
      </w:pPr>
      <w:r w:rsidRPr="00071487">
        <w:rPr>
          <w:rFonts w:ascii="Palatino Linotype" w:hAnsi="Palatino Linotype" w:cs="Arial"/>
          <w:bCs/>
          <w:sz w:val="24"/>
          <w:szCs w:val="24"/>
        </w:rPr>
        <w:t xml:space="preserve">Consider the example of a community survey in which children are screened for iron deficiency, with treatment being restricted to those who are iron deficient. </w:t>
      </w:r>
    </w:p>
    <w:p w:rsidR="00C855F5" w:rsidRPr="00071487" w:rsidRDefault="00C855F5" w:rsidP="00CD2420">
      <w:pPr>
        <w:spacing w:line="480" w:lineRule="auto"/>
        <w:rPr>
          <w:rFonts w:ascii="Palatino Linotype" w:hAnsi="Palatino Linotype" w:cs="Arial"/>
          <w:bCs/>
          <w:sz w:val="24"/>
          <w:szCs w:val="24"/>
        </w:rPr>
      </w:pPr>
    </w:p>
    <w:p w:rsidR="00C855F5" w:rsidRPr="00071487" w:rsidRDefault="00C855F5" w:rsidP="00CD2420">
      <w:pPr>
        <w:spacing w:line="480" w:lineRule="auto"/>
        <w:rPr>
          <w:rFonts w:ascii="Palatino Linotype" w:hAnsi="Palatino Linotype"/>
          <w:sz w:val="24"/>
          <w:szCs w:val="24"/>
        </w:rPr>
      </w:pPr>
      <w:r w:rsidRPr="00071487">
        <w:rPr>
          <w:rFonts w:ascii="Palatino Linotype" w:hAnsi="Palatino Linotype" w:cs="Arial"/>
          <w:bCs/>
          <w:sz w:val="24"/>
          <w:szCs w:val="24"/>
        </w:rPr>
        <w:t xml:space="preserve">In the absence of inflammation, serum ferritin concentration &lt; 12 </w:t>
      </w:r>
      <w:proofErr w:type="spellStart"/>
      <w:r w:rsidRPr="00071487">
        <w:rPr>
          <w:rFonts w:ascii="Palatino Linotype" w:hAnsi="Palatino Linotype" w:cs="Arial"/>
          <w:bCs/>
          <w:sz w:val="24"/>
          <w:szCs w:val="24"/>
        </w:rPr>
        <w:t>μg</w:t>
      </w:r>
      <w:proofErr w:type="spellEnd"/>
      <w:r w:rsidRPr="00071487">
        <w:rPr>
          <w:rFonts w:ascii="Palatino Linotype" w:hAnsi="Palatino Linotype" w:cs="Arial"/>
          <w:bCs/>
          <w:sz w:val="24"/>
          <w:szCs w:val="24"/>
        </w:rPr>
        <w:t xml:space="preserve">/L </w:t>
      </w:r>
      <w:r w:rsidRPr="00071487">
        <w:rPr>
          <w:rFonts w:ascii="Palatino Linotype" w:hAnsi="Palatino Linotype"/>
          <w:sz w:val="24"/>
          <w:szCs w:val="24"/>
        </w:rPr>
        <w:t>is recommended by WHO to measure iron status in paediatric populations [</w:t>
      </w:r>
      <w:r>
        <w:rPr>
          <w:rFonts w:ascii="Palatino Linotype" w:hAnsi="Palatino Linotype"/>
          <w:sz w:val="24"/>
          <w:szCs w:val="24"/>
        </w:rPr>
        <w:t>1</w:t>
      </w:r>
      <w:r w:rsidRPr="00071487">
        <w:rPr>
          <w:rFonts w:ascii="Palatino Linotype" w:hAnsi="Palatino Linotype"/>
          <w:sz w:val="24"/>
          <w:szCs w:val="24"/>
        </w:rPr>
        <w:t xml:space="preserve">]. Although commercial point-of-care tests for </w:t>
      </w:r>
      <w:r w:rsidRPr="00071487">
        <w:rPr>
          <w:rFonts w:ascii="Palatino Linotype" w:hAnsi="Palatino Linotype" w:cs="Arial"/>
          <w:bCs/>
          <w:sz w:val="24"/>
          <w:szCs w:val="24"/>
        </w:rPr>
        <w:t xml:space="preserve">serum ferritin concentration have recently become available, </w:t>
      </w:r>
      <w:r w:rsidRPr="00071487">
        <w:rPr>
          <w:rFonts w:ascii="Palatino Linotype" w:hAnsi="Palatino Linotype"/>
          <w:sz w:val="24"/>
          <w:szCs w:val="24"/>
        </w:rPr>
        <w:t xml:space="preserve">its </w:t>
      </w:r>
      <w:r w:rsidRPr="00071487">
        <w:rPr>
          <w:rFonts w:ascii="Palatino Linotype" w:hAnsi="Palatino Linotype" w:cs="Arial"/>
          <w:bCs/>
          <w:sz w:val="24"/>
          <w:szCs w:val="24"/>
        </w:rPr>
        <w:t>measurement is often difficult under field conditions and relatively expensive. A</w:t>
      </w:r>
      <w:r w:rsidRPr="00071487">
        <w:rPr>
          <w:rFonts w:ascii="Palatino Linotype" w:hAnsi="Palatino Linotype"/>
          <w:sz w:val="24"/>
          <w:szCs w:val="24"/>
        </w:rPr>
        <w:t xml:space="preserve"> screening strategy whereby </w:t>
      </w:r>
      <w:r w:rsidRPr="00071487">
        <w:rPr>
          <w:rFonts w:ascii="Palatino Linotype" w:hAnsi="Palatino Linotype" w:cs="Arial"/>
          <w:bCs/>
          <w:sz w:val="24"/>
          <w:szCs w:val="24"/>
        </w:rPr>
        <w:t>haemoglobin concentration and whole blood ZPP are used to rule out iron deficiency would be useful and could possibly lead to substantial cost savings.</w:t>
      </w:r>
    </w:p>
    <w:p w:rsidR="00C855F5" w:rsidRPr="00071487" w:rsidRDefault="00C855F5" w:rsidP="00CD2420">
      <w:pPr>
        <w:spacing w:line="480" w:lineRule="auto"/>
        <w:rPr>
          <w:rFonts w:ascii="Palatino Linotype" w:hAnsi="Palatino Linotype" w:cs="Arial"/>
          <w:bCs/>
          <w:sz w:val="24"/>
          <w:szCs w:val="24"/>
        </w:rPr>
      </w:pPr>
    </w:p>
    <w:p w:rsidR="00C855F5" w:rsidRPr="00071487" w:rsidRDefault="00C855F5" w:rsidP="00CD2420">
      <w:pPr>
        <w:spacing w:line="480" w:lineRule="auto"/>
        <w:rPr>
          <w:rFonts w:ascii="Palatino Linotype" w:hAnsi="Palatino Linotype" w:cs="Arial"/>
          <w:bCs/>
          <w:sz w:val="24"/>
          <w:szCs w:val="24"/>
        </w:rPr>
      </w:pPr>
      <w:r w:rsidRPr="00071487">
        <w:rPr>
          <w:rFonts w:ascii="Palatino Linotype" w:hAnsi="Palatino Linotype" w:cs="Arial"/>
          <w:bCs/>
          <w:sz w:val="24"/>
          <w:szCs w:val="24"/>
        </w:rPr>
        <w:t>Let the result of a diagnostic test (i.e. haemoglobin concentration and ZZP, used alone or in combination) be dichotomized. Table 1 shows the cross-tabulated data that might be obtained.</w:t>
      </w:r>
    </w:p>
    <w:p w:rsidR="00C855F5" w:rsidRPr="00071487" w:rsidRDefault="00C855F5" w:rsidP="00CD2420">
      <w:pPr>
        <w:spacing w:line="480" w:lineRule="auto"/>
        <w:rPr>
          <w:rFonts w:ascii="Palatino Linotype" w:hAnsi="Palatino Linotype" w:cs="Arial"/>
          <w:bCs/>
          <w:sz w:val="24"/>
          <w:szCs w:val="24"/>
        </w:rPr>
      </w:pPr>
    </w:p>
    <w:p w:rsidR="00C855F5" w:rsidRPr="00071487" w:rsidRDefault="00C855F5" w:rsidP="00CD2420">
      <w:pPr>
        <w:spacing w:line="480" w:lineRule="auto"/>
        <w:rPr>
          <w:rFonts w:ascii="Palatino Linotype" w:hAnsi="Palatino Linotype" w:cs="Arial"/>
          <w:b/>
          <w:bCs/>
          <w:sz w:val="24"/>
          <w:szCs w:val="24"/>
        </w:rPr>
      </w:pPr>
      <w:proofErr w:type="gramStart"/>
      <w:r w:rsidRPr="00071487">
        <w:rPr>
          <w:rFonts w:ascii="Palatino Linotype" w:hAnsi="Palatino Linotype" w:cs="Arial"/>
          <w:b/>
          <w:bCs/>
          <w:sz w:val="24"/>
          <w:szCs w:val="24"/>
        </w:rPr>
        <w:t>Table 1.</w:t>
      </w:r>
      <w:proofErr w:type="gramEnd"/>
      <w:r w:rsidRPr="00071487">
        <w:rPr>
          <w:rFonts w:ascii="Palatino Linotype" w:hAnsi="Palatino Linotype" w:cs="Arial"/>
          <w:b/>
          <w:bCs/>
          <w:sz w:val="24"/>
          <w:szCs w:val="24"/>
        </w:rPr>
        <w:t xml:space="preserve"> Cross-tabulated data for true iron status and diagnostic test results</w:t>
      </w:r>
    </w:p>
    <w:p w:rsidR="00C855F5" w:rsidRPr="00071487" w:rsidRDefault="00C855F5" w:rsidP="00CD2420">
      <w:pPr>
        <w:spacing w:line="480" w:lineRule="auto"/>
        <w:rPr>
          <w:rFonts w:ascii="Palatino Linotype" w:hAnsi="Palatino Linotype" w:cs="Arial"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2314"/>
        <w:gridCol w:w="2309"/>
        <w:gridCol w:w="2309"/>
        <w:gridCol w:w="2310"/>
      </w:tblGrid>
      <w:tr w:rsidR="00C855F5" w:rsidRPr="00071487" w:rsidTr="00542EAB">
        <w:tc>
          <w:tcPr>
            <w:tcW w:w="2322" w:type="dxa"/>
            <w:vMerge w:val="restart"/>
            <w:tcBorders>
              <w:top w:val="single" w:sz="12" w:space="0" w:color="auto"/>
              <w:right w:val="single" w:sz="36" w:space="0" w:color="FFFFFF" w:themeColor="background1"/>
            </w:tcBorders>
          </w:tcPr>
          <w:p w:rsidR="00C855F5" w:rsidRPr="00071487" w:rsidRDefault="00C855F5" w:rsidP="00CD2420">
            <w:pPr>
              <w:spacing w:line="480" w:lineRule="auto"/>
              <w:rPr>
                <w:rFonts w:ascii="Palatino Linotype" w:hAnsi="Palatino Linotype" w:cs="Arial"/>
                <w:bCs/>
                <w:sz w:val="24"/>
                <w:szCs w:val="24"/>
              </w:rPr>
            </w:pPr>
            <w:r w:rsidRPr="00071487">
              <w:rPr>
                <w:rFonts w:ascii="Palatino Linotype" w:hAnsi="Palatino Linotype" w:cs="Arial"/>
                <w:bCs/>
                <w:sz w:val="24"/>
                <w:szCs w:val="24"/>
              </w:rPr>
              <w:t xml:space="preserve">Diagnostic test </w:t>
            </w:r>
            <w:r w:rsidRPr="00071487">
              <w:rPr>
                <w:rFonts w:ascii="Palatino Linotype" w:hAnsi="Palatino Linotype" w:cs="Arial"/>
                <w:bCs/>
                <w:sz w:val="24"/>
                <w:szCs w:val="24"/>
              </w:rPr>
              <w:lastRenderedPageBreak/>
              <w:t>result</w:t>
            </w:r>
          </w:p>
        </w:tc>
        <w:tc>
          <w:tcPr>
            <w:tcW w:w="4644" w:type="dxa"/>
            <w:gridSpan w:val="2"/>
            <w:tcBorders>
              <w:top w:val="single" w:sz="12" w:space="0" w:color="auto"/>
              <w:left w:val="single" w:sz="36" w:space="0" w:color="FFFFFF" w:themeColor="background1"/>
              <w:bottom w:val="single" w:sz="4" w:space="0" w:color="auto"/>
              <w:right w:val="single" w:sz="36" w:space="0" w:color="FFFFFF" w:themeColor="background1"/>
            </w:tcBorders>
          </w:tcPr>
          <w:p w:rsidR="00C855F5" w:rsidRPr="00071487" w:rsidRDefault="00C855F5" w:rsidP="00CD2420">
            <w:pPr>
              <w:spacing w:line="480" w:lineRule="auto"/>
              <w:rPr>
                <w:rFonts w:ascii="Palatino Linotype" w:hAnsi="Palatino Linotype" w:cs="Arial"/>
                <w:bCs/>
                <w:sz w:val="24"/>
                <w:szCs w:val="24"/>
              </w:rPr>
            </w:pPr>
            <w:r w:rsidRPr="00071487">
              <w:rPr>
                <w:rFonts w:ascii="Palatino Linotype" w:hAnsi="Palatino Linotype" w:cs="Arial"/>
                <w:bCs/>
                <w:sz w:val="24"/>
                <w:szCs w:val="24"/>
              </w:rPr>
              <w:lastRenderedPageBreak/>
              <w:t>Iron deficient (reference)</w:t>
            </w:r>
          </w:p>
        </w:tc>
        <w:tc>
          <w:tcPr>
            <w:tcW w:w="2322" w:type="dxa"/>
            <w:vMerge w:val="restart"/>
            <w:tcBorders>
              <w:top w:val="single" w:sz="12" w:space="0" w:color="auto"/>
              <w:left w:val="single" w:sz="36" w:space="0" w:color="FFFFFF" w:themeColor="background1"/>
            </w:tcBorders>
          </w:tcPr>
          <w:p w:rsidR="00C855F5" w:rsidRPr="00071487" w:rsidRDefault="00C855F5" w:rsidP="00CD2420">
            <w:pPr>
              <w:spacing w:line="480" w:lineRule="auto"/>
              <w:rPr>
                <w:rFonts w:ascii="Palatino Linotype" w:hAnsi="Palatino Linotype" w:cs="Arial"/>
                <w:bCs/>
                <w:sz w:val="24"/>
                <w:szCs w:val="24"/>
              </w:rPr>
            </w:pPr>
            <w:r w:rsidRPr="00071487">
              <w:rPr>
                <w:rFonts w:ascii="Palatino Linotype" w:hAnsi="Palatino Linotype" w:cs="Arial"/>
                <w:bCs/>
                <w:sz w:val="24"/>
                <w:szCs w:val="24"/>
              </w:rPr>
              <w:t>Total</w:t>
            </w:r>
          </w:p>
        </w:tc>
      </w:tr>
      <w:tr w:rsidR="00C855F5" w:rsidRPr="00071487" w:rsidTr="00542EAB">
        <w:trPr>
          <w:trHeight w:val="264"/>
        </w:trPr>
        <w:tc>
          <w:tcPr>
            <w:tcW w:w="2322" w:type="dxa"/>
            <w:vMerge/>
            <w:tcBorders>
              <w:bottom w:val="single" w:sz="4" w:space="0" w:color="auto"/>
              <w:right w:val="single" w:sz="36" w:space="0" w:color="FFFFFF" w:themeColor="background1"/>
            </w:tcBorders>
          </w:tcPr>
          <w:p w:rsidR="00C855F5" w:rsidRPr="00071487" w:rsidRDefault="00C855F5" w:rsidP="00CD2420">
            <w:pPr>
              <w:spacing w:line="480" w:lineRule="auto"/>
              <w:rPr>
                <w:rFonts w:ascii="Palatino Linotype" w:hAnsi="Palatino Linotype" w:cs="Arial"/>
                <w:bCs/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36" w:space="0" w:color="FFFFFF" w:themeColor="background1"/>
              <w:bottom w:val="single" w:sz="4" w:space="0" w:color="auto"/>
              <w:right w:val="single" w:sz="36" w:space="0" w:color="FFFFFF" w:themeColor="background1"/>
            </w:tcBorders>
          </w:tcPr>
          <w:p w:rsidR="00C855F5" w:rsidRPr="00071487" w:rsidRDefault="00C855F5" w:rsidP="00CD2420">
            <w:pPr>
              <w:spacing w:line="480" w:lineRule="auto"/>
              <w:rPr>
                <w:rFonts w:ascii="Palatino Linotype" w:hAnsi="Palatino Linotype" w:cs="Arial"/>
                <w:bCs/>
                <w:sz w:val="24"/>
                <w:szCs w:val="24"/>
              </w:rPr>
            </w:pPr>
            <w:r w:rsidRPr="00071487">
              <w:rPr>
                <w:rFonts w:ascii="Palatino Linotype" w:hAnsi="Palatino Linotype" w:cs="Arial"/>
                <w:bCs/>
                <w:sz w:val="24"/>
                <w:szCs w:val="24"/>
              </w:rPr>
              <w:t>Yes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36" w:space="0" w:color="FFFFFF" w:themeColor="background1"/>
              <w:bottom w:val="single" w:sz="4" w:space="0" w:color="auto"/>
              <w:right w:val="single" w:sz="36" w:space="0" w:color="FFFFFF" w:themeColor="background1"/>
            </w:tcBorders>
          </w:tcPr>
          <w:p w:rsidR="00C855F5" w:rsidRPr="00071487" w:rsidRDefault="00C855F5" w:rsidP="00CD2420">
            <w:pPr>
              <w:spacing w:line="480" w:lineRule="auto"/>
              <w:rPr>
                <w:rFonts w:ascii="Palatino Linotype" w:hAnsi="Palatino Linotype" w:cs="Arial"/>
                <w:bCs/>
                <w:sz w:val="24"/>
                <w:szCs w:val="24"/>
              </w:rPr>
            </w:pPr>
            <w:r w:rsidRPr="00071487">
              <w:rPr>
                <w:rFonts w:ascii="Palatino Linotype" w:hAnsi="Palatino Linotype" w:cs="Arial"/>
                <w:bCs/>
                <w:sz w:val="24"/>
                <w:szCs w:val="24"/>
              </w:rPr>
              <w:t>No</w:t>
            </w:r>
          </w:p>
        </w:tc>
        <w:tc>
          <w:tcPr>
            <w:tcW w:w="2322" w:type="dxa"/>
            <w:vMerge/>
            <w:tcBorders>
              <w:left w:val="single" w:sz="36" w:space="0" w:color="FFFFFF" w:themeColor="background1"/>
              <w:bottom w:val="single" w:sz="4" w:space="0" w:color="auto"/>
            </w:tcBorders>
          </w:tcPr>
          <w:p w:rsidR="00C855F5" w:rsidRPr="00071487" w:rsidRDefault="00C855F5" w:rsidP="00CD2420">
            <w:pPr>
              <w:spacing w:line="480" w:lineRule="auto"/>
              <w:rPr>
                <w:rFonts w:ascii="Palatino Linotype" w:hAnsi="Palatino Linotype" w:cs="Arial"/>
                <w:bCs/>
                <w:sz w:val="24"/>
                <w:szCs w:val="24"/>
              </w:rPr>
            </w:pPr>
          </w:p>
        </w:tc>
      </w:tr>
      <w:tr w:rsidR="00C855F5" w:rsidRPr="00071487" w:rsidTr="00542EAB">
        <w:tc>
          <w:tcPr>
            <w:tcW w:w="2322" w:type="dxa"/>
            <w:tcBorders>
              <w:top w:val="single" w:sz="4" w:space="0" w:color="auto"/>
              <w:bottom w:val="nil"/>
              <w:right w:val="single" w:sz="36" w:space="0" w:color="FFFFFF" w:themeColor="background1"/>
            </w:tcBorders>
          </w:tcPr>
          <w:p w:rsidR="00C855F5" w:rsidRPr="00071487" w:rsidRDefault="00C855F5" w:rsidP="00CD2420">
            <w:pPr>
              <w:spacing w:line="480" w:lineRule="auto"/>
              <w:rPr>
                <w:rFonts w:ascii="Palatino Linotype" w:hAnsi="Palatino Linotype" w:cs="Arial"/>
                <w:bCs/>
                <w:sz w:val="24"/>
                <w:szCs w:val="24"/>
              </w:rPr>
            </w:pPr>
            <w:r w:rsidRPr="00071487">
              <w:rPr>
                <w:rFonts w:ascii="Palatino Linotype" w:hAnsi="Palatino Linotype" w:cs="Arial"/>
                <w:bCs/>
                <w:sz w:val="24"/>
                <w:szCs w:val="24"/>
              </w:rPr>
              <w:lastRenderedPageBreak/>
              <w:t>Positive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36" w:space="0" w:color="FFFFFF" w:themeColor="background1"/>
              <w:bottom w:val="nil"/>
              <w:right w:val="single" w:sz="36" w:space="0" w:color="FFFFFF" w:themeColor="background1"/>
            </w:tcBorders>
          </w:tcPr>
          <w:p w:rsidR="00C855F5" w:rsidRPr="00071487" w:rsidRDefault="00C855F5" w:rsidP="00CD2420">
            <w:pPr>
              <w:spacing w:line="480" w:lineRule="auto"/>
              <w:rPr>
                <w:rFonts w:ascii="Palatino Linotype" w:hAnsi="Palatino Linotype" w:cs="Arial"/>
                <w:bCs/>
                <w:sz w:val="24"/>
                <w:szCs w:val="24"/>
              </w:rPr>
            </w:pPr>
            <w:r w:rsidRPr="00071487">
              <w:rPr>
                <w:rFonts w:ascii="Palatino Linotype" w:hAnsi="Palatino Linotype" w:cs="Arial"/>
                <w:bCs/>
                <w:sz w:val="24"/>
                <w:szCs w:val="24"/>
              </w:rPr>
              <w:t>A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36" w:space="0" w:color="FFFFFF" w:themeColor="background1"/>
              <w:bottom w:val="nil"/>
              <w:right w:val="single" w:sz="36" w:space="0" w:color="FFFFFF" w:themeColor="background1"/>
            </w:tcBorders>
          </w:tcPr>
          <w:p w:rsidR="00C855F5" w:rsidRPr="00071487" w:rsidRDefault="00C855F5" w:rsidP="00CD2420">
            <w:pPr>
              <w:spacing w:line="480" w:lineRule="auto"/>
              <w:rPr>
                <w:rFonts w:ascii="Palatino Linotype" w:hAnsi="Palatino Linotype" w:cs="Arial"/>
                <w:bCs/>
                <w:sz w:val="24"/>
                <w:szCs w:val="24"/>
              </w:rPr>
            </w:pPr>
            <w:r w:rsidRPr="00071487">
              <w:rPr>
                <w:rFonts w:ascii="Palatino Linotype" w:hAnsi="Palatino Linotype" w:cs="Arial"/>
                <w:bCs/>
                <w:sz w:val="24"/>
                <w:szCs w:val="24"/>
              </w:rPr>
              <w:t>B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36" w:space="0" w:color="FFFFFF" w:themeColor="background1"/>
              <w:bottom w:val="nil"/>
            </w:tcBorders>
          </w:tcPr>
          <w:p w:rsidR="00C855F5" w:rsidRPr="00071487" w:rsidRDefault="00C855F5" w:rsidP="00CD2420">
            <w:pPr>
              <w:spacing w:line="480" w:lineRule="auto"/>
              <w:rPr>
                <w:rFonts w:ascii="Palatino Linotype" w:hAnsi="Palatino Linotype" w:cs="Arial"/>
                <w:bCs/>
                <w:sz w:val="24"/>
                <w:szCs w:val="24"/>
              </w:rPr>
            </w:pPr>
            <w:r w:rsidRPr="00071487">
              <w:rPr>
                <w:rFonts w:ascii="Palatino Linotype" w:hAnsi="Palatino Linotype" w:cs="Arial"/>
                <w:bCs/>
                <w:sz w:val="24"/>
                <w:szCs w:val="24"/>
              </w:rPr>
              <w:t>U</w:t>
            </w:r>
          </w:p>
        </w:tc>
      </w:tr>
      <w:tr w:rsidR="00C855F5" w:rsidRPr="00071487" w:rsidTr="00542EAB">
        <w:tc>
          <w:tcPr>
            <w:tcW w:w="2322" w:type="dxa"/>
            <w:tcBorders>
              <w:top w:val="nil"/>
              <w:bottom w:val="nil"/>
              <w:right w:val="single" w:sz="36" w:space="0" w:color="FFFFFF" w:themeColor="background1"/>
            </w:tcBorders>
          </w:tcPr>
          <w:p w:rsidR="00C855F5" w:rsidRPr="00071487" w:rsidRDefault="00C855F5" w:rsidP="00CD2420">
            <w:pPr>
              <w:spacing w:line="480" w:lineRule="auto"/>
              <w:rPr>
                <w:rFonts w:ascii="Palatino Linotype" w:hAnsi="Palatino Linotype" w:cs="Arial"/>
                <w:bCs/>
                <w:sz w:val="24"/>
                <w:szCs w:val="24"/>
              </w:rPr>
            </w:pPr>
            <w:r w:rsidRPr="00071487">
              <w:rPr>
                <w:rFonts w:ascii="Palatino Linotype" w:hAnsi="Palatino Linotype" w:cs="Arial"/>
                <w:bCs/>
                <w:sz w:val="24"/>
                <w:szCs w:val="24"/>
              </w:rPr>
              <w:t>Negative</w:t>
            </w:r>
          </w:p>
        </w:tc>
        <w:tc>
          <w:tcPr>
            <w:tcW w:w="2322" w:type="dxa"/>
            <w:tcBorders>
              <w:top w:val="nil"/>
              <w:left w:val="single" w:sz="36" w:space="0" w:color="FFFFFF" w:themeColor="background1"/>
              <w:bottom w:val="nil"/>
              <w:right w:val="single" w:sz="36" w:space="0" w:color="FFFFFF" w:themeColor="background1"/>
            </w:tcBorders>
          </w:tcPr>
          <w:p w:rsidR="00C855F5" w:rsidRPr="00071487" w:rsidRDefault="00C855F5" w:rsidP="00CD2420">
            <w:pPr>
              <w:spacing w:line="480" w:lineRule="auto"/>
              <w:rPr>
                <w:rFonts w:ascii="Palatino Linotype" w:hAnsi="Palatino Linotype" w:cs="Arial"/>
                <w:bCs/>
                <w:sz w:val="24"/>
                <w:szCs w:val="24"/>
              </w:rPr>
            </w:pPr>
            <w:r w:rsidRPr="00071487">
              <w:rPr>
                <w:rFonts w:ascii="Palatino Linotype" w:hAnsi="Palatino Linotype" w:cs="Arial"/>
                <w:bCs/>
                <w:sz w:val="24"/>
                <w:szCs w:val="24"/>
              </w:rPr>
              <w:t>C</w:t>
            </w:r>
          </w:p>
        </w:tc>
        <w:tc>
          <w:tcPr>
            <w:tcW w:w="2322" w:type="dxa"/>
            <w:tcBorders>
              <w:top w:val="nil"/>
              <w:left w:val="single" w:sz="36" w:space="0" w:color="FFFFFF" w:themeColor="background1"/>
              <w:bottom w:val="nil"/>
              <w:right w:val="single" w:sz="36" w:space="0" w:color="FFFFFF" w:themeColor="background1"/>
            </w:tcBorders>
          </w:tcPr>
          <w:p w:rsidR="00C855F5" w:rsidRPr="00071487" w:rsidRDefault="00C855F5" w:rsidP="00CD2420">
            <w:pPr>
              <w:spacing w:line="480" w:lineRule="auto"/>
              <w:rPr>
                <w:rFonts w:ascii="Palatino Linotype" w:hAnsi="Palatino Linotype" w:cs="Arial"/>
                <w:bCs/>
                <w:sz w:val="24"/>
                <w:szCs w:val="24"/>
              </w:rPr>
            </w:pPr>
            <w:r w:rsidRPr="00071487">
              <w:rPr>
                <w:rFonts w:ascii="Palatino Linotype" w:hAnsi="Palatino Linotype" w:cs="Arial"/>
                <w:bCs/>
                <w:sz w:val="24"/>
                <w:szCs w:val="24"/>
              </w:rPr>
              <w:t>D</w:t>
            </w:r>
          </w:p>
        </w:tc>
        <w:tc>
          <w:tcPr>
            <w:tcW w:w="2322" w:type="dxa"/>
            <w:tcBorders>
              <w:top w:val="nil"/>
              <w:left w:val="single" w:sz="36" w:space="0" w:color="FFFFFF" w:themeColor="background1"/>
              <w:bottom w:val="nil"/>
            </w:tcBorders>
          </w:tcPr>
          <w:p w:rsidR="00C855F5" w:rsidRPr="00071487" w:rsidRDefault="00C855F5" w:rsidP="00CD2420">
            <w:pPr>
              <w:spacing w:line="480" w:lineRule="auto"/>
              <w:rPr>
                <w:rFonts w:ascii="Palatino Linotype" w:hAnsi="Palatino Linotype" w:cs="Arial"/>
                <w:bCs/>
                <w:sz w:val="24"/>
                <w:szCs w:val="24"/>
              </w:rPr>
            </w:pPr>
            <w:r w:rsidRPr="00071487">
              <w:rPr>
                <w:rFonts w:ascii="Palatino Linotype" w:hAnsi="Palatino Linotype" w:cs="Arial"/>
                <w:bCs/>
                <w:sz w:val="24"/>
                <w:szCs w:val="24"/>
              </w:rPr>
              <w:t>V</w:t>
            </w:r>
          </w:p>
        </w:tc>
      </w:tr>
      <w:tr w:rsidR="00C855F5" w:rsidRPr="00071487" w:rsidTr="00542EAB">
        <w:tc>
          <w:tcPr>
            <w:tcW w:w="2322" w:type="dxa"/>
            <w:tcBorders>
              <w:top w:val="nil"/>
              <w:bottom w:val="single" w:sz="12" w:space="0" w:color="000000" w:themeColor="text1"/>
              <w:right w:val="single" w:sz="36" w:space="0" w:color="FFFFFF" w:themeColor="background1"/>
            </w:tcBorders>
          </w:tcPr>
          <w:p w:rsidR="00C855F5" w:rsidRPr="00071487" w:rsidRDefault="00C855F5" w:rsidP="00CD2420">
            <w:pPr>
              <w:spacing w:line="480" w:lineRule="auto"/>
              <w:rPr>
                <w:rFonts w:ascii="Palatino Linotype" w:hAnsi="Palatino Linotype" w:cs="Arial"/>
                <w:bCs/>
                <w:sz w:val="24"/>
                <w:szCs w:val="24"/>
              </w:rPr>
            </w:pPr>
            <w:r w:rsidRPr="00071487">
              <w:rPr>
                <w:rFonts w:ascii="Palatino Linotype" w:hAnsi="Palatino Linotype" w:cs="Arial"/>
                <w:bCs/>
                <w:sz w:val="24"/>
                <w:szCs w:val="24"/>
              </w:rPr>
              <w:t>Total</w:t>
            </w:r>
          </w:p>
        </w:tc>
        <w:tc>
          <w:tcPr>
            <w:tcW w:w="2322" w:type="dxa"/>
            <w:tcBorders>
              <w:top w:val="nil"/>
              <w:left w:val="single" w:sz="36" w:space="0" w:color="FFFFFF" w:themeColor="background1"/>
              <w:bottom w:val="single" w:sz="12" w:space="0" w:color="000000" w:themeColor="text1"/>
              <w:right w:val="single" w:sz="36" w:space="0" w:color="FFFFFF" w:themeColor="background1"/>
            </w:tcBorders>
          </w:tcPr>
          <w:p w:rsidR="00C855F5" w:rsidRPr="00071487" w:rsidRDefault="00C855F5" w:rsidP="00CD2420">
            <w:pPr>
              <w:spacing w:line="480" w:lineRule="auto"/>
              <w:rPr>
                <w:rFonts w:ascii="Palatino Linotype" w:hAnsi="Palatino Linotype" w:cs="Arial"/>
                <w:bCs/>
                <w:sz w:val="24"/>
                <w:szCs w:val="24"/>
              </w:rPr>
            </w:pPr>
            <w:r w:rsidRPr="00071487">
              <w:rPr>
                <w:rFonts w:ascii="Palatino Linotype" w:hAnsi="Palatino Linotype" w:cs="Arial"/>
                <w:bCs/>
                <w:sz w:val="24"/>
                <w:szCs w:val="24"/>
              </w:rPr>
              <w:t>R</w:t>
            </w:r>
          </w:p>
        </w:tc>
        <w:tc>
          <w:tcPr>
            <w:tcW w:w="2322" w:type="dxa"/>
            <w:tcBorders>
              <w:top w:val="nil"/>
              <w:left w:val="single" w:sz="36" w:space="0" w:color="FFFFFF" w:themeColor="background1"/>
              <w:bottom w:val="single" w:sz="12" w:space="0" w:color="000000" w:themeColor="text1"/>
              <w:right w:val="single" w:sz="36" w:space="0" w:color="FFFFFF" w:themeColor="background1"/>
            </w:tcBorders>
          </w:tcPr>
          <w:p w:rsidR="00C855F5" w:rsidRPr="00071487" w:rsidRDefault="00C855F5" w:rsidP="00CD2420">
            <w:pPr>
              <w:spacing w:line="480" w:lineRule="auto"/>
              <w:rPr>
                <w:rFonts w:ascii="Palatino Linotype" w:hAnsi="Palatino Linotype" w:cs="Arial"/>
                <w:bCs/>
                <w:sz w:val="24"/>
                <w:szCs w:val="24"/>
              </w:rPr>
            </w:pPr>
            <w:r w:rsidRPr="00071487">
              <w:rPr>
                <w:rFonts w:ascii="Palatino Linotype" w:hAnsi="Palatino Linotype" w:cs="Arial"/>
                <w:bCs/>
                <w:sz w:val="24"/>
                <w:szCs w:val="24"/>
              </w:rPr>
              <w:t>T</w:t>
            </w:r>
          </w:p>
        </w:tc>
        <w:tc>
          <w:tcPr>
            <w:tcW w:w="2322" w:type="dxa"/>
            <w:tcBorders>
              <w:top w:val="nil"/>
              <w:left w:val="single" w:sz="36" w:space="0" w:color="FFFFFF" w:themeColor="background1"/>
              <w:bottom w:val="single" w:sz="12" w:space="0" w:color="000000" w:themeColor="text1"/>
            </w:tcBorders>
          </w:tcPr>
          <w:p w:rsidR="00C855F5" w:rsidRPr="00071487" w:rsidRDefault="00C855F5" w:rsidP="00CD2420">
            <w:pPr>
              <w:spacing w:line="480" w:lineRule="auto"/>
              <w:rPr>
                <w:rFonts w:ascii="Palatino Linotype" w:hAnsi="Palatino Linotype" w:cs="Arial"/>
                <w:bCs/>
                <w:sz w:val="24"/>
                <w:szCs w:val="24"/>
              </w:rPr>
            </w:pPr>
            <w:r w:rsidRPr="00071487">
              <w:rPr>
                <w:rFonts w:ascii="Palatino Linotype" w:hAnsi="Palatino Linotype" w:cs="Arial"/>
                <w:bCs/>
                <w:sz w:val="24"/>
                <w:szCs w:val="24"/>
              </w:rPr>
              <w:t>N</w:t>
            </w:r>
          </w:p>
        </w:tc>
      </w:tr>
      <w:tr w:rsidR="00C855F5" w:rsidRPr="00071487" w:rsidTr="00542EAB">
        <w:trPr>
          <w:trHeight w:val="396"/>
        </w:trPr>
        <w:tc>
          <w:tcPr>
            <w:tcW w:w="9288" w:type="dxa"/>
            <w:gridSpan w:val="4"/>
            <w:tcBorders>
              <w:top w:val="single" w:sz="12" w:space="0" w:color="000000" w:themeColor="text1"/>
              <w:bottom w:val="nil"/>
            </w:tcBorders>
            <w:vAlign w:val="bottom"/>
          </w:tcPr>
          <w:p w:rsidR="00C855F5" w:rsidRPr="00071487" w:rsidRDefault="00C855F5" w:rsidP="00CD2420">
            <w:pPr>
              <w:spacing w:line="480" w:lineRule="auto"/>
              <w:rPr>
                <w:rFonts w:ascii="Palatino Linotype" w:hAnsi="Palatino Linotype" w:cs="Arial"/>
                <w:bCs/>
                <w:sz w:val="24"/>
                <w:szCs w:val="24"/>
              </w:rPr>
            </w:pPr>
            <w:r w:rsidRPr="00071487">
              <w:rPr>
                <w:rFonts w:ascii="Palatino Linotype" w:hAnsi="Palatino Linotype" w:cs="Arial"/>
                <w:bCs/>
                <w:sz w:val="24"/>
                <w:szCs w:val="24"/>
              </w:rPr>
              <w:t>Capital letters in each cell indicate the number of individuals in that cell</w:t>
            </w:r>
          </w:p>
        </w:tc>
      </w:tr>
    </w:tbl>
    <w:p w:rsidR="00C855F5" w:rsidRPr="00071487" w:rsidRDefault="00C855F5" w:rsidP="00CD2420">
      <w:pPr>
        <w:spacing w:line="480" w:lineRule="auto"/>
        <w:rPr>
          <w:rFonts w:ascii="Palatino Linotype" w:hAnsi="Palatino Linotype" w:cs="Arial"/>
          <w:bCs/>
          <w:sz w:val="24"/>
          <w:szCs w:val="24"/>
        </w:rPr>
      </w:pPr>
    </w:p>
    <w:p w:rsidR="00C855F5" w:rsidRPr="005E2960" w:rsidRDefault="00C855F5" w:rsidP="00CD2420">
      <w:pPr>
        <w:spacing w:line="480" w:lineRule="auto"/>
        <w:rPr>
          <w:rFonts w:ascii="Palatino Linotype" w:hAnsi="Palatino Linotype" w:cs="Arial"/>
          <w:bCs/>
          <w:sz w:val="24"/>
          <w:szCs w:val="24"/>
        </w:rPr>
      </w:pPr>
      <w:r w:rsidRPr="00071487">
        <w:rPr>
          <w:rFonts w:ascii="Palatino Linotype" w:hAnsi="Palatino Linotype" w:cs="Arial"/>
          <w:bCs/>
          <w:sz w:val="24"/>
          <w:szCs w:val="24"/>
        </w:rPr>
        <w:t xml:space="preserve">The aim of screening is to detect most cases of iron deficiency, i.e. with a </w:t>
      </w:r>
      <w:r w:rsidRPr="00071487">
        <w:rPr>
          <w:rFonts w:ascii="Palatino Linotype" w:hAnsi="Palatino Linotype"/>
          <w:sz w:val="24"/>
          <w:szCs w:val="24"/>
        </w:rPr>
        <w:t xml:space="preserve">cut-point of the test result selected to ensure a high sensitivity (e.g. &gt;90%). Because a high sensitivity comes at the cost of a reduced specificity, this will inevitably result in false positives that could be eliminated by further diagnostic tests. </w:t>
      </w:r>
      <w:r w:rsidRPr="00D40D7C">
        <w:rPr>
          <w:rFonts w:ascii="Palatino Linotype" w:hAnsi="Palatino Linotype"/>
          <w:sz w:val="24"/>
          <w:szCs w:val="24"/>
        </w:rPr>
        <w:t xml:space="preserve">The advantage of screening with a high sensitivity, however, is that iron deficiency can be effectively </w:t>
      </w:r>
      <w:r>
        <w:rPr>
          <w:rFonts w:ascii="Palatino Linotype" w:hAnsi="Palatino Linotype"/>
          <w:sz w:val="24"/>
          <w:szCs w:val="24"/>
        </w:rPr>
        <w:t>and with near-</w:t>
      </w:r>
      <w:r>
        <w:rPr>
          <w:rFonts w:ascii="Palatino Linotype" w:hAnsi="Palatino Linotype" w:cs="Arial"/>
          <w:bCs/>
          <w:sz w:val="24"/>
          <w:szCs w:val="24"/>
        </w:rPr>
        <w:t>certaint</w:t>
      </w:r>
      <w:r w:rsidRPr="005E2960">
        <w:rPr>
          <w:rFonts w:ascii="Palatino Linotype" w:hAnsi="Palatino Linotype" w:cs="Arial"/>
          <w:bCs/>
          <w:sz w:val="24"/>
          <w:szCs w:val="24"/>
        </w:rPr>
        <w:t xml:space="preserve">y </w:t>
      </w:r>
      <w:r>
        <w:rPr>
          <w:rFonts w:ascii="Palatino Linotype" w:hAnsi="Palatino Linotype" w:cs="Arial"/>
          <w:bCs/>
          <w:sz w:val="24"/>
          <w:szCs w:val="24"/>
        </w:rPr>
        <w:t xml:space="preserve">be </w:t>
      </w:r>
      <w:r w:rsidRPr="00D40D7C">
        <w:rPr>
          <w:rFonts w:ascii="Palatino Linotype" w:hAnsi="Palatino Linotype"/>
          <w:sz w:val="24"/>
          <w:szCs w:val="24"/>
        </w:rPr>
        <w:t xml:space="preserve">ruled out in those with </w:t>
      </w:r>
      <w:r w:rsidRPr="005E2960">
        <w:rPr>
          <w:rFonts w:ascii="Palatino Linotype" w:hAnsi="Palatino Linotype" w:cs="Arial"/>
          <w:bCs/>
          <w:sz w:val="24"/>
          <w:szCs w:val="24"/>
        </w:rPr>
        <w:t xml:space="preserve">a negative test result </w:t>
      </w:r>
      <w:r w:rsidR="00924290">
        <w:rPr>
          <w:rFonts w:ascii="Palatino Linotype" w:hAnsi="Palatino Linotype" w:cs="Arial"/>
          <w:bCs/>
          <w:sz w:val="24"/>
          <w:szCs w:val="24"/>
        </w:rPr>
        <w:t>[2</w:t>
      </w:r>
      <w:bookmarkStart w:id="1" w:name="_GoBack"/>
      <w:bookmarkEnd w:id="1"/>
      <w:r w:rsidRPr="005E2960">
        <w:rPr>
          <w:rFonts w:ascii="Palatino Linotype" w:hAnsi="Palatino Linotype" w:cs="Arial"/>
          <w:bCs/>
          <w:sz w:val="24"/>
          <w:szCs w:val="24"/>
        </w:rPr>
        <w:t>].</w:t>
      </w:r>
    </w:p>
    <w:p w:rsidR="00C855F5" w:rsidRPr="00071487" w:rsidRDefault="00C855F5" w:rsidP="00CD2420">
      <w:pPr>
        <w:spacing w:line="480" w:lineRule="auto"/>
        <w:rPr>
          <w:rFonts w:ascii="Palatino Linotype" w:hAnsi="Palatino Linotype" w:cs="Arial"/>
          <w:bCs/>
          <w:sz w:val="24"/>
          <w:szCs w:val="24"/>
        </w:rPr>
      </w:pPr>
    </w:p>
    <w:p w:rsidR="00C855F5" w:rsidRPr="00071487" w:rsidRDefault="00C855F5" w:rsidP="00CD2420">
      <w:pPr>
        <w:spacing w:line="480" w:lineRule="auto"/>
        <w:rPr>
          <w:rFonts w:ascii="Palatino Linotype" w:hAnsi="Palatino Linotype" w:cs="Arial"/>
          <w:bCs/>
          <w:sz w:val="24"/>
          <w:szCs w:val="24"/>
        </w:rPr>
      </w:pPr>
      <w:r w:rsidRPr="00071487">
        <w:rPr>
          <w:rFonts w:ascii="Palatino Linotype" w:hAnsi="Palatino Linotype" w:cs="Arial"/>
          <w:bCs/>
          <w:sz w:val="24"/>
          <w:szCs w:val="24"/>
        </w:rPr>
        <w:t>Let the negative predictive value (</w:t>
      </w:r>
      <w:r w:rsidRPr="00071487">
        <w:rPr>
          <w:rFonts w:ascii="Palatino Linotype" w:hAnsi="Palatino Linotype" w:cs="Arial"/>
          <w:bCs/>
          <w:i/>
          <w:sz w:val="24"/>
          <w:szCs w:val="24"/>
        </w:rPr>
        <w:t xml:space="preserve">NPV </w:t>
      </w:r>
      <w:r w:rsidRPr="00071487">
        <w:rPr>
          <w:rFonts w:ascii="Palatino Linotype" w:hAnsi="Palatino Linotype" w:cs="Arial"/>
          <w:bCs/>
          <w:sz w:val="24"/>
          <w:szCs w:val="24"/>
        </w:rPr>
        <w:t xml:space="preserve">= D/V) be set to ensure that a high proportion of negative test results (e.g. &gt;90%) are correct. The </w:t>
      </w:r>
      <w:r w:rsidRPr="00071487">
        <w:rPr>
          <w:rFonts w:ascii="Palatino Linotype" w:hAnsi="Palatino Linotype" w:cs="Arial"/>
          <w:bCs/>
          <w:i/>
          <w:sz w:val="24"/>
          <w:szCs w:val="24"/>
        </w:rPr>
        <w:t>NPV</w:t>
      </w:r>
      <w:r w:rsidRPr="00071487">
        <w:rPr>
          <w:rFonts w:ascii="Palatino Linotype" w:hAnsi="Palatino Linotype" w:cs="Arial"/>
          <w:bCs/>
          <w:sz w:val="24"/>
          <w:szCs w:val="24"/>
        </w:rPr>
        <w:t xml:space="preserve"> can be rewritten as a function of the prevalence, sensitivity and specificity:</w:t>
      </w:r>
    </w:p>
    <w:p w:rsidR="00C855F5" w:rsidRPr="00071487" w:rsidRDefault="00C855F5" w:rsidP="00CD2420">
      <w:pPr>
        <w:spacing w:line="480" w:lineRule="auto"/>
        <w:rPr>
          <w:rFonts w:ascii="Palatino Linotype" w:hAnsi="Palatino Linotype" w:cs="Arial"/>
          <w:bCs/>
          <w:sz w:val="24"/>
          <w:szCs w:val="24"/>
        </w:rPr>
      </w:pPr>
    </w:p>
    <w:p w:rsidR="00C855F5" w:rsidRPr="00071487" w:rsidRDefault="00C855F5" w:rsidP="00CD2420">
      <w:pPr>
        <w:spacing w:line="480" w:lineRule="auto"/>
        <w:rPr>
          <w:rFonts w:ascii="Palatino Linotype" w:hAnsi="Palatino Linotype" w:cs="Arial"/>
          <w:bCs/>
          <w:sz w:val="24"/>
          <w:szCs w:val="24"/>
        </w:rPr>
      </w:pPr>
      <m:oMathPara>
        <m:oMath>
          <m:r>
            <w:rPr>
              <w:rFonts w:ascii="Cambria Math" w:hAnsi="Cambria Math" w:cs="Arial"/>
              <w:sz w:val="24"/>
              <w:szCs w:val="24"/>
            </w:rPr>
            <m:t>NPV=</m:t>
          </m:r>
          <m:f>
            <m:fPr>
              <m:ctrlPr>
                <w:rPr>
                  <w:rFonts w:ascii="Cambria Math" w:hAnsi="Cambria Math" w:cs="Arial"/>
                  <w:bCs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</w:rPr>
                <m:t>D</m:t>
              </m:r>
            </m:num>
            <m:den>
              <m:r>
                <w:rPr>
                  <w:rFonts w:ascii="Cambria Math" w:hAnsi="Cambria Math" w:cs="Arial"/>
                  <w:sz w:val="24"/>
                  <w:szCs w:val="24"/>
                </w:rPr>
                <m:t>V</m:t>
              </m:r>
            </m:den>
          </m:f>
          <m:r>
            <w:rPr>
              <w:rFonts w:ascii="Cambria Math" w:hAnsi="Cambria Math" w:cs="Arial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Arial"/>
                  <w:bCs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</w:rPr>
                <m:t>T∙Spec</m:t>
              </m:r>
            </m:num>
            <m:den>
              <m:r>
                <w:rPr>
                  <w:rFonts w:ascii="Cambria Math" w:hAnsi="Cambria Math" w:cs="Arial"/>
                  <w:sz w:val="24"/>
                  <w:szCs w:val="24"/>
                </w:rPr>
                <m:t>C+D</m:t>
              </m:r>
            </m:den>
          </m:f>
          <m:r>
            <w:rPr>
              <w:rFonts w:ascii="Cambria Math" w:hAnsi="Cambria Math" w:cs="Arial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Arial"/>
                  <w:bCs/>
                  <w:i/>
                  <w:sz w:val="24"/>
                  <w:szCs w:val="24"/>
                </w:rPr>
              </m:ctrlPr>
            </m:fPr>
            <m:num>
              <m:d>
                <m:dPr>
                  <m:ctrlPr>
                    <w:rPr>
                      <w:rFonts w:ascii="Cambria Math" w:hAnsi="Cambria Math" w:cs="Arial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N-R</m:t>
                  </m:r>
                </m:e>
              </m:d>
              <m:r>
                <w:rPr>
                  <w:rFonts w:ascii="Cambria Math" w:hAnsi="Cambria Math" w:cs="Arial"/>
                  <w:sz w:val="24"/>
                  <w:szCs w:val="24"/>
                </w:rPr>
                <m:t>∙Spec</m:t>
              </m:r>
            </m:num>
            <m:den>
              <m:r>
                <w:rPr>
                  <w:rFonts w:ascii="Cambria Math" w:hAnsi="Cambria Math" w:cs="Arial"/>
                  <w:sz w:val="24"/>
                  <w:szCs w:val="24"/>
                </w:rPr>
                <m:t>R∙</m:t>
              </m:r>
              <m:d>
                <m:dPr>
                  <m:ctrlPr>
                    <w:rPr>
                      <w:rFonts w:ascii="Cambria Math" w:hAnsi="Cambria Math" w:cs="Arial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1-Sens</m:t>
                  </m:r>
                </m:e>
              </m:d>
              <m:r>
                <w:rPr>
                  <w:rFonts w:ascii="Cambria Math" w:hAnsi="Cambria Math" w:cs="Arial"/>
                  <w:sz w:val="24"/>
                  <w:szCs w:val="24"/>
                </w:rPr>
                <m:t>+</m:t>
              </m:r>
              <m:d>
                <m:dPr>
                  <m:ctrlPr>
                    <w:rPr>
                      <w:rFonts w:ascii="Cambria Math" w:hAnsi="Cambria Math" w:cs="Arial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N-R</m:t>
                  </m:r>
                </m:e>
              </m:d>
              <m:r>
                <w:rPr>
                  <w:rFonts w:ascii="Cambria Math" w:hAnsi="Cambria Math" w:cs="Arial"/>
                  <w:sz w:val="24"/>
                  <w:szCs w:val="24"/>
                </w:rPr>
                <m:t>∙Spec</m:t>
              </m:r>
            </m:den>
          </m:f>
        </m:oMath>
      </m:oMathPara>
    </w:p>
    <w:p w:rsidR="00C855F5" w:rsidRPr="00071487" w:rsidRDefault="00C855F5" w:rsidP="00CD2420">
      <w:pPr>
        <w:spacing w:line="480" w:lineRule="auto"/>
        <w:rPr>
          <w:rFonts w:ascii="Palatino Linotype" w:hAnsi="Palatino Linotype" w:cs="Arial"/>
          <w:bCs/>
          <w:sz w:val="24"/>
          <w:szCs w:val="24"/>
        </w:rPr>
      </w:pPr>
    </w:p>
    <w:p w:rsidR="00C855F5" w:rsidRPr="00071487" w:rsidRDefault="00C855F5" w:rsidP="00CD2420">
      <w:pPr>
        <w:spacing w:line="480" w:lineRule="auto"/>
        <w:rPr>
          <w:rFonts w:ascii="Palatino Linotype" w:hAnsi="Palatino Linotype" w:cs="Arial"/>
          <w:bCs/>
          <w:sz w:val="24"/>
          <w:szCs w:val="24"/>
        </w:rPr>
      </w:pPr>
      <w:r w:rsidRPr="00071487">
        <w:rPr>
          <w:rFonts w:ascii="Palatino Linotype" w:hAnsi="Palatino Linotype" w:cs="Arial"/>
          <w:bCs/>
          <w:sz w:val="24"/>
          <w:szCs w:val="24"/>
        </w:rPr>
        <w:t xml:space="preserve">Dividing both numerator and enumerator by </w:t>
      </w:r>
      <w:r w:rsidRPr="00071487">
        <w:rPr>
          <w:rFonts w:ascii="Palatino Linotype" w:hAnsi="Palatino Linotype" w:cs="Arial"/>
          <w:bCs/>
          <w:i/>
          <w:sz w:val="24"/>
          <w:szCs w:val="24"/>
        </w:rPr>
        <w:t>N</w:t>
      </w:r>
      <w:r w:rsidRPr="00071487">
        <w:rPr>
          <w:rFonts w:ascii="Palatino Linotype" w:hAnsi="Palatino Linotype" w:cs="Arial"/>
          <w:bCs/>
          <w:sz w:val="24"/>
          <w:szCs w:val="24"/>
        </w:rPr>
        <w:t xml:space="preserve"> yields:</w:t>
      </w:r>
    </w:p>
    <w:p w:rsidR="00C855F5" w:rsidRPr="00071487" w:rsidRDefault="00C855F5" w:rsidP="00CD2420">
      <w:pPr>
        <w:spacing w:line="480" w:lineRule="auto"/>
        <w:rPr>
          <w:rFonts w:ascii="Palatino Linotype" w:hAnsi="Palatino Linotype" w:cs="Arial"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253"/>
      </w:tblGrid>
      <w:tr w:rsidR="00C855F5" w:rsidRPr="00071487" w:rsidTr="00542EAB">
        <w:trPr>
          <w:trHeight w:val="765"/>
          <w:jc w:val="center"/>
        </w:trPr>
        <w:tc>
          <w:tcPr>
            <w:tcW w:w="4253" w:type="dxa"/>
            <w:vAlign w:val="center"/>
          </w:tcPr>
          <w:p w:rsidR="00C855F5" w:rsidRPr="00071487" w:rsidRDefault="00C855F5" w:rsidP="00CD2420">
            <w:pPr>
              <w:spacing w:line="480" w:lineRule="auto"/>
              <w:rPr>
                <w:rFonts w:ascii="Palatino Linotype" w:hAnsi="Palatino Linotype" w:cs="Arial"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Arial"/>
                    <w:sz w:val="24"/>
                    <w:szCs w:val="24"/>
                  </w:rPr>
                  <w:lastRenderedPageBreak/>
                  <m:t>NPV=</m:t>
                </m:r>
                <m:f>
                  <m:fPr>
                    <m:ctrlPr>
                      <w:rPr>
                        <w:rFonts w:ascii="Cambria Math" w:hAnsi="Cambria Math" w:cs="Arial"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 w:cs="Arial"/>
                            <w:bCs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1-P</m:t>
                        </m:r>
                      </m:e>
                    </m:d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∙Spec</m:t>
                    </m:r>
                  </m:num>
                  <m:den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P∙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bCs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1-Sens</m:t>
                        </m:r>
                      </m:e>
                    </m:d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+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bCs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1-P</m:t>
                        </m:r>
                      </m:e>
                    </m:d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Spec</m:t>
                    </m:r>
                  </m:den>
                </m:f>
              </m:oMath>
            </m:oMathPara>
          </w:p>
        </w:tc>
      </w:tr>
    </w:tbl>
    <w:p w:rsidR="00C855F5" w:rsidRPr="00071487" w:rsidRDefault="00C855F5" w:rsidP="00CD2420">
      <w:pPr>
        <w:spacing w:line="480" w:lineRule="auto"/>
        <w:rPr>
          <w:rFonts w:ascii="Palatino Linotype" w:hAnsi="Palatino Linotype"/>
          <w:sz w:val="24"/>
          <w:szCs w:val="24"/>
        </w:rPr>
      </w:pPr>
    </w:p>
    <w:p w:rsidR="00C855F5" w:rsidRPr="00071487" w:rsidRDefault="00C855F5" w:rsidP="00CD2420">
      <w:pPr>
        <w:spacing w:line="480" w:lineRule="auto"/>
        <w:rPr>
          <w:rFonts w:ascii="Palatino Linotype" w:hAnsi="Palatino Linotype"/>
          <w:sz w:val="24"/>
          <w:szCs w:val="24"/>
        </w:rPr>
      </w:pPr>
      <w:r w:rsidRPr="00071487">
        <w:rPr>
          <w:rFonts w:ascii="Palatino Linotype" w:hAnsi="Palatino Linotype"/>
          <w:sz w:val="24"/>
          <w:szCs w:val="24"/>
        </w:rPr>
        <w:t xml:space="preserve">Thus, at a sensitivity of 90% and corresponding specificity derived from the ROC curves (Figure 1), a </w:t>
      </w:r>
      <w:r w:rsidRPr="00071487">
        <w:rPr>
          <w:rFonts w:ascii="Palatino Linotype" w:hAnsi="Palatino Linotype"/>
          <w:i/>
          <w:sz w:val="24"/>
          <w:szCs w:val="24"/>
        </w:rPr>
        <w:t>NPV</w:t>
      </w:r>
      <w:r w:rsidRPr="00071487">
        <w:rPr>
          <w:rFonts w:ascii="Palatino Linotype" w:hAnsi="Palatino Linotype"/>
          <w:sz w:val="24"/>
          <w:szCs w:val="24"/>
        </w:rPr>
        <w:t xml:space="preserve"> &gt; 90% can be obtained only within a certain prevalence range.</w:t>
      </w:r>
    </w:p>
    <w:p w:rsidR="00C855F5" w:rsidRDefault="00C855F5" w:rsidP="00CD2420">
      <w:pPr>
        <w:spacing w:line="480" w:lineRule="auto"/>
        <w:rPr>
          <w:rFonts w:ascii="Palatino Linotype" w:hAnsi="Palatino Linotype" w:cs="Arial"/>
          <w:bCs/>
          <w:sz w:val="24"/>
          <w:szCs w:val="24"/>
        </w:rPr>
      </w:pPr>
      <w:r>
        <w:rPr>
          <w:rFonts w:ascii="Palatino Linotype" w:hAnsi="Palatino Linotype" w:cs="Arial"/>
          <w:bCs/>
          <w:sz w:val="24"/>
          <w:szCs w:val="24"/>
        </w:rPr>
        <w:t>Similarly, the posi</w:t>
      </w:r>
      <w:r w:rsidRPr="005E2960">
        <w:rPr>
          <w:rFonts w:ascii="Palatino Linotype" w:hAnsi="Palatino Linotype" w:cs="Arial"/>
          <w:bCs/>
          <w:sz w:val="24"/>
          <w:szCs w:val="24"/>
        </w:rPr>
        <w:t>tive predictive value (</w:t>
      </w:r>
      <w:r w:rsidRPr="005E2960">
        <w:rPr>
          <w:rFonts w:ascii="Palatino Linotype" w:hAnsi="Palatino Linotype" w:cs="Arial"/>
          <w:bCs/>
          <w:i/>
          <w:sz w:val="24"/>
          <w:szCs w:val="24"/>
        </w:rPr>
        <w:t xml:space="preserve">NPV </w:t>
      </w:r>
      <w:r>
        <w:rPr>
          <w:rFonts w:ascii="Palatino Linotype" w:hAnsi="Palatino Linotype" w:cs="Arial"/>
          <w:bCs/>
          <w:sz w:val="24"/>
          <w:szCs w:val="24"/>
        </w:rPr>
        <w:t>= A/U</w:t>
      </w:r>
      <w:r w:rsidRPr="005E2960">
        <w:rPr>
          <w:rFonts w:ascii="Palatino Linotype" w:hAnsi="Palatino Linotype" w:cs="Arial"/>
          <w:bCs/>
          <w:sz w:val="24"/>
          <w:szCs w:val="24"/>
        </w:rPr>
        <w:t>)</w:t>
      </w:r>
      <w:r>
        <w:rPr>
          <w:rFonts w:ascii="Palatino Linotype" w:hAnsi="Palatino Linotype" w:cs="Arial"/>
          <w:bCs/>
          <w:sz w:val="24"/>
          <w:szCs w:val="24"/>
        </w:rPr>
        <w:t xml:space="preserve"> can be formulated as</w:t>
      </w:r>
      <w:r w:rsidRPr="00192FC5">
        <w:rPr>
          <w:rFonts w:ascii="Palatino Linotype" w:hAnsi="Palatino Linotype" w:cs="Arial"/>
          <w:bCs/>
          <w:sz w:val="24"/>
          <w:szCs w:val="24"/>
        </w:rPr>
        <w:t xml:space="preserve"> </w:t>
      </w:r>
      <w:r w:rsidRPr="005E2960">
        <w:rPr>
          <w:rFonts w:ascii="Palatino Linotype" w:hAnsi="Palatino Linotype" w:cs="Arial"/>
          <w:bCs/>
          <w:sz w:val="24"/>
          <w:szCs w:val="24"/>
        </w:rPr>
        <w:t>a function of the prevalence, sensitivity and specificity:</w:t>
      </w:r>
    </w:p>
    <w:p w:rsidR="00C855F5" w:rsidRPr="005E2960" w:rsidRDefault="00C855F5" w:rsidP="00CD2420">
      <w:pPr>
        <w:spacing w:line="480" w:lineRule="auto"/>
        <w:rPr>
          <w:rFonts w:ascii="Palatino Linotype" w:hAnsi="Palatino Linotype" w:cs="Arial"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/>
      </w:tblPr>
      <w:tblGrid>
        <w:gridCol w:w="4253"/>
      </w:tblGrid>
      <w:tr w:rsidR="00C855F5" w:rsidRPr="00D40D7C" w:rsidTr="00542EAB">
        <w:trPr>
          <w:trHeight w:val="765"/>
          <w:jc w:val="center"/>
        </w:trPr>
        <w:tc>
          <w:tcPr>
            <w:tcW w:w="4253" w:type="dxa"/>
            <w:vAlign w:val="center"/>
          </w:tcPr>
          <w:p w:rsidR="00C855F5" w:rsidRPr="005E2960" w:rsidRDefault="00C855F5" w:rsidP="00CD2420">
            <w:pPr>
              <w:spacing w:line="480" w:lineRule="auto"/>
              <w:rPr>
                <w:rFonts w:ascii="Palatino Linotype" w:hAnsi="Palatino Linotype" w:cs="Arial"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Arial"/>
                    <w:sz w:val="24"/>
                    <w:szCs w:val="24"/>
                  </w:rPr>
                  <m:t>PPV=</m:t>
                </m:r>
                <m:f>
                  <m:fPr>
                    <m:ctrlPr>
                      <w:rPr>
                        <w:rFonts w:ascii="Cambria Math" w:hAnsi="Cambria Math" w:cs="Arial"/>
                        <w:bCs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P∙Sens</m:t>
                    </m:r>
                  </m:num>
                  <m:den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P∙Sens+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bCs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1-P</m:t>
                        </m:r>
                      </m:e>
                    </m:d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∙</m:t>
                    </m:r>
                    <m:d>
                      <m:dPr>
                        <m:ctrlPr>
                          <w:rPr>
                            <w:rFonts w:ascii="Cambria Math" w:hAnsi="Cambria Math" w:cs="Arial"/>
                            <w:bCs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  <w:sz w:val="24"/>
                            <w:szCs w:val="24"/>
                          </w:rPr>
                          <m:t>1-Spec</m:t>
                        </m:r>
                      </m:e>
                    </m:d>
                  </m:den>
                </m:f>
              </m:oMath>
            </m:oMathPara>
          </w:p>
        </w:tc>
      </w:tr>
    </w:tbl>
    <w:p w:rsidR="00C855F5" w:rsidRPr="00071487" w:rsidRDefault="00C855F5" w:rsidP="00CD2420">
      <w:pPr>
        <w:spacing w:line="480" w:lineRule="auto"/>
        <w:rPr>
          <w:rFonts w:ascii="Palatino Linotype" w:hAnsi="Palatino Linotype" w:cs="Arial"/>
          <w:bCs/>
          <w:sz w:val="24"/>
          <w:szCs w:val="24"/>
        </w:rPr>
      </w:pPr>
    </w:p>
    <w:p w:rsidR="00C855F5" w:rsidRPr="00071487" w:rsidRDefault="00C855F5" w:rsidP="00CD2420">
      <w:pPr>
        <w:spacing w:line="480" w:lineRule="auto"/>
        <w:rPr>
          <w:rFonts w:ascii="Palatino Linotype" w:hAnsi="Palatino Linotype" w:cs="Arial"/>
          <w:bCs/>
          <w:sz w:val="24"/>
          <w:szCs w:val="24"/>
        </w:rPr>
      </w:pPr>
      <w:r w:rsidRPr="00071487">
        <w:rPr>
          <w:rFonts w:ascii="Palatino Linotype" w:hAnsi="Palatino Linotype" w:cs="Arial"/>
          <w:bCs/>
          <w:sz w:val="24"/>
          <w:szCs w:val="24"/>
        </w:rPr>
        <w:t>The fraction with a negative test result (</w:t>
      </w:r>
      <w:r w:rsidRPr="00071487">
        <w:rPr>
          <w:rFonts w:ascii="Palatino Linotype" w:hAnsi="Palatino Linotype" w:cs="Arial"/>
          <w:bCs/>
          <w:i/>
          <w:sz w:val="24"/>
          <w:szCs w:val="24"/>
        </w:rPr>
        <w:t>F</w:t>
      </w:r>
      <w:r w:rsidRPr="00071487">
        <w:rPr>
          <w:rFonts w:ascii="Palatino Linotype" w:hAnsi="Palatino Linotype" w:cs="Arial"/>
          <w:bCs/>
          <w:sz w:val="24"/>
          <w:szCs w:val="24"/>
        </w:rPr>
        <w:t xml:space="preserve"> = V/N) for whom iron deficiency can be ruled out can similarly be rewritten as a function of the prevalence or pre-test probability (</w:t>
      </w:r>
      <w:r w:rsidRPr="00071487">
        <w:rPr>
          <w:rFonts w:ascii="Palatino Linotype" w:hAnsi="Palatino Linotype" w:cs="Arial"/>
          <w:bCs/>
          <w:i/>
          <w:sz w:val="24"/>
          <w:szCs w:val="24"/>
        </w:rPr>
        <w:t>P</w:t>
      </w:r>
      <w:r w:rsidRPr="00071487">
        <w:rPr>
          <w:rFonts w:ascii="Palatino Linotype" w:hAnsi="Palatino Linotype" w:cs="Arial"/>
          <w:bCs/>
          <w:sz w:val="24"/>
          <w:szCs w:val="24"/>
        </w:rPr>
        <w:t xml:space="preserve"> = R/T), sensitivity (</w:t>
      </w:r>
      <w:r w:rsidRPr="00071487">
        <w:rPr>
          <w:rFonts w:ascii="Palatino Linotype" w:hAnsi="Palatino Linotype" w:cs="Arial"/>
          <w:bCs/>
          <w:i/>
          <w:sz w:val="24"/>
          <w:szCs w:val="24"/>
        </w:rPr>
        <w:t>Sens</w:t>
      </w:r>
      <w:r w:rsidRPr="00071487">
        <w:rPr>
          <w:rFonts w:ascii="Palatino Linotype" w:hAnsi="Palatino Linotype" w:cs="Arial"/>
          <w:bCs/>
          <w:sz w:val="24"/>
          <w:szCs w:val="24"/>
        </w:rPr>
        <w:t xml:space="preserve"> = A/R) and specificity (</w:t>
      </w:r>
      <w:r w:rsidRPr="00071487">
        <w:rPr>
          <w:rFonts w:ascii="Palatino Linotype" w:hAnsi="Palatino Linotype" w:cs="Arial"/>
          <w:bCs/>
          <w:i/>
          <w:sz w:val="24"/>
          <w:szCs w:val="24"/>
        </w:rPr>
        <w:t>Spec</w:t>
      </w:r>
      <w:r w:rsidRPr="00071487">
        <w:rPr>
          <w:rFonts w:ascii="Palatino Linotype" w:hAnsi="Palatino Linotype" w:cs="Arial"/>
          <w:bCs/>
          <w:sz w:val="24"/>
          <w:szCs w:val="24"/>
        </w:rPr>
        <w:t xml:space="preserve"> = D/T) as follows:</w:t>
      </w:r>
    </w:p>
    <w:p w:rsidR="00C855F5" w:rsidRPr="00071487" w:rsidRDefault="00C855F5" w:rsidP="00CD2420">
      <w:pPr>
        <w:spacing w:line="480" w:lineRule="auto"/>
        <w:rPr>
          <w:rFonts w:ascii="Palatino Linotype" w:hAnsi="Palatino Linotype" w:cs="Arial"/>
          <w:bCs/>
          <w:sz w:val="24"/>
          <w:szCs w:val="24"/>
        </w:rPr>
      </w:pPr>
    </w:p>
    <w:p w:rsidR="00C855F5" w:rsidRPr="00071487" w:rsidRDefault="00C855F5" w:rsidP="00CD2420">
      <w:pPr>
        <w:spacing w:line="480" w:lineRule="auto"/>
        <w:rPr>
          <w:rFonts w:ascii="Palatino Linotype" w:hAnsi="Palatino Linotype" w:cs="Arial"/>
          <w:bCs/>
          <w:sz w:val="24"/>
          <w:szCs w:val="24"/>
        </w:rPr>
      </w:pPr>
      <m:oMathPara>
        <m:oMath>
          <m:r>
            <w:rPr>
              <w:rFonts w:ascii="Cambria Math" w:hAnsi="Cambria Math" w:cs="Arial"/>
              <w:sz w:val="24"/>
              <w:szCs w:val="24"/>
            </w:rPr>
            <m:t>F=</m:t>
          </m:r>
          <m:f>
            <m:fPr>
              <m:ctrlPr>
                <w:rPr>
                  <w:rFonts w:ascii="Cambria Math" w:eastAsia="MS Mincho" w:hAnsi="Cambria Math" w:cs="Arial"/>
                  <w:bCs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</w:rPr>
                <m:t>V</m:t>
              </m:r>
            </m:num>
            <m:den>
              <m:r>
                <w:rPr>
                  <w:rFonts w:ascii="Cambria Math" w:hAnsi="Cambria Math" w:cs="Arial"/>
                  <w:sz w:val="24"/>
                  <w:szCs w:val="24"/>
                </w:rPr>
                <m:t>N</m:t>
              </m:r>
            </m:den>
          </m:f>
          <m:r>
            <w:rPr>
              <w:rFonts w:ascii="Cambria Math" w:hAnsi="Cambria Math" w:cs="Arial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MS Mincho" w:hAnsi="Cambria Math" w:cs="Arial"/>
                  <w:bCs/>
                  <w:i/>
                  <w:sz w:val="24"/>
                  <w:szCs w:val="24"/>
                </w:rPr>
              </m:ctrlPr>
            </m:fPr>
            <m:num>
              <m:d>
                <m:dPr>
                  <m:ctrlPr>
                    <w:rPr>
                      <w:rFonts w:ascii="Cambria Math" w:eastAsia="MS Mincho" w:hAnsi="Cambria Math" w:cs="Arial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C+D</m:t>
                  </m:r>
                </m:e>
              </m:d>
            </m:num>
            <m:den>
              <m:r>
                <w:rPr>
                  <w:rFonts w:ascii="Cambria Math" w:hAnsi="Cambria Math" w:cs="Arial"/>
                  <w:sz w:val="24"/>
                  <w:szCs w:val="24"/>
                </w:rPr>
                <m:t>N</m:t>
              </m:r>
            </m:den>
          </m:f>
          <m:r>
            <w:rPr>
              <w:rFonts w:ascii="Cambria Math" w:hAnsi="Cambria Math" w:cs="Arial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MS Mincho" w:hAnsi="Cambria Math" w:cs="Arial"/>
                  <w:bCs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</w:rPr>
                <m:t>R∙</m:t>
              </m:r>
              <m:d>
                <m:dPr>
                  <m:ctrlPr>
                    <w:rPr>
                      <w:rFonts w:ascii="Cambria Math" w:eastAsia="MS Mincho" w:hAnsi="Cambria Math" w:cs="Arial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1-Sens</m:t>
                  </m:r>
                </m:e>
              </m:d>
              <m:r>
                <w:rPr>
                  <w:rFonts w:ascii="Cambria Math" w:hAnsi="Cambria Math" w:cs="Arial"/>
                  <w:sz w:val="24"/>
                  <w:szCs w:val="24"/>
                </w:rPr>
                <m:t>+T∙Spec</m:t>
              </m:r>
            </m:num>
            <m:den>
              <m:r>
                <w:rPr>
                  <w:rFonts w:ascii="Cambria Math" w:hAnsi="Cambria Math" w:cs="Arial"/>
                  <w:sz w:val="24"/>
                  <w:szCs w:val="24"/>
                </w:rPr>
                <m:t>N</m:t>
              </m:r>
            </m:den>
          </m:f>
          <m:r>
            <w:rPr>
              <w:rFonts w:ascii="Cambria Math" w:hAnsi="Cambria Math" w:cs="Arial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MS Mincho" w:hAnsi="Cambria Math" w:cs="Arial"/>
                  <w:bCs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</w:rPr>
                <m:t>R∙</m:t>
              </m:r>
              <m:d>
                <m:dPr>
                  <m:ctrlPr>
                    <w:rPr>
                      <w:rFonts w:ascii="Cambria Math" w:eastAsia="MS Mincho" w:hAnsi="Cambria Math" w:cs="Arial"/>
                      <w:bCs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Arial"/>
                      <w:sz w:val="24"/>
                      <w:szCs w:val="24"/>
                    </w:rPr>
                    <m:t>1-Sens</m:t>
                  </m:r>
                </m:e>
              </m:d>
            </m:num>
            <m:den>
              <m:r>
                <w:rPr>
                  <w:rFonts w:ascii="Cambria Math" w:hAnsi="Cambria Math" w:cs="Arial"/>
                  <w:sz w:val="24"/>
                  <w:szCs w:val="24"/>
                </w:rPr>
                <m:t>N</m:t>
              </m:r>
            </m:den>
          </m:f>
          <m:r>
            <w:rPr>
              <w:rFonts w:ascii="Cambria Math" w:hAnsi="Cambria Math" w:cs="Arial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="MS Mincho" w:hAnsi="Cambria Math" w:cs="Arial"/>
                  <w:bCs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</w:rPr>
                <m:t>(N-R)∙Spec</m:t>
              </m:r>
            </m:num>
            <m:den>
              <m:r>
                <w:rPr>
                  <w:rFonts w:ascii="Cambria Math" w:hAnsi="Cambria Math" w:cs="Arial"/>
                  <w:sz w:val="24"/>
                  <w:szCs w:val="24"/>
                </w:rPr>
                <m:t>N</m:t>
              </m:r>
            </m:den>
          </m:f>
        </m:oMath>
      </m:oMathPara>
    </w:p>
    <w:p w:rsidR="00C855F5" w:rsidRPr="00071487" w:rsidRDefault="00C855F5" w:rsidP="00CD2420">
      <w:pPr>
        <w:spacing w:line="480" w:lineRule="auto"/>
        <w:rPr>
          <w:rFonts w:ascii="Palatino Linotype" w:hAnsi="Palatino Linotype" w:cs="Arial"/>
          <w:bCs/>
          <w:sz w:val="24"/>
          <w:szCs w:val="24"/>
        </w:rPr>
      </w:pPr>
    </w:p>
    <w:p w:rsidR="00C855F5" w:rsidRPr="00071487" w:rsidRDefault="00C855F5" w:rsidP="00CD2420">
      <w:pPr>
        <w:spacing w:line="480" w:lineRule="auto"/>
        <w:rPr>
          <w:rFonts w:ascii="Palatino Linotype" w:hAnsi="Palatino Linotype" w:cs="Arial"/>
          <w:bCs/>
          <w:sz w:val="24"/>
          <w:szCs w:val="24"/>
        </w:rPr>
      </w:pPr>
      <w:r w:rsidRPr="00071487">
        <w:rPr>
          <w:rFonts w:ascii="Palatino Linotype" w:hAnsi="Palatino Linotype" w:cs="Arial"/>
          <w:bCs/>
          <w:sz w:val="24"/>
          <w:szCs w:val="24"/>
        </w:rPr>
        <w:t>Thus:</w:t>
      </w:r>
    </w:p>
    <w:tbl>
      <w:tblPr>
        <w:tblStyle w:val="TableGrid"/>
        <w:tblW w:w="0" w:type="auto"/>
        <w:tblInd w:w="1101" w:type="dxa"/>
        <w:tblLook w:val="04A0"/>
      </w:tblPr>
      <w:tblGrid>
        <w:gridCol w:w="7654"/>
      </w:tblGrid>
      <w:tr w:rsidR="00C855F5" w:rsidRPr="00071487" w:rsidTr="00542EAB">
        <w:trPr>
          <w:trHeight w:val="686"/>
        </w:trPr>
        <w:tc>
          <w:tcPr>
            <w:tcW w:w="7654" w:type="dxa"/>
            <w:vAlign w:val="center"/>
          </w:tcPr>
          <w:p w:rsidR="00C855F5" w:rsidRPr="00071487" w:rsidRDefault="00C855F5" w:rsidP="00CD2420">
            <w:pPr>
              <w:spacing w:line="480" w:lineRule="auto"/>
              <w:rPr>
                <w:rFonts w:ascii="Palatino Linotype" w:hAnsi="Palatino Linotype" w:cs="Arial"/>
                <w:b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Arial"/>
                    <w:sz w:val="24"/>
                    <w:szCs w:val="24"/>
                  </w:rPr>
                  <m:t>F=P∙</m:t>
                </m:r>
                <m:d>
                  <m:dPr>
                    <m:ctrlPr>
                      <w:rPr>
                        <w:rFonts w:ascii="Cambria Math" w:eastAsia="MS Mincho" w:hAnsi="Cambria Math" w:cs="Arial"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1-Sens</m:t>
                    </m:r>
                  </m:e>
                </m:d>
                <m:r>
                  <w:rPr>
                    <w:rFonts w:ascii="Cambria Math" w:hAnsi="Cambria Math" w:cs="Arial"/>
                    <w:sz w:val="24"/>
                    <w:szCs w:val="24"/>
                  </w:rPr>
                  <m:t>+</m:t>
                </m:r>
                <m:d>
                  <m:dPr>
                    <m:ctrlPr>
                      <w:rPr>
                        <w:rFonts w:ascii="Cambria Math" w:eastAsia="MS Mincho" w:hAnsi="Cambria Math" w:cs="Arial"/>
                        <w:bCs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1-P</m:t>
                    </m:r>
                  </m:e>
                </m:d>
                <m:r>
                  <w:rPr>
                    <w:rFonts w:ascii="Cambria Math" w:hAnsi="Cambria Math" w:cs="Arial"/>
                    <w:sz w:val="24"/>
                    <w:szCs w:val="24"/>
                  </w:rPr>
                  <m:t>∙Spec</m:t>
                </m:r>
                <m:r>
                  <w:rPr>
                    <w:rFonts w:ascii="Cambria Math" w:eastAsiaTheme="minorEastAsia" w:hAnsi="Cambria Math" w:cs="Arial"/>
                    <w:sz w:val="24"/>
                    <w:szCs w:val="24"/>
                  </w:rPr>
                  <m:t>=Spec+P∙</m:t>
                </m:r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Arial"/>
                        <w:sz w:val="24"/>
                        <w:szCs w:val="24"/>
                      </w:rPr>
                      <m:t>1-Sens-Spec</m:t>
                    </m:r>
                  </m:e>
                </m:d>
              </m:oMath>
            </m:oMathPara>
          </w:p>
        </w:tc>
      </w:tr>
    </w:tbl>
    <w:p w:rsidR="00C855F5" w:rsidRPr="00071487" w:rsidRDefault="00C855F5" w:rsidP="00CD2420">
      <w:pPr>
        <w:spacing w:line="480" w:lineRule="auto"/>
        <w:rPr>
          <w:rFonts w:ascii="Palatino Linotype" w:hAnsi="Palatino Linotype" w:cs="Arial"/>
          <w:bCs/>
          <w:sz w:val="24"/>
          <w:szCs w:val="24"/>
        </w:rPr>
      </w:pPr>
    </w:p>
    <w:p w:rsidR="00C855F5" w:rsidRPr="00071487" w:rsidRDefault="00C855F5" w:rsidP="00CD2420">
      <w:pPr>
        <w:spacing w:line="480" w:lineRule="auto"/>
        <w:rPr>
          <w:rFonts w:ascii="Palatino Linotype" w:hAnsi="Palatino Linotype" w:cs="Arial"/>
          <w:bCs/>
          <w:sz w:val="24"/>
          <w:szCs w:val="24"/>
        </w:rPr>
      </w:pPr>
      <w:r w:rsidRPr="00071487">
        <w:rPr>
          <w:rFonts w:ascii="Palatino Linotype" w:hAnsi="Palatino Linotype" w:cs="Arial"/>
          <w:bCs/>
          <w:sz w:val="24"/>
          <w:szCs w:val="24"/>
        </w:rPr>
        <w:t xml:space="preserve">As indicated by this formula, when the sensitivity is arbitrarily set at &gt;90%, and the corresponding specificity is derived from the ROC curves (Figure 1), </w:t>
      </w:r>
      <w:r w:rsidRPr="00071487">
        <w:rPr>
          <w:rFonts w:ascii="Palatino Linotype" w:hAnsi="Palatino Linotype" w:cs="Arial"/>
          <w:bCs/>
          <w:i/>
          <w:sz w:val="24"/>
          <w:szCs w:val="24"/>
        </w:rPr>
        <w:t>F</w:t>
      </w:r>
      <w:r w:rsidRPr="00071487">
        <w:rPr>
          <w:rFonts w:ascii="Palatino Linotype" w:hAnsi="Palatino Linotype" w:cs="Arial"/>
          <w:bCs/>
          <w:sz w:val="24"/>
          <w:szCs w:val="24"/>
        </w:rPr>
        <w:t xml:space="preserve"> varies only with the prevalence of iron deficiency.</w:t>
      </w:r>
    </w:p>
    <w:p w:rsidR="00C855F5" w:rsidRPr="00071487" w:rsidRDefault="00C855F5" w:rsidP="00CD2420">
      <w:pPr>
        <w:spacing w:line="480" w:lineRule="auto"/>
        <w:rPr>
          <w:rFonts w:ascii="Palatino Linotype" w:hAnsi="Palatino Linotype" w:cs="Arial"/>
          <w:bCs/>
          <w:sz w:val="24"/>
          <w:szCs w:val="24"/>
        </w:rPr>
      </w:pPr>
    </w:p>
    <w:p w:rsidR="00C855F5" w:rsidRPr="00071487" w:rsidRDefault="00C855F5" w:rsidP="00CD2420">
      <w:pPr>
        <w:spacing w:line="480" w:lineRule="auto"/>
        <w:rPr>
          <w:rFonts w:ascii="Palatino Linotype" w:hAnsi="Palatino Linotype" w:cs="Arial"/>
          <w:bCs/>
          <w:sz w:val="24"/>
          <w:szCs w:val="24"/>
        </w:rPr>
      </w:pPr>
      <w:r w:rsidRPr="00071487">
        <w:rPr>
          <w:rFonts w:ascii="Palatino Linotype" w:hAnsi="Palatino Linotype" w:cs="Arial"/>
          <w:bCs/>
          <w:sz w:val="24"/>
          <w:szCs w:val="24"/>
        </w:rPr>
        <w:t xml:space="preserve">In summary, by screening with a cut-point for the diagnostic test result that is preselected to yield a high sensitivity (e.g. &gt; 90% or &gt; 95%), one can determine a prevalence range in which the negative predictive value that is within an acceptably high range (e.g. &gt; 90% or &gt; 95%) and that produces a variable fraction of persons in whom iron deficiency can be ruled out (Figure 2). </w:t>
      </w:r>
    </w:p>
    <w:p w:rsidR="005364D7" w:rsidRPr="005364D7" w:rsidRDefault="005364D7" w:rsidP="00CD2420">
      <w:pPr>
        <w:pStyle w:val="ListParagraph"/>
        <w:spacing w:line="480" w:lineRule="auto"/>
        <w:rPr>
          <w:rFonts w:ascii="Palatino Linotype" w:hAnsi="Palatino Linotype"/>
          <w:sz w:val="24"/>
          <w:szCs w:val="24"/>
        </w:rPr>
      </w:pPr>
    </w:p>
    <w:p w:rsidR="005364D7" w:rsidRDefault="00C855F5" w:rsidP="00CD2420">
      <w:pPr>
        <w:spacing w:line="480" w:lineRule="auto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Reference</w:t>
      </w:r>
    </w:p>
    <w:p w:rsidR="00C855F5" w:rsidRDefault="00C855F5" w:rsidP="00CD2420">
      <w:pPr>
        <w:pStyle w:val="ListParagraph"/>
        <w:numPr>
          <w:ilvl w:val="0"/>
          <w:numId w:val="5"/>
        </w:numPr>
        <w:spacing w:line="480" w:lineRule="auto"/>
        <w:rPr>
          <w:rFonts w:ascii="Palatino Linotype" w:hAnsi="Palatino Linotype"/>
          <w:sz w:val="24"/>
          <w:szCs w:val="24"/>
        </w:rPr>
      </w:pPr>
      <w:r w:rsidRPr="00C27772">
        <w:rPr>
          <w:rFonts w:ascii="Palatino Linotype" w:hAnsi="Palatino Linotype"/>
          <w:sz w:val="24"/>
          <w:szCs w:val="24"/>
        </w:rPr>
        <w:t xml:space="preserve">WHO/CDC: </w:t>
      </w:r>
      <w:r w:rsidRPr="00C27772">
        <w:rPr>
          <w:rFonts w:ascii="Palatino Linotype" w:hAnsi="Palatino Linotype"/>
          <w:i/>
          <w:sz w:val="24"/>
          <w:szCs w:val="24"/>
        </w:rPr>
        <w:t>Assessing the iron status of populations, 2nd ed.</w:t>
      </w:r>
      <w:r w:rsidRPr="00C27772">
        <w:rPr>
          <w:rFonts w:ascii="Palatino Linotype" w:hAnsi="Palatino Linotype"/>
          <w:sz w:val="24"/>
          <w:szCs w:val="24"/>
        </w:rPr>
        <w:t xml:space="preserve"> Report of a joint World Health Organization/</w:t>
      </w:r>
      <w:proofErr w:type="spellStart"/>
      <w:r w:rsidRPr="00C27772">
        <w:rPr>
          <w:rFonts w:ascii="Palatino Linotype" w:hAnsi="Palatino Linotype"/>
          <w:sz w:val="24"/>
          <w:szCs w:val="24"/>
        </w:rPr>
        <w:t>Centers</w:t>
      </w:r>
      <w:proofErr w:type="spellEnd"/>
      <w:r w:rsidRPr="00C27772">
        <w:rPr>
          <w:rFonts w:ascii="Palatino Linotype" w:hAnsi="Palatino Linotype"/>
          <w:sz w:val="24"/>
          <w:szCs w:val="24"/>
        </w:rPr>
        <w:t xml:space="preserve"> for Disease Control and Prevention Technical Consultation on the assessment of iron status at the population level (Geneva, Switzerland: 6–8 April 2004). Geneva, Switzerland: World Health Organization; 2007</w:t>
      </w:r>
    </w:p>
    <w:p w:rsidR="00CD2420" w:rsidRDefault="00CD2420" w:rsidP="00CD2420">
      <w:pPr>
        <w:pStyle w:val="ListParagraph"/>
        <w:spacing w:line="480" w:lineRule="auto"/>
        <w:rPr>
          <w:rFonts w:ascii="Palatino Linotype" w:hAnsi="Palatino Linotype"/>
          <w:sz w:val="24"/>
          <w:szCs w:val="24"/>
        </w:rPr>
      </w:pPr>
    </w:p>
    <w:p w:rsidR="00C855F5" w:rsidRPr="00C855F5" w:rsidRDefault="00C855F5" w:rsidP="00CD2420">
      <w:pPr>
        <w:pStyle w:val="ListParagraph"/>
        <w:numPr>
          <w:ilvl w:val="0"/>
          <w:numId w:val="5"/>
        </w:numPr>
        <w:spacing w:line="480" w:lineRule="auto"/>
        <w:rPr>
          <w:rFonts w:ascii="Palatino Linotype" w:hAnsi="Palatino Linotype"/>
          <w:sz w:val="24"/>
          <w:szCs w:val="24"/>
        </w:rPr>
      </w:pPr>
      <w:proofErr w:type="spellStart"/>
      <w:r w:rsidRPr="00D40D7C">
        <w:rPr>
          <w:rFonts w:ascii="Palatino Linotype" w:hAnsi="Palatino Linotype"/>
          <w:sz w:val="24"/>
          <w:szCs w:val="24"/>
        </w:rPr>
        <w:t>Thurnham</w:t>
      </w:r>
      <w:proofErr w:type="spellEnd"/>
      <w:r w:rsidRPr="00D40D7C">
        <w:rPr>
          <w:rFonts w:ascii="Palatino Linotype" w:hAnsi="Palatino Linotype"/>
          <w:sz w:val="24"/>
          <w:szCs w:val="24"/>
        </w:rPr>
        <w:t xml:space="preserve"> DI, McCabe LD, </w:t>
      </w:r>
      <w:proofErr w:type="spellStart"/>
      <w:r w:rsidRPr="00D40D7C">
        <w:rPr>
          <w:rFonts w:ascii="Palatino Linotype" w:hAnsi="Palatino Linotype"/>
          <w:sz w:val="24"/>
          <w:szCs w:val="24"/>
        </w:rPr>
        <w:t>Haldar</w:t>
      </w:r>
      <w:proofErr w:type="spellEnd"/>
      <w:r w:rsidRPr="00D40D7C">
        <w:rPr>
          <w:rFonts w:ascii="Palatino Linotype" w:hAnsi="Palatino Linotype"/>
          <w:sz w:val="24"/>
          <w:szCs w:val="24"/>
        </w:rPr>
        <w:t xml:space="preserve"> S, </w:t>
      </w:r>
      <w:proofErr w:type="spellStart"/>
      <w:r w:rsidRPr="00D40D7C">
        <w:rPr>
          <w:rFonts w:ascii="Palatino Linotype" w:hAnsi="Palatino Linotype"/>
          <w:sz w:val="24"/>
          <w:szCs w:val="24"/>
        </w:rPr>
        <w:t>Wieringa</w:t>
      </w:r>
      <w:proofErr w:type="spellEnd"/>
      <w:r w:rsidRPr="00D40D7C">
        <w:rPr>
          <w:rFonts w:ascii="Palatino Linotype" w:hAnsi="Palatino Linotype"/>
          <w:sz w:val="24"/>
          <w:szCs w:val="24"/>
        </w:rPr>
        <w:t xml:space="preserve"> FT, Northrop-</w:t>
      </w:r>
      <w:proofErr w:type="spellStart"/>
      <w:r w:rsidRPr="00D40D7C">
        <w:rPr>
          <w:rFonts w:ascii="Palatino Linotype" w:hAnsi="Palatino Linotype"/>
          <w:sz w:val="24"/>
          <w:szCs w:val="24"/>
        </w:rPr>
        <w:t>Clewes</w:t>
      </w:r>
      <w:proofErr w:type="spellEnd"/>
      <w:r w:rsidRPr="00D40D7C">
        <w:rPr>
          <w:rFonts w:ascii="Palatino Linotype" w:hAnsi="Palatino Linotype"/>
          <w:sz w:val="24"/>
          <w:szCs w:val="24"/>
        </w:rPr>
        <w:t xml:space="preserve"> CA, </w:t>
      </w:r>
      <w:proofErr w:type="gramStart"/>
      <w:r w:rsidRPr="00D40D7C">
        <w:rPr>
          <w:rFonts w:ascii="Palatino Linotype" w:hAnsi="Palatino Linotype"/>
          <w:sz w:val="24"/>
          <w:szCs w:val="24"/>
        </w:rPr>
        <w:t>McCabe</w:t>
      </w:r>
      <w:proofErr w:type="gramEnd"/>
      <w:r w:rsidRPr="00D40D7C">
        <w:rPr>
          <w:rFonts w:ascii="Palatino Linotype" w:hAnsi="Palatino Linotype"/>
          <w:sz w:val="24"/>
          <w:szCs w:val="24"/>
        </w:rPr>
        <w:t xml:space="preserve"> GP: </w:t>
      </w:r>
      <w:r w:rsidRPr="00172652">
        <w:rPr>
          <w:rFonts w:ascii="Palatino Linotype" w:hAnsi="Palatino Linotype"/>
          <w:sz w:val="24"/>
          <w:szCs w:val="24"/>
        </w:rPr>
        <w:t>Adjusting plasma ferritin concentrations to remove the effects of subclinical inflammation in the assessment of iron deficiency: a meta-analysis</w:t>
      </w:r>
      <w:r w:rsidRPr="00D40D7C">
        <w:rPr>
          <w:rFonts w:ascii="Palatino Linotype" w:hAnsi="Palatino Linotype"/>
          <w:b/>
          <w:sz w:val="24"/>
          <w:szCs w:val="24"/>
        </w:rPr>
        <w:t>.</w:t>
      </w:r>
      <w:r w:rsidRPr="00D40D7C">
        <w:rPr>
          <w:rFonts w:ascii="Palatino Linotype" w:hAnsi="Palatino Linotype"/>
          <w:sz w:val="24"/>
          <w:szCs w:val="24"/>
        </w:rPr>
        <w:t xml:space="preserve"> </w:t>
      </w:r>
      <w:r w:rsidRPr="00D40D7C">
        <w:rPr>
          <w:rFonts w:ascii="Palatino Linotype" w:hAnsi="Palatino Linotype"/>
          <w:i/>
          <w:sz w:val="24"/>
          <w:szCs w:val="24"/>
        </w:rPr>
        <w:t xml:space="preserve">Am J </w:t>
      </w:r>
      <w:proofErr w:type="spellStart"/>
      <w:r w:rsidRPr="00D40D7C">
        <w:rPr>
          <w:rFonts w:ascii="Palatino Linotype" w:hAnsi="Palatino Linotype"/>
          <w:i/>
          <w:sz w:val="24"/>
          <w:szCs w:val="24"/>
        </w:rPr>
        <w:t>Clin</w:t>
      </w:r>
      <w:proofErr w:type="spellEnd"/>
      <w:r w:rsidRPr="00D40D7C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D40D7C">
        <w:rPr>
          <w:rFonts w:ascii="Palatino Linotype" w:hAnsi="Palatino Linotype"/>
          <w:i/>
          <w:sz w:val="24"/>
          <w:szCs w:val="24"/>
        </w:rPr>
        <w:t>Nutr</w:t>
      </w:r>
      <w:proofErr w:type="spellEnd"/>
      <w:r w:rsidRPr="00D40D7C">
        <w:rPr>
          <w:rFonts w:ascii="Palatino Linotype" w:hAnsi="Palatino Linotype"/>
          <w:sz w:val="24"/>
          <w:szCs w:val="24"/>
        </w:rPr>
        <w:t xml:space="preserve"> 2010; </w:t>
      </w:r>
      <w:r w:rsidRPr="00D40D7C">
        <w:rPr>
          <w:rFonts w:ascii="Palatino Linotype" w:hAnsi="Palatino Linotype"/>
          <w:b/>
          <w:sz w:val="24"/>
          <w:szCs w:val="24"/>
        </w:rPr>
        <w:t>92:</w:t>
      </w:r>
      <w:r w:rsidRPr="00D40D7C">
        <w:rPr>
          <w:rFonts w:ascii="Palatino Linotype" w:hAnsi="Palatino Linotype"/>
          <w:sz w:val="24"/>
          <w:szCs w:val="24"/>
        </w:rPr>
        <w:t>546-55</w:t>
      </w:r>
    </w:p>
    <w:sectPr w:rsidR="00C855F5" w:rsidRPr="00C855F5" w:rsidSect="00C164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E54A7"/>
    <w:multiLevelType w:val="hybridMultilevel"/>
    <w:tmpl w:val="82AEDE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0E17CAA"/>
    <w:multiLevelType w:val="hybridMultilevel"/>
    <w:tmpl w:val="4CDE4D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A3033C"/>
    <w:multiLevelType w:val="hybridMultilevel"/>
    <w:tmpl w:val="8C7A9E2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B62290B"/>
    <w:multiLevelType w:val="hybridMultilevel"/>
    <w:tmpl w:val="625E09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3C55C5"/>
    <w:multiLevelType w:val="hybridMultilevel"/>
    <w:tmpl w:val="6018D8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docVars>
    <w:docVar w:name="Total_Editing_Time" w:val="1"/>
  </w:docVars>
  <w:rsids>
    <w:rsidRoot w:val="0056035E"/>
    <w:rsid w:val="00046919"/>
    <w:rsid w:val="000D20DA"/>
    <w:rsid w:val="000E4484"/>
    <w:rsid w:val="000F6985"/>
    <w:rsid w:val="00172652"/>
    <w:rsid w:val="00294FA8"/>
    <w:rsid w:val="005364D7"/>
    <w:rsid w:val="0056035E"/>
    <w:rsid w:val="00814363"/>
    <w:rsid w:val="0091639C"/>
    <w:rsid w:val="00924290"/>
    <w:rsid w:val="00C164AA"/>
    <w:rsid w:val="00C855F5"/>
    <w:rsid w:val="00CD178E"/>
    <w:rsid w:val="00CD2420"/>
    <w:rsid w:val="00D40BFA"/>
    <w:rsid w:val="00D506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35E"/>
    <w:pPr>
      <w:spacing w:after="0" w:line="240" w:lineRule="auto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855F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03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03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35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64D7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855F5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LineNumber">
    <w:name w:val="line number"/>
    <w:basedOn w:val="DefaultParagraphFont"/>
    <w:uiPriority w:val="99"/>
    <w:semiHidden/>
    <w:unhideWhenUsed/>
    <w:rsid w:val="00CD24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35E"/>
    <w:pPr>
      <w:spacing w:after="0" w:line="240" w:lineRule="auto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855F5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03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03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35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64D7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855F5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LineNumber">
    <w:name w:val="line number"/>
    <w:basedOn w:val="DefaultParagraphFont"/>
    <w:uiPriority w:val="99"/>
    <w:semiHidden/>
    <w:unhideWhenUsed/>
    <w:rsid w:val="00CD24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AB2FF-56B0-40B9-AD5C-085DB7C94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609</Words>
  <Characters>3564</Characters>
  <Application>Microsoft Office Word</Application>
  <DocSecurity>0</DocSecurity>
  <Lines>108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 Teshome</dc:creator>
  <cp:lastModifiedBy>ADAYAP</cp:lastModifiedBy>
  <cp:revision>5</cp:revision>
  <dcterms:created xsi:type="dcterms:W3CDTF">2016-10-11T17:50:00Z</dcterms:created>
  <dcterms:modified xsi:type="dcterms:W3CDTF">2017-07-19T16:09:00Z</dcterms:modified>
</cp:coreProperties>
</file>