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661" w:tblpY="856"/>
        <w:tblW w:w="13338" w:type="dxa"/>
        <w:tblLayout w:type="fixed"/>
        <w:tblLook w:val="04A0" w:firstRow="1" w:lastRow="0" w:firstColumn="1" w:lastColumn="0" w:noHBand="0" w:noVBand="1"/>
      </w:tblPr>
      <w:tblGrid>
        <w:gridCol w:w="1278"/>
        <w:gridCol w:w="990"/>
        <w:gridCol w:w="543"/>
        <w:gridCol w:w="572"/>
        <w:gridCol w:w="688"/>
        <w:gridCol w:w="492"/>
        <w:gridCol w:w="545"/>
        <w:gridCol w:w="670"/>
        <w:gridCol w:w="630"/>
        <w:gridCol w:w="720"/>
        <w:gridCol w:w="540"/>
        <w:gridCol w:w="630"/>
        <w:gridCol w:w="630"/>
        <w:gridCol w:w="720"/>
        <w:gridCol w:w="720"/>
        <w:gridCol w:w="630"/>
        <w:gridCol w:w="990"/>
        <w:gridCol w:w="720"/>
        <w:gridCol w:w="630"/>
      </w:tblGrid>
      <w:tr w:rsidR="00BD5AB5" w:rsidRPr="00BD5AB5" w:rsidTr="00BD5AB5">
        <w:trPr>
          <w:trHeight w:val="585"/>
        </w:trPr>
        <w:tc>
          <w:tcPr>
            <w:tcW w:w="13338" w:type="dxa"/>
            <w:gridSpan w:val="19"/>
            <w:tcBorders>
              <w:top w:val="nil"/>
              <w:left w:val="nil"/>
              <w:right w:val="nil"/>
            </w:tcBorders>
          </w:tcPr>
          <w:p w:rsidR="00BD5AB5" w:rsidRPr="00BD5AB5" w:rsidRDefault="00BD5AB5" w:rsidP="00BD5AB5">
            <w:pPr>
              <w:rPr>
                <w:b/>
                <w:sz w:val="24"/>
                <w:szCs w:val="24"/>
              </w:rPr>
            </w:pPr>
          </w:p>
          <w:p w:rsidR="00BD5AB5" w:rsidRPr="00BD5AB5" w:rsidRDefault="00BD5AB5" w:rsidP="00BD5AB5">
            <w:pPr>
              <w:rPr>
                <w:b/>
                <w:sz w:val="24"/>
                <w:szCs w:val="24"/>
              </w:rPr>
            </w:pPr>
            <w:r w:rsidRPr="00BD5AB5">
              <w:rPr>
                <w:b/>
                <w:sz w:val="24"/>
                <w:szCs w:val="24"/>
              </w:rPr>
              <w:t>Supplementary Table 1. Characteristics of patients included in the systematic review.</w:t>
            </w:r>
          </w:p>
        </w:tc>
      </w:tr>
      <w:tr w:rsidR="00BD5AB5" w:rsidRPr="00BD5AB5" w:rsidTr="00BD5AB5">
        <w:trPr>
          <w:trHeight w:val="585"/>
        </w:trPr>
        <w:tc>
          <w:tcPr>
            <w:tcW w:w="1278" w:type="dxa"/>
          </w:tcPr>
          <w:p w:rsidR="00BD5AB5" w:rsidRPr="00BD5AB5" w:rsidRDefault="00BD5AB5" w:rsidP="00BD5AB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Study ID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Aza* dosing schedule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Mean Age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Male (%)</w:t>
            </w:r>
          </w:p>
        </w:tc>
        <w:tc>
          <w:tcPr>
            <w:tcW w:w="1180" w:type="dxa"/>
            <w:gridSpan w:val="2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ECOG</w:t>
            </w:r>
          </w:p>
        </w:tc>
        <w:tc>
          <w:tcPr>
            <w:tcW w:w="2565" w:type="dxa"/>
            <w:gridSpan w:val="4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FAB†</w:t>
            </w:r>
          </w:p>
        </w:tc>
        <w:tc>
          <w:tcPr>
            <w:tcW w:w="4860" w:type="dxa"/>
            <w:gridSpan w:val="7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WHO‡</w:t>
            </w:r>
          </w:p>
        </w:tc>
        <w:tc>
          <w:tcPr>
            <w:tcW w:w="1350" w:type="dxa"/>
            <w:gridSpan w:val="2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IPSS†† Score</w:t>
            </w:r>
          </w:p>
        </w:tc>
      </w:tr>
      <w:tr w:rsidR="00BD5AB5" w:rsidRPr="00BD5AB5" w:rsidTr="00BD5AB5">
        <w:trPr>
          <w:trHeight w:val="585"/>
        </w:trPr>
        <w:tc>
          <w:tcPr>
            <w:tcW w:w="1278" w:type="dxa"/>
            <w:hideMark/>
          </w:tcPr>
          <w:p w:rsidR="00BD5AB5" w:rsidRPr="00BD5AB5" w:rsidRDefault="00BD5AB5" w:rsidP="00BD5AB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43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72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8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0/&lt;=1 (%)</w:t>
            </w:r>
          </w:p>
        </w:tc>
        <w:tc>
          <w:tcPr>
            <w:tcW w:w="492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&gt;=2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545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RA (%)</w:t>
            </w:r>
          </w:p>
        </w:tc>
        <w:tc>
          <w:tcPr>
            <w:tcW w:w="67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RAEB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CMML(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72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Unclassified (%)</w:t>
            </w:r>
          </w:p>
        </w:tc>
        <w:tc>
          <w:tcPr>
            <w:tcW w:w="54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del5</w:t>
            </w: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q(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RA(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RCMD(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72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RAEB(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72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CMML(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AML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unclassified(</w:t>
            </w:r>
            <w:proofErr w:type="gramEnd"/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%)</w:t>
            </w:r>
          </w:p>
        </w:tc>
        <w:tc>
          <w:tcPr>
            <w:tcW w:w="72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low/int-1(%)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int-2/hi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(%)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BD5AB5" w:rsidP="00BD5AB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Fenaux et al. [3]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</w:tr>
      <w:tr w:rsidR="00216B74" w:rsidRPr="00BD5AB5" w:rsidTr="00216B74">
        <w:trPr>
          <w:trHeight w:val="143"/>
        </w:trPr>
        <w:tc>
          <w:tcPr>
            <w:tcW w:w="1278" w:type="dxa"/>
            <w:vMerge w:val="restart"/>
            <w:hideMark/>
          </w:tcPr>
          <w:p w:rsidR="00216B74" w:rsidRPr="00BD5AB5" w:rsidRDefault="00216B74" w:rsidP="00216B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Silverman et al. [13</w:t>
            </w: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2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8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92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5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216B74" w:rsidRPr="00BD5AB5" w:rsidTr="00216B74">
        <w:trPr>
          <w:trHeight w:val="170"/>
        </w:trPr>
        <w:tc>
          <w:tcPr>
            <w:tcW w:w="1278" w:type="dxa"/>
            <w:vMerge/>
            <w:hideMark/>
          </w:tcPr>
          <w:p w:rsidR="00216B74" w:rsidRPr="00BD5AB5" w:rsidRDefault="00216B74" w:rsidP="00216B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2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88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92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5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7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3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9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16B74" w:rsidRPr="00BD5AB5" w:rsidTr="00216B74">
        <w:trPr>
          <w:trHeight w:val="161"/>
        </w:trPr>
        <w:tc>
          <w:tcPr>
            <w:tcW w:w="1278" w:type="dxa"/>
            <w:vMerge/>
            <w:hideMark/>
          </w:tcPr>
          <w:p w:rsidR="00216B74" w:rsidRPr="00BD5AB5" w:rsidRDefault="00216B74" w:rsidP="00216B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2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88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92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5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7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3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216B74" w:rsidRPr="00BD5AB5" w:rsidRDefault="00216B74" w:rsidP="00216B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5AB5" w:rsidRPr="00BD5AB5" w:rsidTr="00BD5AB5">
        <w:trPr>
          <w:trHeight w:val="300"/>
        </w:trPr>
        <w:tc>
          <w:tcPr>
            <w:tcW w:w="1278" w:type="dxa"/>
            <w:vMerge w:val="restart"/>
            <w:hideMark/>
          </w:tcPr>
          <w:p w:rsidR="00BD5AB5" w:rsidRPr="00BD5AB5" w:rsidRDefault="00BD5AB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Lyons et al. [14]</w:t>
            </w: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2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8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92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5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7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315"/>
        </w:trPr>
        <w:tc>
          <w:tcPr>
            <w:tcW w:w="1278" w:type="dxa"/>
            <w:vMerge/>
            <w:hideMark/>
          </w:tcPr>
          <w:p w:rsidR="00BD5AB5" w:rsidRPr="00BD5AB5" w:rsidRDefault="00BD5AB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5-2-2</w:t>
            </w:r>
          </w:p>
        </w:tc>
        <w:tc>
          <w:tcPr>
            <w:tcW w:w="543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72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688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92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5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7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3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5AB5" w:rsidRPr="00BD5AB5" w:rsidTr="00BD5AB5">
        <w:trPr>
          <w:trHeight w:val="170"/>
        </w:trPr>
        <w:tc>
          <w:tcPr>
            <w:tcW w:w="1278" w:type="dxa"/>
            <w:vMerge w:val="restart"/>
            <w:hideMark/>
          </w:tcPr>
          <w:p w:rsidR="00BD5AB5" w:rsidRPr="00BD5AB5" w:rsidRDefault="00BD5AB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Xicoy et al. [15]</w:t>
            </w: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72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8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7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NR**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30" w:type="dxa"/>
            <w:vMerge w:val="restart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  <w:vMerge/>
            <w:hideMark/>
          </w:tcPr>
          <w:p w:rsidR="00BD5AB5" w:rsidRPr="00BD5AB5" w:rsidRDefault="00BD5AB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5AB5" w:rsidRPr="00BD5AB5" w:rsidTr="00BD5AB5">
        <w:trPr>
          <w:trHeight w:val="170"/>
        </w:trPr>
        <w:tc>
          <w:tcPr>
            <w:tcW w:w="1278" w:type="dxa"/>
            <w:vMerge/>
            <w:hideMark/>
          </w:tcPr>
          <w:p w:rsidR="00BD5AB5" w:rsidRPr="00BD5AB5" w:rsidRDefault="00BD5AB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5-2-2</w:t>
            </w:r>
          </w:p>
        </w:tc>
        <w:tc>
          <w:tcPr>
            <w:tcW w:w="543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hideMark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5AB5" w:rsidRPr="00BD5AB5" w:rsidTr="00BD5AB5">
        <w:trPr>
          <w:trHeight w:val="350"/>
        </w:trPr>
        <w:tc>
          <w:tcPr>
            <w:tcW w:w="1278" w:type="dxa"/>
          </w:tcPr>
          <w:p w:rsidR="00BD5AB5" w:rsidRPr="00BD5AB5" w:rsidRDefault="00BD5AB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Garcia-Delgadoa et al. [16]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5-2-2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Sadashiv et al. [2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Minoia et al. [2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Drummond et al. [2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5-2-2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Fianchi et el.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Ballya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Breccia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5-2-2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70.2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586475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Breccia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5-2-2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Douvali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Duong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Ettou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Fianchi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Fil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Gryna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Itzykson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Itzykson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O’Reilly et al. [</w:t>
            </w:r>
            <w:r w:rsidR="00035AA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Lee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Lee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BD5AB5" w:rsidRPr="00BD5AB5" w:rsidTr="00BD5AB5">
        <w:trPr>
          <w:trHeight w:val="462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Al-Ali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Martin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69.5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Moon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Muller-Thomas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71.3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Muller-Thomas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O’Reilly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Ozbalak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Papoutselis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73.5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Pierdomenico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66.5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BD5AB5" w:rsidRPr="00BD5AB5" w:rsidTr="00BD5AB5">
        <w:trPr>
          <w:trHeight w:val="161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Tobiasson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D5AB5" w:rsidRPr="00BD5AB5" w:rsidTr="00BD5AB5">
        <w:trPr>
          <w:trHeight w:val="315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Diamantopoulos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</w:tr>
      <w:tr w:rsidR="00BD5AB5" w:rsidRPr="00BD5AB5" w:rsidTr="00BD5AB5">
        <w:trPr>
          <w:trHeight w:val="315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Passweg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315"/>
        </w:trPr>
        <w:tc>
          <w:tcPr>
            <w:tcW w:w="1278" w:type="dxa"/>
          </w:tcPr>
          <w:p w:rsidR="00BD5AB5" w:rsidRPr="00BD5AB5" w:rsidRDefault="00095E8D" w:rsidP="00BD5AB5">
            <w:pP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 xml:space="preserve">van der Helm </w:t>
            </w:r>
            <w:r w:rsidR="00265EED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50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  <w:tr w:rsidR="00BD5AB5" w:rsidRPr="00BD5AB5" w:rsidTr="00BD5AB5">
        <w:trPr>
          <w:trHeight w:val="315"/>
        </w:trPr>
        <w:tc>
          <w:tcPr>
            <w:tcW w:w="1278" w:type="dxa"/>
          </w:tcPr>
          <w:p w:rsidR="00BD5AB5" w:rsidRPr="00BD5AB5" w:rsidRDefault="00265EED" w:rsidP="00BD5AB5">
            <w:pP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van der Helm et al. [</w:t>
            </w:r>
            <w:r w:rsidR="003A426A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51</w:t>
            </w:r>
            <w:r w:rsidR="00BD5AB5" w:rsidRPr="00BD5AB5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]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7-0-0</w:t>
            </w:r>
          </w:p>
        </w:tc>
        <w:tc>
          <w:tcPr>
            <w:tcW w:w="543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8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92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5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7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4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630" w:type="dxa"/>
          </w:tcPr>
          <w:p w:rsidR="00BD5AB5" w:rsidRPr="00BD5AB5" w:rsidRDefault="00BD5AB5" w:rsidP="00BD5A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5A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</w:tr>
    </w:tbl>
    <w:p w:rsidR="00BD5AB5" w:rsidRDefault="00BD5AB5" w:rsidP="00BD5AB5"/>
    <w:p w:rsidR="00BD5AB5" w:rsidRDefault="00BD5AB5" w:rsidP="00BD5AB5">
      <w:r>
        <w:t>*Aza: Azacitidine</w:t>
      </w:r>
    </w:p>
    <w:p w:rsidR="00BD5AB5" w:rsidRDefault="00BD5AB5" w:rsidP="00BD5AB5">
      <w:r>
        <w:t>**</w:t>
      </w:r>
      <w:r w:rsidRPr="00586BF7">
        <w:t xml:space="preserve">NR: </w:t>
      </w:r>
      <w:r>
        <w:t>not reported.</w:t>
      </w:r>
    </w:p>
    <w:p w:rsidR="00BD5AB5" w:rsidRDefault="00BD5AB5" w:rsidP="00BD5AB5">
      <w:r>
        <w:t>†FAB: French-American-British classification system</w:t>
      </w:r>
    </w:p>
    <w:p w:rsidR="00BD5AB5" w:rsidRDefault="00BD5AB5" w:rsidP="00BD5AB5">
      <w:r>
        <w:t>‡WHO: World Health Organization</w:t>
      </w:r>
    </w:p>
    <w:p w:rsidR="00BD5AB5" w:rsidRPr="00586BF7" w:rsidRDefault="00BD5AB5" w:rsidP="00BD5AB5">
      <w:r>
        <w:t>††IPSS: International Prognostic Scoring System</w:t>
      </w:r>
    </w:p>
    <w:p w:rsidR="00BD5AB5" w:rsidRDefault="00BD5AB5" w:rsidP="00BD5AB5"/>
    <w:p w:rsidR="00BD5AB5" w:rsidRDefault="00BD5AB5" w:rsidP="00BD5AB5"/>
    <w:p w:rsidR="00BD5AB5" w:rsidRDefault="00BD5AB5" w:rsidP="00BD5AB5"/>
    <w:p w:rsidR="00BD5AB5" w:rsidRDefault="00BD5AB5" w:rsidP="00BD5AB5"/>
    <w:p w:rsidR="00BD5AB5" w:rsidRDefault="00BD5AB5" w:rsidP="00BD5AB5"/>
    <w:p w:rsidR="00BD5AB5" w:rsidRDefault="00BD5AB5" w:rsidP="00BD5AB5"/>
    <w:p w:rsidR="00BD5AB5" w:rsidRPr="00BD5AB5" w:rsidRDefault="00BD5AB5" w:rsidP="00BD5AB5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AB5">
        <w:rPr>
          <w:rFonts w:ascii="Times New Roman" w:eastAsia="Times New Roman" w:hAnsi="Times New Roman" w:cs="Times New Roman"/>
          <w:sz w:val="24"/>
          <w:szCs w:val="24"/>
        </w:rPr>
        <w:t>Supplementary Table 2. Outcomes including Objective Response Rate (ORR), Overall Survival (OS), and Treatment Modification from articles and abstracts included in the systematic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9"/>
        <w:gridCol w:w="1867"/>
        <w:gridCol w:w="1793"/>
        <w:gridCol w:w="4195"/>
        <w:gridCol w:w="3256"/>
      </w:tblGrid>
      <w:tr w:rsidR="00BD5AB5" w:rsidRPr="00BD5AB5" w:rsidTr="00BD5AB5">
        <w:trPr>
          <w:trHeight w:val="20"/>
        </w:trPr>
        <w:tc>
          <w:tcPr>
            <w:tcW w:w="0" w:type="auto"/>
            <w:hideMark/>
          </w:tcPr>
          <w:p w:rsidR="00BD5AB5" w:rsidRPr="00BD5AB5" w:rsidRDefault="00BD5AB5" w:rsidP="00BD5AB5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sz w:val="16"/>
                <w:szCs w:val="16"/>
              </w:rPr>
              <w:t>Study ID</w:t>
            </w:r>
          </w:p>
        </w:tc>
        <w:tc>
          <w:tcPr>
            <w:tcW w:w="0" w:type="auto"/>
            <w:hideMark/>
          </w:tcPr>
          <w:p w:rsidR="00BD5AB5" w:rsidRPr="00BD5AB5" w:rsidRDefault="00BD5AB5" w:rsidP="00BD5AB5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sz w:val="16"/>
                <w:szCs w:val="16"/>
              </w:rPr>
              <w:t>Azacitidine dosing schedule</w:t>
            </w:r>
          </w:p>
        </w:tc>
        <w:tc>
          <w:tcPr>
            <w:tcW w:w="0" w:type="auto"/>
            <w:hideMark/>
          </w:tcPr>
          <w:p w:rsidR="00BD5AB5" w:rsidRPr="00BD5AB5" w:rsidRDefault="00BD5AB5" w:rsidP="00BD5AB5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sz w:val="16"/>
                <w:szCs w:val="16"/>
              </w:rPr>
              <w:t>Objective response rate (%)</w:t>
            </w:r>
          </w:p>
        </w:tc>
        <w:tc>
          <w:tcPr>
            <w:tcW w:w="0" w:type="auto"/>
            <w:hideMark/>
          </w:tcPr>
          <w:p w:rsidR="00BD5AB5" w:rsidRPr="00BD5AB5" w:rsidRDefault="00BD5AB5" w:rsidP="00BD5AB5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sz w:val="16"/>
                <w:szCs w:val="16"/>
              </w:rPr>
              <w:t>Overall survival (OS)</w:t>
            </w:r>
          </w:p>
        </w:tc>
        <w:tc>
          <w:tcPr>
            <w:tcW w:w="0" w:type="auto"/>
            <w:hideMark/>
          </w:tcPr>
          <w:p w:rsidR="00BD5AB5" w:rsidRPr="00BD5AB5" w:rsidRDefault="00BD5AB5" w:rsidP="00BD5AB5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sz w:val="16"/>
                <w:szCs w:val="16"/>
              </w:rPr>
              <w:t>Percentage of patients requiring Azacitidine dose</w:t>
            </w:r>
          </w:p>
          <w:p w:rsidR="00BD5AB5" w:rsidRPr="00BD5AB5" w:rsidRDefault="00BD5AB5" w:rsidP="00BD5AB5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D5AB5">
              <w:rPr>
                <w:rFonts w:ascii="Arial" w:hAnsi="Arial" w:cs="Arial"/>
                <w:b/>
                <w:sz w:val="16"/>
                <w:szCs w:val="16"/>
              </w:rPr>
              <w:lastRenderedPageBreak/>
              <w:t>reduction or discontinuation due to adverse events (%)</w:t>
            </w:r>
          </w:p>
        </w:tc>
      </w:tr>
      <w:tr w:rsidR="00924519" w:rsidRPr="00BD5AB5" w:rsidTr="00BD5AB5">
        <w:trPr>
          <w:trHeight w:val="20"/>
        </w:trPr>
        <w:tc>
          <w:tcPr>
            <w:tcW w:w="0" w:type="auto"/>
          </w:tcPr>
          <w:p w:rsidR="00924519" w:rsidRPr="00BD5AB5" w:rsidRDefault="00924519" w:rsidP="0092451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lastRenderedPageBreak/>
              <w:t>Fenaux et al. [3]</w:t>
            </w:r>
          </w:p>
        </w:tc>
        <w:tc>
          <w:tcPr>
            <w:tcW w:w="0" w:type="auto"/>
          </w:tcPr>
          <w:p w:rsidR="00924519" w:rsidRPr="00BD5AB5" w:rsidRDefault="00924519" w:rsidP="0092451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924519" w:rsidRPr="00BD5AB5" w:rsidRDefault="00924519" w:rsidP="0092451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:rsidR="00924519" w:rsidRPr="00BD5AB5" w:rsidRDefault="00924519" w:rsidP="0092451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24.5 months</w:t>
            </w:r>
          </w:p>
        </w:tc>
        <w:tc>
          <w:tcPr>
            <w:tcW w:w="0" w:type="auto"/>
          </w:tcPr>
          <w:p w:rsidR="00924519" w:rsidRPr="00BD5AB5" w:rsidRDefault="00924519" w:rsidP="0092451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Silverman et al. [13</w:t>
            </w:r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19.3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Lyons et al. [14]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5-2-2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56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34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Xicoy et al. [15]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5-2-2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33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2-yr OS: 34%, with no significant difference between the treatment groups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37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Garcia-Delgadoa et al. [16]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5-2-2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29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41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>Median OS: 13.2 monts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>Median OS: 14.9 months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19.1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14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14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Sadashiv et al. [2</w:t>
            </w:r>
            <w:r w:rsidR="003A426A">
              <w:rPr>
                <w:rFonts w:ascii="Arial" w:hAnsi="Arial" w:cs="Arial"/>
                <w:sz w:val="16"/>
                <w:szCs w:val="16"/>
              </w:rPr>
              <w:t>0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Minoia et al. [2</w:t>
            </w:r>
            <w:r w:rsidR="003A426A">
              <w:rPr>
                <w:rFonts w:ascii="Arial" w:hAnsi="Arial" w:cs="Arial"/>
                <w:sz w:val="16"/>
                <w:szCs w:val="16"/>
              </w:rPr>
              <w:t>1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9.6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Drummond et al. [2</w:t>
            </w:r>
            <w:r w:rsidR="003A426A">
              <w:rPr>
                <w:rFonts w:ascii="Arial" w:hAnsi="Arial" w:cs="Arial"/>
                <w:sz w:val="16"/>
                <w:szCs w:val="16"/>
              </w:rPr>
              <w:t>2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5-2-2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Fianchi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23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Ballya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24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15.6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Breccia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25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5-2-2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16.4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Breccia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26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5-2-2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63*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21 months (low risk FPSS)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 xml:space="preserve">                    15 months (intermediate risk FPSS)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lastRenderedPageBreak/>
              <w:t xml:space="preserve">                    11 months (high risk FPSS)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lastRenderedPageBreak/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Douvali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27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10.4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Duong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28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14.5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Ettou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29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Fianchi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30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21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Fil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31</w:t>
            </w:r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28.5 month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Gryna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32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Itzykson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33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15.3-17.5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Itzykson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34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44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>Median OS: 14.3 months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>Median OS: 10.3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O’Reilly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35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Lee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36</w:t>
            </w:r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OS (2-year): 42.1%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IPSS Int-1 MDS: median OS 19.9 months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IPSS Int-2/Hi MDS: median OS 16.8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Lee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37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23.2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Al-Ali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38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3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Martin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39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14.8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Moon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40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20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Muller-Thomas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41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15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Muller-Thomas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42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12.6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O’Reilly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43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20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NR**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Ozbalak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44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OS 28% with median follow-up 13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sz w:val="16"/>
                <w:szCs w:val="16"/>
              </w:rPr>
            </w:pPr>
            <w:r w:rsidRPr="00BD5AB5">
              <w:rPr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095E8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Papoutselis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45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>Median OS: 11.8 months</w:t>
            </w:r>
          </w:p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>OS (1-year): 46%, OS (2-year): 23%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Pierdomenico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46</w:t>
            </w:r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19.3 months. 40% of patients alive at median follow-up of 14.3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16B74" w:rsidRPr="00BD5AB5" w:rsidTr="00BD5AB5">
        <w:trPr>
          <w:trHeight w:val="20"/>
        </w:trPr>
        <w:tc>
          <w:tcPr>
            <w:tcW w:w="0" w:type="auto"/>
            <w:hideMark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Tobiasson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47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 xml:space="preserve">At </w:t>
            </w:r>
            <w:proofErr w:type="gramStart"/>
            <w:r w:rsidRPr="00BD5AB5">
              <w:rPr>
                <w:rFonts w:ascii="Arial" w:hAnsi="Arial" w:cs="Arial"/>
                <w:sz w:val="16"/>
                <w:szCs w:val="16"/>
              </w:rPr>
              <w:t>30 month</w:t>
            </w:r>
            <w:proofErr w:type="gramEnd"/>
            <w:r w:rsidRPr="00BD5AB5">
              <w:rPr>
                <w:rFonts w:ascii="Arial" w:hAnsi="Arial" w:cs="Arial"/>
                <w:sz w:val="16"/>
                <w:szCs w:val="16"/>
              </w:rPr>
              <w:t xml:space="preserve"> follow-up: OS 60%</w:t>
            </w:r>
          </w:p>
        </w:tc>
        <w:tc>
          <w:tcPr>
            <w:tcW w:w="0" w:type="auto"/>
            <w:hideMark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216B74" w:rsidRPr="00BD5AB5" w:rsidTr="00AD0631">
        <w:trPr>
          <w:trHeight w:val="20"/>
        </w:trPr>
        <w:tc>
          <w:tcPr>
            <w:tcW w:w="0" w:type="auto"/>
          </w:tcPr>
          <w:p w:rsidR="00216B74" w:rsidRPr="00BD5AB5" w:rsidRDefault="00265EED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Diamantopoulos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48</w:t>
            </w:r>
            <w:r w:rsidR="00216B74"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73</w:t>
            </w:r>
          </w:p>
        </w:tc>
      </w:tr>
      <w:tr w:rsidR="00216B74" w:rsidRPr="00BD5AB5" w:rsidTr="00924519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65EED">
              <w:rPr>
                <w:rFonts w:ascii="Arial" w:hAnsi="Arial" w:cs="Arial"/>
                <w:sz w:val="16"/>
                <w:szCs w:val="16"/>
              </w:rPr>
              <w:t>assweg</w:t>
            </w:r>
            <w:proofErr w:type="spellEnd"/>
            <w:r w:rsidR="00265EED">
              <w:rPr>
                <w:rFonts w:ascii="Arial" w:hAnsi="Arial" w:cs="Arial"/>
                <w:sz w:val="16"/>
                <w:szCs w:val="16"/>
              </w:rPr>
              <w:t xml:space="preserve"> et al. [</w:t>
            </w:r>
            <w:r w:rsidR="003A426A">
              <w:rPr>
                <w:rFonts w:ascii="Arial" w:hAnsi="Arial" w:cs="Arial"/>
                <w:sz w:val="16"/>
                <w:szCs w:val="16"/>
              </w:rPr>
              <w:t>49</w:t>
            </w:r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5-0-0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6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AD0631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 xml:space="preserve">Van der Helm et al. </w:t>
            </w:r>
            <w:r w:rsidR="00095E8D">
              <w:rPr>
                <w:rFonts w:ascii="Arial" w:hAnsi="Arial" w:cs="Arial"/>
                <w:sz w:val="16"/>
                <w:szCs w:val="16"/>
              </w:rPr>
              <w:t>[</w:t>
            </w:r>
            <w:r w:rsidR="003A426A">
              <w:rPr>
                <w:rFonts w:ascii="Arial" w:hAnsi="Arial" w:cs="Arial"/>
                <w:sz w:val="16"/>
                <w:szCs w:val="16"/>
              </w:rPr>
              <w:t>50</w:t>
            </w:r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Median OS: 12.3 months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  <w:tr w:rsidR="00216B74" w:rsidRPr="00BD5AB5" w:rsidTr="00924519">
        <w:trPr>
          <w:trHeight w:val="20"/>
        </w:trPr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  <w:lang w:val="es-MX"/>
              </w:rPr>
              <w:t xml:space="preserve">van der Helm et al. </w:t>
            </w:r>
            <w:r w:rsidR="00265EED">
              <w:rPr>
                <w:rFonts w:ascii="Arial" w:hAnsi="Arial" w:cs="Arial"/>
                <w:sz w:val="16"/>
                <w:szCs w:val="16"/>
              </w:rPr>
              <w:t>[</w:t>
            </w:r>
            <w:r w:rsidR="003A426A">
              <w:rPr>
                <w:rFonts w:ascii="Arial" w:hAnsi="Arial" w:cs="Arial"/>
                <w:sz w:val="16"/>
                <w:szCs w:val="16"/>
              </w:rPr>
              <w:t>51</w:t>
            </w:r>
            <w:bookmarkStart w:id="0" w:name="_GoBack"/>
            <w:bookmarkEnd w:id="0"/>
            <w:r w:rsidRPr="00BD5AB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7-0-0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:rsidR="00216B74" w:rsidRPr="00BD5AB5" w:rsidRDefault="00216B74" w:rsidP="00216B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D5AB5">
              <w:rPr>
                <w:rFonts w:ascii="Arial" w:hAnsi="Arial" w:cs="Arial"/>
                <w:sz w:val="16"/>
                <w:szCs w:val="16"/>
              </w:rPr>
              <w:t>NR</w:t>
            </w:r>
          </w:p>
        </w:tc>
      </w:tr>
    </w:tbl>
    <w:p w:rsidR="00BD5AB5" w:rsidRPr="00BD5AB5" w:rsidRDefault="00BD5AB5" w:rsidP="00BD5AB5">
      <w:pPr>
        <w:spacing w:after="8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5AB5">
        <w:rPr>
          <w:rFonts w:ascii="Times New Roman" w:eastAsia="Times New Roman" w:hAnsi="Times New Roman" w:cs="Times New Roman"/>
          <w:sz w:val="24"/>
          <w:szCs w:val="24"/>
        </w:rPr>
        <w:t>*ORR is 63% in the group with MDS and second simultaneous cancer, and 69% in the group with secondary MDS or AML</w:t>
      </w:r>
    </w:p>
    <w:p w:rsidR="00BD5AB5" w:rsidRPr="00BD5AB5" w:rsidRDefault="00BD5AB5" w:rsidP="00BD5AB5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AB5">
        <w:rPr>
          <w:rFonts w:ascii="Times New Roman" w:eastAsia="Times New Roman" w:hAnsi="Times New Roman" w:cs="Times New Roman"/>
          <w:sz w:val="24"/>
          <w:szCs w:val="24"/>
        </w:rPr>
        <w:t>**NR: not reported</w:t>
      </w:r>
    </w:p>
    <w:p w:rsidR="00332EF4" w:rsidRDefault="00332EF4" w:rsidP="00332EF4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EF4" w:rsidRDefault="00332EF4" w:rsidP="00332EF4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EF4" w:rsidRPr="00332EF4" w:rsidRDefault="00332EF4" w:rsidP="00332EF4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32EF4">
        <w:rPr>
          <w:rFonts w:ascii="Times New Roman" w:eastAsia="Times New Roman" w:hAnsi="Times New Roman" w:cs="Times New Roman"/>
          <w:sz w:val="24"/>
          <w:szCs w:val="24"/>
        </w:rPr>
        <w:t xml:space="preserve">Supplementary Table 3. Comparison of the objective response rate (ORR) as defined by the IWG 2000 </w:t>
      </w:r>
      <w:r w:rsidR="00D158CB">
        <w:rPr>
          <w:rFonts w:ascii="Times New Roman" w:eastAsia="Times New Roman" w:hAnsi="Times New Roman" w:cs="Times New Roman"/>
          <w:sz w:val="24"/>
          <w:szCs w:val="24"/>
        </w:rPr>
        <w:t>and IWG 2006 criteria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0"/>
        <w:gridCol w:w="6730"/>
      </w:tblGrid>
      <w:tr w:rsidR="00332EF4" w:rsidRPr="00332EF4" w:rsidTr="00332EF4"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ORR (IWG 2006) = CR + PR + HI</w:t>
            </w:r>
          </w:p>
        </w:tc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ORR (IWG 2000) = CR + PR + HI</w:t>
            </w:r>
          </w:p>
        </w:tc>
      </w:tr>
      <w:tr w:rsidR="00332EF4" w:rsidRPr="00332EF4" w:rsidTr="00332EF4"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CR*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5% marrow blasts without evidence of dysplasia 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normalization of peripheral blood counts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Hemoglobin &gt; 11 g/dL 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Neutrophil count &gt; 1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Platelet count &gt; 100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Marrow CR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Bone marrow &lt; 5% myeloblasts and decrease &gt; 50% over pretreatment 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Peripheral blood: if HI responses, they are noted in addition to marrow CR    </w:t>
            </w:r>
          </w:p>
        </w:tc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&lt; 5% marrow myeloblasts with normal maturation of all cell lines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Normalization of peripheral blood counts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Hemoglobin &gt; 11 g/dL 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Neutrophil count &gt; 1.5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Platelet count &gt; 100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EF4" w:rsidRPr="00332EF4" w:rsidTr="00332EF4"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Marrow blasts decrease by 50% or more compared to pretreatment levels but still &gt; 5%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normalization of peripheral blood counts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Hemoglobin &gt; 11 g/dL 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Neutrophil count &gt; 1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Platelet count &gt; 100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Marrow blasts decrease by 50% or more compared to pretreatment levels, or less advanced MDS FAB classification than pretreatment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normalization of peripheral blood counts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Hemoglobin &gt; 11 g/dL 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Neutrophil count &gt; 1.5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Platelet count &gt; 100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EF4" w:rsidRPr="00332EF4" w:rsidTr="00332EF4"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Cytogenetic response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Complete: disappearance of chromosomal abnormality without appearance of new one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Partial: 50% or more reduction of chromosomal abnormality</w:t>
            </w:r>
          </w:p>
        </w:tc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Cytogenetic response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Major: no detectable cytogenetic abnormality</w:t>
            </w:r>
          </w:p>
          <w:p w:rsidR="00332EF4" w:rsidRPr="00332EF4" w:rsidRDefault="00332EF4" w:rsidP="00332EF4">
            <w:pPr>
              <w:numPr>
                <w:ilvl w:val="0"/>
                <w:numId w:val="6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Minor: 50% or more reduction of abnormal metaphase</w:t>
            </w:r>
          </w:p>
        </w:tc>
      </w:tr>
      <w:tr w:rsidR="00332EF4" w:rsidRPr="00332EF4" w:rsidTr="00332EF4"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Hematologic improvement (HI)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 = HI-E + HI-P + HI-N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HI-E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patients with pretreatment Hb &lt; 11 g/dL, greater than 1.5 g/dL increase in hemoglobin; for RBC transfusion-dependent patients, reduction of at least 4 RBC transfusions over </w:t>
            </w:r>
            <w:proofErr w:type="gramStart"/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8 week</w:t>
            </w:r>
            <w:proofErr w:type="gramEnd"/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period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HI-P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for patients with pretreatment platelet count &gt; 20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/L, an absolute increase of 30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 or more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increase from &lt; 20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 to &gt; 20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 and by at least 100%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HI-N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 least 100% increase and an absolute increase </w:t>
            </w:r>
            <w:proofErr w:type="gramStart"/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of  &gt;</w:t>
            </w:r>
            <w:proofErr w:type="gramEnd"/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0.5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/L </w:t>
            </w:r>
          </w:p>
        </w:tc>
        <w:tc>
          <w:tcPr>
            <w:tcW w:w="0" w:type="auto"/>
          </w:tcPr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Hematologic improvement (HI)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 = HI-E + HI-P + HI-N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HI-E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Major: for patients with pretreatment Hb &lt; 11 g/dL, greater than 2 g/dL increase in hemoglobin; for RBC transfusion-dependent patients, transfusion independence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Minor: for patients with pretreatment Hb &lt; 11 g/dL, 1-2 g/dL increase in hemoglobin; for RBC transfusion-dependent patients, 50% decrease in transfusion requirements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HI-P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Major: for patients with pretreatment platelet count &lt; 100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/L, an absolute increase of 30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 or more; for platelet transfusion-dependent patient, stabilization of platelet counts and transfusion independence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Minor:  for patients with pretreatment platelet count &lt; 100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/L, a 50% or more increase in platelet count with a net increase greater than 10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 but less than 30 x 10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EF4" w:rsidRPr="00332EF4" w:rsidRDefault="00332EF4" w:rsidP="00332EF4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HI-N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Major: for absolute neutrophil count less than 1500/mm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before therapy, at least 100% increase, or an absolute increase of more than 500/mm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, whichever is greater</w:t>
            </w:r>
          </w:p>
          <w:p w:rsidR="00332EF4" w:rsidRPr="00332EF4" w:rsidRDefault="00332EF4" w:rsidP="00332EF4">
            <w:pPr>
              <w:numPr>
                <w:ilvl w:val="0"/>
                <w:numId w:val="5"/>
              </w:num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Minor: for absolute neutrophil count less than 1500/mm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</w:rPr>
              <w:t>before therapy, at least 100% increase but absolute increase less than 500/mm</w:t>
            </w:r>
            <w:r w:rsidRPr="00332E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332EF4" w:rsidRPr="00332EF4" w:rsidRDefault="00332EF4" w:rsidP="00332EF4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EF4">
        <w:rPr>
          <w:rFonts w:ascii="Times New Roman" w:eastAsia="Times New Roman" w:hAnsi="Times New Roman" w:cs="Times New Roman"/>
          <w:sz w:val="24"/>
          <w:szCs w:val="24"/>
        </w:rPr>
        <w:lastRenderedPageBreak/>
        <w:t>*CR: complete response, PR: partial response, HI: hematologic improvement, HI-E: hematologic improvement-erythroid, HI-P: hematologic improvement-platelet, HI-N: hematologic improvement-neutrophil</w:t>
      </w:r>
    </w:p>
    <w:p w:rsidR="00BD5AB5" w:rsidRDefault="00BD5AB5" w:rsidP="00BD5AB5"/>
    <w:p w:rsidR="00332EF4" w:rsidRDefault="00332EF4" w:rsidP="00BD5AB5"/>
    <w:p w:rsidR="00332EF4" w:rsidRDefault="00332EF4" w:rsidP="00BD5AB5"/>
    <w:p w:rsidR="00332EF4" w:rsidRDefault="00332EF4" w:rsidP="00BD5AB5"/>
    <w:p w:rsidR="00BD5AB5" w:rsidRDefault="00BD5AB5" w:rsidP="00BD5AB5"/>
    <w:p w:rsidR="00BD5AB5" w:rsidRPr="00BD5AB5" w:rsidRDefault="00BD5AB5" w:rsidP="00BD5AB5"/>
    <w:sectPr w:rsidR="00BD5AB5" w:rsidRPr="00BD5AB5" w:rsidSect="00BD5A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C30BF"/>
    <w:multiLevelType w:val="hybridMultilevel"/>
    <w:tmpl w:val="2074898E"/>
    <w:lvl w:ilvl="0" w:tplc="2DBCD2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2124"/>
    <w:multiLevelType w:val="hybridMultilevel"/>
    <w:tmpl w:val="67C8E338"/>
    <w:lvl w:ilvl="0" w:tplc="3E9EB8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910F7"/>
    <w:multiLevelType w:val="hybridMultilevel"/>
    <w:tmpl w:val="3E081B9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00B84"/>
    <w:multiLevelType w:val="hybridMultilevel"/>
    <w:tmpl w:val="5D6C824E"/>
    <w:lvl w:ilvl="0" w:tplc="29E6D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61A8F"/>
    <w:multiLevelType w:val="hybridMultilevel"/>
    <w:tmpl w:val="649C0CDE"/>
    <w:lvl w:ilvl="0" w:tplc="26ACF4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FB2F7E"/>
    <w:multiLevelType w:val="hybridMultilevel"/>
    <w:tmpl w:val="3E081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B5"/>
    <w:rsid w:val="00035AA3"/>
    <w:rsid w:val="000772C1"/>
    <w:rsid w:val="00095E8D"/>
    <w:rsid w:val="0014086A"/>
    <w:rsid w:val="001C5C49"/>
    <w:rsid w:val="00216B74"/>
    <w:rsid w:val="00265EED"/>
    <w:rsid w:val="00267E49"/>
    <w:rsid w:val="002E26D5"/>
    <w:rsid w:val="00332EF4"/>
    <w:rsid w:val="003A426A"/>
    <w:rsid w:val="00586475"/>
    <w:rsid w:val="0061460C"/>
    <w:rsid w:val="00924519"/>
    <w:rsid w:val="00931EB3"/>
    <w:rsid w:val="00AD0631"/>
    <w:rsid w:val="00BD5AB5"/>
    <w:rsid w:val="00D158CB"/>
    <w:rsid w:val="00ED7D7C"/>
    <w:rsid w:val="00F405A6"/>
    <w:rsid w:val="00F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97B1"/>
  <w15:chartTrackingRefBased/>
  <w15:docId w15:val="{37E6DADD-178A-4915-B009-1E14E093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5AB5"/>
    <w:pPr>
      <w:spacing w:after="9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D5AB5"/>
    <w:pPr>
      <w:spacing w:after="9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Heading6">
    <w:name w:val="heading 6"/>
    <w:basedOn w:val="Normal"/>
    <w:link w:val="Heading6Char"/>
    <w:uiPriority w:val="9"/>
    <w:qFormat/>
    <w:rsid w:val="00BD5AB5"/>
    <w:pPr>
      <w:spacing w:after="90" w:line="240" w:lineRule="auto"/>
      <w:outlineLvl w:val="5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AB5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D5A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D5AB5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BD5AB5"/>
    <w:rPr>
      <w:rFonts w:ascii="Times New Roman" w:eastAsia="Times New Roman" w:hAnsi="Times New Roman" w:cs="Times New Roman"/>
      <w:i/>
      <w:i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BD5AB5"/>
  </w:style>
  <w:style w:type="paragraph" w:styleId="ListParagraph">
    <w:name w:val="List Paragraph"/>
    <w:basedOn w:val="Normal"/>
    <w:uiPriority w:val="34"/>
    <w:qFormat/>
    <w:rsid w:val="00BD5AB5"/>
    <w:pPr>
      <w:spacing w:after="8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D5A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ypec2cprintcontainer">
    <w:name w:val="skype_c2c_print_container"/>
    <w:basedOn w:val="DefaultParagraphFont"/>
    <w:rsid w:val="00BD5AB5"/>
  </w:style>
  <w:style w:type="character" w:customStyle="1" w:styleId="skypec2ctextspan">
    <w:name w:val="skype_c2c_text_span"/>
    <w:basedOn w:val="DefaultParagraphFont"/>
    <w:rsid w:val="00BD5AB5"/>
  </w:style>
  <w:style w:type="paragraph" w:styleId="Header">
    <w:name w:val="header"/>
    <w:basedOn w:val="Normal"/>
    <w:link w:val="HeaderChar"/>
    <w:uiPriority w:val="99"/>
    <w:rsid w:val="00BD5AB5"/>
    <w:pPr>
      <w:tabs>
        <w:tab w:val="center" w:pos="4680"/>
        <w:tab w:val="right" w:pos="9360"/>
      </w:tabs>
      <w:spacing w:after="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D5A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D5AB5"/>
    <w:pPr>
      <w:tabs>
        <w:tab w:val="center" w:pos="4680"/>
        <w:tab w:val="right" w:pos="9360"/>
      </w:tabs>
      <w:spacing w:after="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D5AB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5AB5"/>
  </w:style>
  <w:style w:type="character" w:styleId="CommentReference">
    <w:name w:val="annotation reference"/>
    <w:basedOn w:val="DefaultParagraphFont"/>
    <w:rsid w:val="00BD5A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5AB5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D5AB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D5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5A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BD5AB5"/>
    <w:pPr>
      <w:spacing w:after="8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5AB5"/>
    <w:rPr>
      <w:rFonts w:ascii="Segoe UI" w:eastAsia="Times New Roman" w:hAnsi="Segoe UI" w:cs="Segoe UI"/>
      <w:sz w:val="18"/>
      <w:szCs w:val="18"/>
    </w:rPr>
  </w:style>
  <w:style w:type="paragraph" w:customStyle="1" w:styleId="Title1">
    <w:name w:val="Title1"/>
    <w:basedOn w:val="Normal"/>
    <w:rsid w:val="00BD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BD5AB5"/>
    <w:rPr>
      <w:color w:val="0000FF"/>
      <w:u w:val="single"/>
    </w:rPr>
  </w:style>
  <w:style w:type="paragraph" w:customStyle="1" w:styleId="desc">
    <w:name w:val="desc"/>
    <w:basedOn w:val="Normal"/>
    <w:rsid w:val="00BD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details">
    <w:name w:val="details"/>
    <w:basedOn w:val="Normal"/>
    <w:rsid w:val="00BD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BD5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Shapiro</dc:creator>
  <cp:keywords/>
  <dc:description/>
  <cp:lastModifiedBy>Roman Shapiro</cp:lastModifiedBy>
  <cp:revision>2</cp:revision>
  <dcterms:created xsi:type="dcterms:W3CDTF">2017-12-22T22:31:00Z</dcterms:created>
  <dcterms:modified xsi:type="dcterms:W3CDTF">2017-12-22T22:31:00Z</dcterms:modified>
</cp:coreProperties>
</file>