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B3" w:rsidRPr="00CB017F" w:rsidRDefault="00AB0754" w:rsidP="00AE3EB3">
      <w:pPr>
        <w:pStyle w:val="Titolo1"/>
      </w:pPr>
      <w:r>
        <w:t>Additional file 1</w:t>
      </w:r>
      <w:r w:rsidR="005105DC">
        <w:t xml:space="preserve">: </w:t>
      </w:r>
      <w:r w:rsidR="00AE3EB3">
        <w:t xml:space="preserve">Laboratory </w:t>
      </w:r>
      <w:r w:rsidR="00CF3DF7">
        <w:t>methods</w:t>
      </w:r>
    </w:p>
    <w:p w:rsidR="00AE3EB3" w:rsidRDefault="00AE3EB3" w:rsidP="00AE3EB3">
      <w:pPr>
        <w:pStyle w:val="Titolo2"/>
      </w:pPr>
      <w:r>
        <w:t>Hematochemi</w:t>
      </w:r>
      <w:r w:rsidR="00B23154">
        <w:t>stry</w:t>
      </w:r>
      <w:r>
        <w:t xml:space="preserve"> laboratory assays</w:t>
      </w:r>
    </w:p>
    <w:p w:rsidR="00AE3EB3" w:rsidRDefault="00AE3EB3" w:rsidP="00AE3EB3">
      <w:r>
        <w:t>Blood glucose, creatinine, ALT, amylase, potassium and lattate were assessed by</w:t>
      </w:r>
      <w:r w:rsidRPr="001F50AE">
        <w:t xml:space="preserve"> Reflotron Plus Clinical Chemistry Analyser</w:t>
      </w:r>
      <w:r>
        <w:t xml:space="preserve"> </w:t>
      </w:r>
      <w:r w:rsidRPr="001F50AE">
        <w:t>(Roche   Diagnostics</w:t>
      </w:r>
      <w:r>
        <w:t xml:space="preserve">, </w:t>
      </w:r>
      <w:r w:rsidRPr="001F50AE">
        <w:t>Rotkreuz</w:t>
      </w:r>
      <w:r w:rsidR="003C387D">
        <w:t>,</w:t>
      </w:r>
      <w:r>
        <w:t xml:space="preserve"> </w:t>
      </w:r>
      <w:r w:rsidRPr="001F50AE">
        <w:t>Switzerland)</w:t>
      </w:r>
      <w:r>
        <w:t>. Gas analyses was carried out by GEM Premier 3</w:t>
      </w:r>
      <w:r w:rsidRPr="007A2DF2">
        <w:t xml:space="preserve">000 </w:t>
      </w:r>
      <w:r>
        <w:t>(</w:t>
      </w:r>
      <w:r w:rsidRPr="007A2DF2">
        <w:t>Werfen</w:t>
      </w:r>
      <w:r>
        <w:t>, Barcelona, Spain</w:t>
      </w:r>
      <w:r w:rsidRPr="007A2DF2">
        <w:t>)</w:t>
      </w:r>
      <w:r>
        <w:t xml:space="preserve">. </w:t>
      </w:r>
      <w:r w:rsidRPr="00EC4CCE">
        <w:t xml:space="preserve">ABX Micros ES 60 </w:t>
      </w:r>
      <w:r w:rsidRPr="007A2DF2">
        <w:t>Hematology analyzer (</w:t>
      </w:r>
      <w:r w:rsidRPr="000B736B">
        <w:t xml:space="preserve">Horiba, </w:t>
      </w:r>
      <w:r w:rsidRPr="000B736B">
        <w:rPr>
          <w:rStyle w:val="apple-converted-space"/>
          <w:rFonts w:ascii="Arial" w:hAnsi="Arial" w:cs="Arial"/>
          <w:b/>
          <w:bCs/>
          <w:color w:val="222222"/>
          <w:shd w:val="clear" w:color="auto" w:fill="FFFFFF"/>
        </w:rPr>
        <w:t> </w:t>
      </w:r>
      <w:hyperlink r:id="rId7" w:history="1">
        <w:r w:rsidRPr="00400D65">
          <w:t>Kyoto</w:t>
        </w:r>
      </w:hyperlink>
      <w:r w:rsidRPr="00400D65">
        <w:rPr>
          <w:rFonts w:eastAsia="MS Gothic"/>
        </w:rPr>
        <w:t>, Japan</w:t>
      </w:r>
      <w:r w:rsidRPr="007A2DF2">
        <w:t xml:space="preserve">) </w:t>
      </w:r>
      <w:r>
        <w:t xml:space="preserve">was used </w:t>
      </w:r>
      <w:r w:rsidRPr="007A2DF2">
        <w:t>for complete blood count</w:t>
      </w:r>
      <w:r>
        <w:t xml:space="preserve">. International normalized ratio (INR) was assessed by </w:t>
      </w:r>
      <w:r w:rsidRPr="00EC4CCE">
        <w:t>Hemochron® Signature Plus Microcoagulation</w:t>
      </w:r>
      <w:r w:rsidRPr="007D6363">
        <w:t xml:space="preserve"> </w:t>
      </w:r>
      <w:r>
        <w:t>system (Cremascoli &amp; Iris</w:t>
      </w:r>
      <w:r w:rsidRPr="00EC4CCE">
        <w:t>)</w:t>
      </w:r>
      <w:r w:rsidR="003C387D">
        <w:t xml:space="preserve">. </w:t>
      </w:r>
      <w:r>
        <w:t xml:space="preserve"> </w:t>
      </w:r>
    </w:p>
    <w:p w:rsidR="00AE3EB3" w:rsidRDefault="00AE3EB3" w:rsidP="00AE3EB3">
      <w:pPr>
        <w:pStyle w:val="Titolo2"/>
      </w:pPr>
      <w:r>
        <w:t>Microbiological assays</w:t>
      </w:r>
    </w:p>
    <w:p w:rsidR="00AE3EB3" w:rsidRDefault="00AE3EB3" w:rsidP="00AE3EB3">
      <w:r>
        <w:t xml:space="preserve">Potential coinfection with </w:t>
      </w:r>
      <w:r w:rsidRPr="0016768F">
        <w:t xml:space="preserve">Malaria </w:t>
      </w:r>
      <w:r>
        <w:t xml:space="preserve">was assessed through </w:t>
      </w:r>
      <w:r w:rsidRPr="0016768F">
        <w:t>antigen detection BinaxNOW® Malaria test (</w:t>
      </w:r>
      <w:r>
        <w:t>Alere Inc, Scarborough, ME, USA</w:t>
      </w:r>
      <w:r w:rsidRPr="0016768F">
        <w:t>)</w:t>
      </w:r>
      <w:r>
        <w:t xml:space="preserve"> and with in-house specific PCR.</w:t>
      </w:r>
      <w:r w:rsidRPr="001F50AE">
        <w:t>[</w:t>
      </w:r>
      <w:r w:rsidRPr="001F50AE">
        <w:endnoteReference w:id="1"/>
      </w:r>
      <w:r w:rsidRPr="001F50AE">
        <w:t>]</w:t>
      </w:r>
    </w:p>
    <w:p w:rsidR="00AE3EB3" w:rsidRDefault="00AE3EB3" w:rsidP="00AE3EB3">
      <w:r>
        <w:t xml:space="preserve">Dengue virus </w:t>
      </w:r>
      <w:r w:rsidRPr="00EB6263">
        <w:t>NS1 Ag + IgG/IgM</w:t>
      </w:r>
      <w:r>
        <w:t xml:space="preserve"> detection was performed with the rapid POCT </w:t>
      </w:r>
      <w:r w:rsidRPr="00EB6263">
        <w:t>SD BIOLINE Dengue Duo</w:t>
      </w:r>
      <w:r>
        <w:t xml:space="preserve"> (Standard Diagnostics Inc. Gyeonggi-do, Republic of Korea)</w:t>
      </w:r>
      <w:r w:rsidR="003C387D">
        <w:t>.</w:t>
      </w:r>
    </w:p>
    <w:p w:rsidR="00AE3EB3" w:rsidRDefault="00AE3EB3" w:rsidP="00AE3EB3">
      <w:r w:rsidRPr="000C665F">
        <w:t>Blood culture</w:t>
      </w:r>
      <w:r>
        <w:t>s</w:t>
      </w:r>
      <w:r w:rsidRPr="000C665F">
        <w:t xml:space="preserve"> were performed </w:t>
      </w:r>
      <w:r>
        <w:t>by</w:t>
      </w:r>
      <w:r w:rsidRPr="000C665F">
        <w:t xml:space="preserve"> </w:t>
      </w:r>
      <w:r>
        <w:t xml:space="preserve">non-automated procedure using </w:t>
      </w:r>
      <w:r w:rsidRPr="0016768F">
        <w:t>Hemoline DUO</w:t>
      </w:r>
      <w:r>
        <w:t xml:space="preserve"> blood culture bottles  </w:t>
      </w:r>
      <w:r w:rsidRPr="000C665F">
        <w:t xml:space="preserve">  </w:t>
      </w:r>
      <w:r>
        <w:t>(</w:t>
      </w:r>
      <w:r w:rsidRPr="0016768F">
        <w:t>Biomerieux</w:t>
      </w:r>
      <w:r>
        <w:t>, Craponne, France</w:t>
      </w:r>
      <w:r w:rsidRPr="0016768F">
        <w:t>)</w:t>
      </w:r>
      <w:r>
        <w:t>.</w:t>
      </w:r>
    </w:p>
    <w:p w:rsidR="00AE3EB3" w:rsidRPr="00E061E0" w:rsidRDefault="00AE3EB3" w:rsidP="00AE3EB3">
      <w:pPr>
        <w:rPr>
          <w:rFonts w:eastAsia="Calibri"/>
        </w:rPr>
      </w:pPr>
      <w:r>
        <w:t>Presence of m</w:t>
      </w:r>
      <w:r w:rsidRPr="00E061E0">
        <w:rPr>
          <w:rFonts w:eastAsia="Calibri"/>
        </w:rPr>
        <w:t>icrobial DNA</w:t>
      </w:r>
      <w:r>
        <w:t xml:space="preserve"> was assesses </w:t>
      </w:r>
      <w:r w:rsidR="003C387D">
        <w:t xml:space="preserve">on nucleic acids extracted </w:t>
      </w:r>
      <w:r w:rsidR="00581A93">
        <w:t xml:space="preserve">with the </w:t>
      </w:r>
      <w:r w:rsidR="00581A93">
        <w:rPr>
          <w:lang w:val="en-GB"/>
        </w:rPr>
        <w:t>automated QIAcube system (Qiagen,</w:t>
      </w:r>
      <w:r w:rsidR="00581A93" w:rsidRPr="00581A93">
        <w:rPr>
          <w:rFonts w:eastAsia="Calibri"/>
        </w:rPr>
        <w:t xml:space="preserve"> </w:t>
      </w:r>
      <w:r w:rsidR="00581A93" w:rsidRPr="00E061E0">
        <w:rPr>
          <w:rFonts w:eastAsia="Calibri"/>
        </w:rPr>
        <w:t>Hilden, Germany</w:t>
      </w:r>
      <w:r w:rsidR="00581A93">
        <w:rPr>
          <w:lang w:val="en-GB"/>
        </w:rPr>
        <w:t xml:space="preserve">), using the </w:t>
      </w:r>
      <w:r w:rsidR="00581A93" w:rsidRPr="00E061E0">
        <w:rPr>
          <w:rFonts w:eastAsia="Calibri"/>
        </w:rPr>
        <w:t>QIAamp DNA mini kit</w:t>
      </w:r>
      <w:r w:rsidR="00581A93">
        <w:rPr>
          <w:lang w:val="en-GB"/>
        </w:rPr>
        <w:t xml:space="preserve">  for </w:t>
      </w:r>
      <w:r w:rsidR="003C387D" w:rsidRPr="00E061E0">
        <w:rPr>
          <w:rFonts w:eastAsia="Calibri"/>
        </w:rPr>
        <w:t>EDTA-blood</w:t>
      </w:r>
      <w:r w:rsidR="003C387D">
        <w:t xml:space="preserve">  and bronc</w:t>
      </w:r>
      <w:r w:rsidR="00581A93">
        <w:t>hial a</w:t>
      </w:r>
      <w:r w:rsidR="003C387D">
        <w:t>spirate</w:t>
      </w:r>
      <w:r w:rsidR="00581A93">
        <w:t xml:space="preserve">, and </w:t>
      </w:r>
      <w:r w:rsidR="003C387D">
        <w:t xml:space="preserve"> </w:t>
      </w:r>
      <w:r w:rsidR="00581A93">
        <w:rPr>
          <w:lang w:val="en-GB"/>
        </w:rPr>
        <w:t xml:space="preserve">Stool DNA mini kit </w:t>
      </w:r>
      <w:r w:rsidR="00581A93">
        <w:t xml:space="preserve"> for </w:t>
      </w:r>
      <w:r w:rsidR="003C387D">
        <w:t xml:space="preserve"> stool </w:t>
      </w:r>
      <w:r w:rsidR="00581A93">
        <w:t xml:space="preserve">samples. </w:t>
      </w:r>
      <w:r w:rsidR="00581A93" w:rsidRPr="00581A93">
        <w:rPr>
          <w:lang w:val="en-GB"/>
        </w:rPr>
        <w:t xml:space="preserve"> </w:t>
      </w:r>
    </w:p>
    <w:p w:rsidR="00AE3EB3" w:rsidRDefault="00581A93" w:rsidP="00AE3EB3">
      <w:pPr>
        <w:rPr>
          <w:lang w:val="en-GB"/>
        </w:rPr>
      </w:pPr>
      <w:r>
        <w:rPr>
          <w:rFonts w:eastAsia="Calibri"/>
          <w:szCs w:val="24"/>
        </w:rPr>
        <w:t>I</w:t>
      </w:r>
      <w:r w:rsidRPr="00E061E0">
        <w:rPr>
          <w:rFonts w:eastAsia="Calibri"/>
          <w:szCs w:val="24"/>
        </w:rPr>
        <w:t>n house method</w:t>
      </w:r>
      <w:r>
        <w:rPr>
          <w:rFonts w:eastAsia="Calibri"/>
          <w:szCs w:val="24"/>
        </w:rPr>
        <w:t>s were used to perform PCR for b</w:t>
      </w:r>
      <w:r w:rsidR="003D123F">
        <w:rPr>
          <w:rFonts w:eastAsia="Calibri"/>
          <w:szCs w:val="24"/>
        </w:rPr>
        <w:t>acterial 16S</w:t>
      </w:r>
      <w:r w:rsidR="00AE3EB3" w:rsidRPr="00E061E0">
        <w:rPr>
          <w:rFonts w:eastAsia="Calibri"/>
          <w:szCs w:val="24"/>
        </w:rPr>
        <w:t xml:space="preserve"> on DNA extracted from blood</w:t>
      </w:r>
      <w:r>
        <w:rPr>
          <w:rFonts w:eastAsia="Calibri"/>
          <w:szCs w:val="24"/>
        </w:rPr>
        <w:t xml:space="preserve"> </w:t>
      </w:r>
      <w:r w:rsidR="00AE3EB3" w:rsidRPr="00E061E0">
        <w:rPr>
          <w:rFonts w:eastAsia="Calibri"/>
        </w:rPr>
        <w:t>[</w:t>
      </w:r>
      <w:r w:rsidR="00AE3EB3" w:rsidRPr="00E061E0">
        <w:rPr>
          <w:rFonts w:eastAsia="Calibri"/>
        </w:rPr>
        <w:endnoteReference w:id="2"/>
      </w:r>
      <w:r w:rsidR="00AE3EB3" w:rsidRPr="00E061E0">
        <w:rPr>
          <w:rFonts w:eastAsia="Calibri"/>
        </w:rPr>
        <w:t>]</w:t>
      </w:r>
      <w:r>
        <w:rPr>
          <w:rFonts w:eastAsia="Calibri"/>
        </w:rPr>
        <w:t>,</w:t>
      </w:r>
      <w:r w:rsidR="00AE3EB3" w:rsidRPr="00866653">
        <w:t xml:space="preserve"> for </w:t>
      </w:r>
      <w:r w:rsidR="00AE3EB3" w:rsidRPr="00866653">
        <w:rPr>
          <w:color w:val="000000"/>
        </w:rPr>
        <w:t>Salmonella spp.</w:t>
      </w:r>
      <w:r w:rsidR="00AE3EB3">
        <w:t xml:space="preserve"> </w:t>
      </w:r>
      <w:r w:rsidR="00AE3EB3" w:rsidRPr="001F50AE">
        <w:t>[</w:t>
      </w:r>
      <w:r w:rsidR="00AE3EB3" w:rsidRPr="001F50AE">
        <w:endnoteReference w:id="3"/>
      </w:r>
      <w:r w:rsidR="00AE3EB3" w:rsidRPr="001F50AE">
        <w:t>]</w:t>
      </w:r>
      <w:r w:rsidR="00AE3EB3">
        <w:t xml:space="preserve"> and </w:t>
      </w:r>
      <w:r>
        <w:t xml:space="preserve">for </w:t>
      </w:r>
      <w:r w:rsidR="00AE3EB3" w:rsidRPr="00C27383">
        <w:rPr>
          <w:i/>
        </w:rPr>
        <w:t>E.</w:t>
      </w:r>
      <w:r w:rsidR="00AE3EB3">
        <w:t xml:space="preserve"> </w:t>
      </w:r>
      <w:r w:rsidR="00AE3EB3">
        <w:rPr>
          <w:i/>
          <w:iCs/>
          <w:lang w:val="en-GB"/>
        </w:rPr>
        <w:t xml:space="preserve">histolytica </w:t>
      </w:r>
      <w:r w:rsidR="00AE3EB3">
        <w:rPr>
          <w:lang w:val="en-GB"/>
        </w:rPr>
        <w:t xml:space="preserve">and </w:t>
      </w:r>
      <w:r w:rsidR="00AE3EB3">
        <w:rPr>
          <w:i/>
          <w:iCs/>
          <w:lang w:val="en-GB"/>
        </w:rPr>
        <w:t xml:space="preserve">E. dispar </w:t>
      </w:r>
      <w:r w:rsidR="00AE3EB3" w:rsidRPr="001F50AE">
        <w:t>[</w:t>
      </w:r>
      <w:r w:rsidR="00AE3EB3" w:rsidRPr="001F50AE">
        <w:endnoteReference w:id="4"/>
      </w:r>
      <w:r w:rsidR="00AE3EB3" w:rsidRPr="001F50AE">
        <w:t>]</w:t>
      </w:r>
      <w:r w:rsidR="00AE3EB3" w:rsidRPr="00866653">
        <w:t xml:space="preserve"> </w:t>
      </w:r>
      <w:r w:rsidR="00AE3EB3">
        <w:t>on DNA extracted from stool</w:t>
      </w:r>
      <w:r>
        <w:t xml:space="preserve"> samples</w:t>
      </w:r>
      <w:r w:rsidR="00AE3EB3">
        <w:rPr>
          <w:lang w:val="en-GB"/>
        </w:rPr>
        <w:t>.</w:t>
      </w:r>
    </w:p>
    <w:p w:rsidR="00AE3EB3" w:rsidRDefault="003C387D" w:rsidP="00AE3EB3">
      <w:r w:rsidRPr="00C27383">
        <w:t>GenoType EHEC (v2.0) kit  (HAIN</w:t>
      </w:r>
      <w:r>
        <w:t xml:space="preserve"> </w:t>
      </w:r>
      <w:r w:rsidRPr="00C677BB">
        <w:t xml:space="preserve"> Lifescience GmbH</w:t>
      </w:r>
      <w:r>
        <w:t xml:space="preserve">, </w:t>
      </w:r>
      <w:r w:rsidRPr="00C677BB">
        <w:t>Nehren</w:t>
      </w:r>
      <w:r>
        <w:t xml:space="preserve">, Germany) was used to identify </w:t>
      </w:r>
      <w:r w:rsidR="00AE3EB3">
        <w:rPr>
          <w:lang w:val="en-GB"/>
        </w:rPr>
        <w:t>E</w:t>
      </w:r>
      <w:r w:rsidR="00AE3EB3" w:rsidRPr="00C27383">
        <w:t xml:space="preserve">nterohaemorrhagic, </w:t>
      </w:r>
      <w:r w:rsidR="00AE3EB3" w:rsidRPr="00A310C0">
        <w:t xml:space="preserve">enteropathogenic </w:t>
      </w:r>
      <w:r w:rsidR="00AE3EB3">
        <w:t xml:space="preserve">and </w:t>
      </w:r>
      <w:r w:rsidR="00AE3EB3" w:rsidRPr="00A310C0">
        <w:t xml:space="preserve">enteroinvasive </w:t>
      </w:r>
      <w:r w:rsidR="00AE3EB3" w:rsidRPr="00C27383">
        <w:rPr>
          <w:i/>
        </w:rPr>
        <w:t>E. coli</w:t>
      </w:r>
      <w:r w:rsidR="00AE3EB3">
        <w:t>,</w:t>
      </w:r>
      <w:r w:rsidR="00AE3EB3" w:rsidRPr="00A310C0">
        <w:t xml:space="preserve"> and </w:t>
      </w:r>
      <w:r w:rsidR="00AE3EB3" w:rsidRPr="00C27383">
        <w:rPr>
          <w:i/>
        </w:rPr>
        <w:t>Shigella spp</w:t>
      </w:r>
      <w:r w:rsidR="00AE3EB3">
        <w:t>.</w:t>
      </w:r>
      <w:r>
        <w:t xml:space="preserve"> genomes in </w:t>
      </w:r>
      <w:r w:rsidR="00AE3EB3" w:rsidRPr="00C27383">
        <w:t xml:space="preserve"> </w:t>
      </w:r>
      <w:r>
        <w:rPr>
          <w:lang w:val="en-GB"/>
        </w:rPr>
        <w:t xml:space="preserve">DNA extracted from  </w:t>
      </w:r>
      <w:r w:rsidR="00AE3EB3" w:rsidRPr="00C27383">
        <w:t>stool</w:t>
      </w:r>
      <w:r>
        <w:t xml:space="preserve"> </w:t>
      </w:r>
      <w:r w:rsidR="00AE3EB3" w:rsidRPr="00C27383">
        <w:t>s</w:t>
      </w:r>
      <w:r>
        <w:t>amples</w:t>
      </w:r>
      <w:r w:rsidR="00AE3EB3">
        <w:t xml:space="preserve">. </w:t>
      </w:r>
    </w:p>
    <w:p w:rsidR="00AE3EB3" w:rsidRDefault="003C387D" w:rsidP="00AE3EB3">
      <w:r w:rsidRPr="00C27383">
        <w:t>C.Diff Quik Chek Complete Assay (Techlab</w:t>
      </w:r>
      <w:r>
        <w:t>-Alere  Inc, Scarborough, ME, USA</w:t>
      </w:r>
      <w:r w:rsidRPr="00C27383">
        <w:t>)</w:t>
      </w:r>
      <w:r>
        <w:t xml:space="preserve"> was used to identify </w:t>
      </w:r>
      <w:r w:rsidR="00AE3EB3" w:rsidRPr="00C27383">
        <w:rPr>
          <w:i/>
        </w:rPr>
        <w:t>C. difficile</w:t>
      </w:r>
      <w:r>
        <w:rPr>
          <w:i/>
        </w:rPr>
        <w:t xml:space="preserve"> genomes in </w:t>
      </w:r>
      <w:r w:rsidR="00AE3EB3" w:rsidRPr="001649D8">
        <w:t xml:space="preserve"> </w:t>
      </w:r>
      <w:r>
        <w:t xml:space="preserve">DNA extracted from  of </w:t>
      </w:r>
      <w:r w:rsidR="00AE3EB3" w:rsidRPr="001649D8">
        <w:t>stool</w:t>
      </w:r>
      <w:r>
        <w:t xml:space="preserve"> </w:t>
      </w:r>
      <w:r w:rsidR="00AE3EB3" w:rsidRPr="001649D8">
        <w:t>s</w:t>
      </w:r>
      <w:r>
        <w:t>amples</w:t>
      </w:r>
      <w:r w:rsidR="00AE3EB3" w:rsidRPr="00C27383">
        <w:t xml:space="preserve"> </w:t>
      </w:r>
    </w:p>
    <w:p w:rsidR="00AE3EB3" w:rsidRDefault="003C387D" w:rsidP="00AE3EB3">
      <w:pPr>
        <w:rPr>
          <w:iCs/>
        </w:rPr>
      </w:pPr>
      <w:r>
        <w:rPr>
          <w:iCs/>
        </w:rPr>
        <w:t xml:space="preserve">The </w:t>
      </w:r>
      <w:r w:rsidRPr="00866653">
        <w:rPr>
          <w:color w:val="000000"/>
        </w:rPr>
        <w:t>Seeplex®PneumoBacter ACE Detection (v3.0) multiplex-PCR</w:t>
      </w:r>
      <w:r>
        <w:t xml:space="preserve"> kit</w:t>
      </w:r>
      <w:r w:rsidRPr="00BB1FAC">
        <w:rPr>
          <w:color w:val="000000"/>
        </w:rPr>
        <w:t xml:space="preserve"> </w:t>
      </w:r>
      <w:r w:rsidRPr="00866653">
        <w:rPr>
          <w:color w:val="000000"/>
        </w:rPr>
        <w:t xml:space="preserve">(Seegene, </w:t>
      </w:r>
      <w:r>
        <w:rPr>
          <w:color w:val="000000"/>
        </w:rPr>
        <w:t xml:space="preserve"> </w:t>
      </w:r>
      <w:r w:rsidRPr="00C677BB">
        <w:rPr>
          <w:color w:val="000000"/>
        </w:rPr>
        <w:t>Eschborn, Germany</w:t>
      </w:r>
      <w:r w:rsidRPr="00866653">
        <w:rPr>
          <w:color w:val="000000"/>
        </w:rPr>
        <w:t>)</w:t>
      </w:r>
      <w:r>
        <w:rPr>
          <w:color w:val="000000"/>
        </w:rPr>
        <w:t xml:space="preserve"> </w:t>
      </w:r>
      <w:r>
        <w:t xml:space="preserve">was used to identify </w:t>
      </w:r>
      <w:r w:rsidR="00581A93">
        <w:t>respiratory pathogens (</w:t>
      </w:r>
      <w:r w:rsidR="00AE3EB3">
        <w:t xml:space="preserve"> </w:t>
      </w:r>
      <w:r w:rsidR="00AE3EB3" w:rsidRPr="00C27383">
        <w:rPr>
          <w:i/>
          <w:iCs/>
          <w:color w:val="000000"/>
        </w:rPr>
        <w:t>S</w:t>
      </w:r>
      <w:r w:rsidR="00AE3EB3" w:rsidRPr="00C27383">
        <w:rPr>
          <w:i/>
          <w:iCs/>
        </w:rPr>
        <w:t xml:space="preserve">. </w:t>
      </w:r>
      <w:r w:rsidR="00AE3EB3" w:rsidRPr="00C27383">
        <w:rPr>
          <w:i/>
          <w:iCs/>
          <w:color w:val="000000"/>
        </w:rPr>
        <w:t>pneumoniae</w:t>
      </w:r>
      <w:r w:rsidR="00AE3EB3" w:rsidRPr="00C27383">
        <w:rPr>
          <w:i/>
          <w:iCs/>
        </w:rPr>
        <w:t xml:space="preserve">, </w:t>
      </w:r>
      <w:r w:rsidR="00AE3EB3" w:rsidRPr="00C27383">
        <w:rPr>
          <w:i/>
          <w:iCs/>
          <w:color w:val="000000"/>
        </w:rPr>
        <w:t xml:space="preserve"> H</w:t>
      </w:r>
      <w:r w:rsidR="00AE3EB3" w:rsidRPr="00C27383">
        <w:rPr>
          <w:i/>
          <w:iCs/>
        </w:rPr>
        <w:t>. I</w:t>
      </w:r>
      <w:r w:rsidR="00AE3EB3" w:rsidRPr="00C27383">
        <w:rPr>
          <w:i/>
          <w:iCs/>
          <w:color w:val="000000"/>
        </w:rPr>
        <w:t>nfluenzae</w:t>
      </w:r>
      <w:r w:rsidR="00AE3EB3" w:rsidRPr="00C27383">
        <w:rPr>
          <w:i/>
          <w:iCs/>
        </w:rPr>
        <w:t xml:space="preserve">, </w:t>
      </w:r>
      <w:r w:rsidR="00AE3EB3" w:rsidRPr="00C27383">
        <w:rPr>
          <w:i/>
          <w:iCs/>
          <w:color w:val="000000"/>
        </w:rPr>
        <w:t>C</w:t>
      </w:r>
      <w:r w:rsidR="00AE3EB3" w:rsidRPr="00C27383">
        <w:rPr>
          <w:i/>
          <w:iCs/>
        </w:rPr>
        <w:t>.</w:t>
      </w:r>
      <w:r w:rsidR="00AE3EB3" w:rsidRPr="00C27383">
        <w:rPr>
          <w:i/>
          <w:iCs/>
          <w:color w:val="000000"/>
        </w:rPr>
        <w:t xml:space="preserve"> pneumoniae</w:t>
      </w:r>
      <w:r w:rsidR="00AE3EB3" w:rsidRPr="00C27383">
        <w:rPr>
          <w:i/>
          <w:iCs/>
        </w:rPr>
        <w:t>,</w:t>
      </w:r>
      <w:r w:rsidR="00AE3EB3" w:rsidRPr="00C27383">
        <w:rPr>
          <w:i/>
          <w:iCs/>
          <w:color w:val="000000"/>
        </w:rPr>
        <w:t xml:space="preserve"> L</w:t>
      </w:r>
      <w:r w:rsidR="00AE3EB3" w:rsidRPr="00C27383">
        <w:rPr>
          <w:i/>
          <w:iCs/>
        </w:rPr>
        <w:t>.</w:t>
      </w:r>
      <w:r w:rsidR="00AE3EB3" w:rsidRPr="00C27383">
        <w:rPr>
          <w:i/>
          <w:iCs/>
          <w:color w:val="000000"/>
        </w:rPr>
        <w:t xml:space="preserve"> pneumophila</w:t>
      </w:r>
      <w:r w:rsidR="00AE3EB3" w:rsidRPr="00C27383">
        <w:rPr>
          <w:i/>
          <w:iCs/>
        </w:rPr>
        <w:t xml:space="preserve">,  </w:t>
      </w:r>
      <w:r w:rsidR="00AE3EB3" w:rsidRPr="00C27383">
        <w:rPr>
          <w:i/>
          <w:iCs/>
          <w:color w:val="000000"/>
        </w:rPr>
        <w:t>B</w:t>
      </w:r>
      <w:r w:rsidR="00AE3EB3" w:rsidRPr="00C27383">
        <w:rPr>
          <w:i/>
          <w:iCs/>
        </w:rPr>
        <w:t xml:space="preserve">. </w:t>
      </w:r>
      <w:r w:rsidR="00AE3EB3" w:rsidRPr="00C27383">
        <w:rPr>
          <w:i/>
          <w:iCs/>
          <w:color w:val="000000"/>
        </w:rPr>
        <w:t>pertussis</w:t>
      </w:r>
      <w:r w:rsidR="00AE3EB3" w:rsidRPr="00C27383">
        <w:rPr>
          <w:i/>
          <w:iCs/>
        </w:rPr>
        <w:t xml:space="preserve">, </w:t>
      </w:r>
      <w:r w:rsidR="00AE3EB3" w:rsidRPr="00C27383">
        <w:rPr>
          <w:i/>
          <w:iCs/>
          <w:color w:val="000000"/>
        </w:rPr>
        <w:t>M</w:t>
      </w:r>
      <w:r w:rsidR="00AE3EB3" w:rsidRPr="00C27383">
        <w:rPr>
          <w:i/>
          <w:iCs/>
        </w:rPr>
        <w:t>.</w:t>
      </w:r>
      <w:r w:rsidR="00AE3EB3">
        <w:rPr>
          <w:i/>
          <w:iCs/>
        </w:rPr>
        <w:t xml:space="preserve"> </w:t>
      </w:r>
      <w:r w:rsidR="00AE3EB3" w:rsidRPr="00C27383">
        <w:rPr>
          <w:i/>
          <w:iCs/>
          <w:color w:val="000000"/>
        </w:rPr>
        <w:t>pneumoniae</w:t>
      </w:r>
      <w:r w:rsidR="00581A93">
        <w:rPr>
          <w:i/>
          <w:iCs/>
          <w:color w:val="000000"/>
        </w:rPr>
        <w:t>)</w:t>
      </w:r>
      <w:r w:rsidR="00AE3EB3">
        <w:rPr>
          <w:iCs/>
        </w:rPr>
        <w:t xml:space="preserve"> </w:t>
      </w:r>
      <w:r>
        <w:rPr>
          <w:iCs/>
        </w:rPr>
        <w:t xml:space="preserve"> in DNA extracted from </w:t>
      </w:r>
      <w:r w:rsidR="00AE3EB3">
        <w:rPr>
          <w:iCs/>
        </w:rPr>
        <w:t xml:space="preserve"> bronc</w:t>
      </w:r>
      <w:r>
        <w:rPr>
          <w:iCs/>
        </w:rPr>
        <w:t xml:space="preserve">hial </w:t>
      </w:r>
      <w:r w:rsidR="00AE3EB3">
        <w:rPr>
          <w:iCs/>
        </w:rPr>
        <w:t>aspirate fluids</w:t>
      </w:r>
      <w:r w:rsidR="00581A93">
        <w:rPr>
          <w:iCs/>
        </w:rPr>
        <w:t>.</w:t>
      </w:r>
    </w:p>
    <w:p w:rsidR="003D123F" w:rsidRPr="003D123F" w:rsidRDefault="003D123F" w:rsidP="003D123F">
      <w:pPr>
        <w:rPr>
          <w:iCs/>
        </w:rPr>
      </w:pPr>
      <w:r>
        <w:rPr>
          <w:iCs/>
        </w:rPr>
        <w:lastRenderedPageBreak/>
        <w:t xml:space="preserve">Detection of Influenza A and B viruses was performed with </w:t>
      </w:r>
      <w:r w:rsidRPr="003D123F">
        <w:rPr>
          <w:iCs/>
        </w:rPr>
        <w:t>in house real time PCR assays established according to Centers for Diseases Control and Prevention (CDC)</w:t>
      </w:r>
      <w:r>
        <w:rPr>
          <w:iCs/>
        </w:rPr>
        <w:t xml:space="preserve"> </w:t>
      </w:r>
      <w:r w:rsidRPr="003D123F">
        <w:rPr>
          <w:iCs/>
        </w:rPr>
        <w:t>for</w:t>
      </w:r>
      <w:r>
        <w:rPr>
          <w:iCs/>
        </w:rPr>
        <w:t xml:space="preserve"> influenza A, and WHO </w:t>
      </w:r>
      <w:r w:rsidRPr="003D123F">
        <w:rPr>
          <w:iCs/>
        </w:rPr>
        <w:t>for influenza B.</w:t>
      </w:r>
      <w:r w:rsidRPr="003D123F">
        <w:rPr>
          <w:rStyle w:val="Rimandonotadichiusura"/>
          <w:iCs/>
          <w:vertAlign w:val="baseline"/>
        </w:rPr>
        <w:t xml:space="preserve"> </w:t>
      </w:r>
      <w:r>
        <w:rPr>
          <w:iCs/>
        </w:rPr>
        <w:t>[</w:t>
      </w:r>
      <w:r w:rsidRPr="003D123F">
        <w:rPr>
          <w:rStyle w:val="Rimandonotadichiusura"/>
          <w:iCs/>
          <w:vertAlign w:val="baseline"/>
        </w:rPr>
        <w:endnoteReference w:id="5"/>
      </w:r>
      <w:r>
        <w:rPr>
          <w:iCs/>
        </w:rPr>
        <w:t>]</w:t>
      </w:r>
    </w:p>
    <w:p w:rsidR="003D123F" w:rsidRPr="003D123F" w:rsidRDefault="003D123F" w:rsidP="003D123F">
      <w:pPr>
        <w:rPr>
          <w:iCs/>
        </w:rPr>
      </w:pPr>
      <w:r w:rsidRPr="003D123F">
        <w:rPr>
          <w:iCs/>
        </w:rPr>
        <w:t>Other respiratory viruses (ADV, Boca, MPV, RSV A/B, Para 1,2,3,4, Rino/Entero, HCoV) were investigated using a commercial multiplex PCR kit (Respiratory Multi Well System R-gene, Argene, Verniolle, France).</w:t>
      </w:r>
    </w:p>
    <w:p w:rsidR="003D123F" w:rsidRPr="003D123F" w:rsidRDefault="003D123F" w:rsidP="003D123F">
      <w:pPr>
        <w:rPr>
          <w:iCs/>
        </w:rPr>
      </w:pPr>
      <w:r w:rsidRPr="003D123F">
        <w:rPr>
          <w:iCs/>
        </w:rPr>
        <w:t>The occurrence of common respiratory virus infection was also investigated by testing serum antibodies by Complement Fixation (CF) using a kit from a standard Kolmer microthecnique.</w:t>
      </w:r>
      <w:r>
        <w:rPr>
          <w:iCs/>
        </w:rPr>
        <w:t xml:space="preserve"> </w:t>
      </w:r>
      <w:r w:rsidRPr="003D123F">
        <w:rPr>
          <w:iCs/>
        </w:rPr>
        <w:t>The occurrence of neutralizing and complement fixing antibodies in rub</w:t>
      </w:r>
      <w:r w:rsidR="00C76728">
        <w:rPr>
          <w:iCs/>
        </w:rPr>
        <w:t xml:space="preserve">ella </w:t>
      </w:r>
      <w:r w:rsidRPr="003D123F">
        <w:rPr>
          <w:iCs/>
        </w:rPr>
        <w:t>on serum samples collected on the day of d</w:t>
      </w:r>
      <w:r w:rsidR="00C76728">
        <w:rPr>
          <w:iCs/>
        </w:rPr>
        <w:t xml:space="preserve">ischarge  and after one month. </w:t>
      </w:r>
      <w:r w:rsidRPr="003D123F">
        <w:rPr>
          <w:iCs/>
        </w:rPr>
        <w:t>Standard reagents for the development of the CF reaction were from commercial source (Institut Virion/Serion GmbH, Germany). Serial serum dilutions (1:10 up to 1:80) were tested. Negative and high-positive controls were included .</w:t>
      </w:r>
    </w:p>
    <w:p w:rsidR="00AE3EB3" w:rsidRDefault="00AE3EB3" w:rsidP="00AE3EB3">
      <w:pPr>
        <w:pStyle w:val="Titolo2"/>
      </w:pPr>
      <w:r>
        <w:t>Ebola diagnostics</w:t>
      </w:r>
    </w:p>
    <w:p w:rsidR="00AE3EB3" w:rsidRDefault="00AE3EB3" w:rsidP="00AE3EB3">
      <w:pPr>
        <w:rPr>
          <w:b/>
        </w:rPr>
      </w:pPr>
      <w:r w:rsidRPr="00C8536E">
        <w:t xml:space="preserve">EBOV RNA in plasma was tested using Real Star Filovirus Screen RT-PCR 1.0 kit (Altona Diagnostics, Hamburg, Germany). Viral genome quantification was based on a standard reference curve provided by the kit producers. In addition to plasma, Ebola molecular detection was carried out also </w:t>
      </w:r>
      <w:r w:rsidR="00581A93">
        <w:t>i</w:t>
      </w:r>
      <w:r w:rsidRPr="00C8536E">
        <w:t>n urine, mucosal and cutaneous swabs, stool</w:t>
      </w:r>
      <w:r>
        <w:t>s and respiratory samples. Confi</w:t>
      </w:r>
      <w:r w:rsidRPr="00C8536E">
        <w:t xml:space="preserve">rmation of EBOV real time PCR result and </w:t>
      </w:r>
      <w:r w:rsidR="00581A93">
        <w:t xml:space="preserve">preliminary </w:t>
      </w:r>
      <w:r w:rsidRPr="00C8536E">
        <w:t>viral characterization were carried out by ABI Prism 310 Genetic Analyizer (Applied Biosystems, Forster City, CA, USA), using the BigDye Terminator Cycle Sequencing Kit (Applied Biosystems) as alre</w:t>
      </w:r>
      <w:r>
        <w:t>ady reported by Pannin</w:t>
      </w:r>
      <w:r w:rsidRPr="001F50AE">
        <w:t>g at al.[</w:t>
      </w:r>
      <w:r w:rsidRPr="001F50AE">
        <w:endnoteReference w:id="6"/>
      </w:r>
      <w:r w:rsidRPr="001F50AE">
        <w:t>] and Ogawa H et al.[</w:t>
      </w:r>
      <w:r w:rsidRPr="001F50AE">
        <w:endnoteReference w:id="7"/>
      </w:r>
      <w:r w:rsidRPr="001F50AE">
        <w:t>] Viral seq</w:t>
      </w:r>
      <w:r w:rsidRPr="00C8536E">
        <w:t xml:space="preserve">uences were aligned using CLUSTALW X1.5 software  (http://npsa-pbil.ibcp.fr/) and were </w:t>
      </w:r>
      <w:r w:rsidR="00581A93">
        <w:t>registered</w:t>
      </w:r>
      <w:r w:rsidRPr="00C8536E">
        <w:t xml:space="preserve"> in the GenBank nucleoti</w:t>
      </w:r>
      <w:r w:rsidR="00C76728">
        <w:t>de database (accession numbers</w:t>
      </w:r>
      <w:r w:rsidRPr="00C8536E">
        <w:t xml:space="preserve"> KP231870.1 and KP339863.1)</w:t>
      </w:r>
      <w:r w:rsidRPr="001F50AE">
        <w:rPr>
          <w:b/>
        </w:rPr>
        <w:t>.</w:t>
      </w:r>
      <w:r>
        <w:rPr>
          <w:b/>
        </w:rPr>
        <w:t xml:space="preserve"> </w:t>
      </w:r>
    </w:p>
    <w:p w:rsidR="00AE3EB3" w:rsidRDefault="00AE3EB3" w:rsidP="00AE3EB3">
      <w:r w:rsidRPr="00F456B6">
        <w:t>The presence of EBOV-specific IgG and IgM antibodie</w:t>
      </w:r>
      <w:r>
        <w:t xml:space="preserve">s was determined by means of </w:t>
      </w:r>
      <w:r w:rsidR="00B23154">
        <w:t xml:space="preserve">in house </w:t>
      </w:r>
      <w:r>
        <w:t>indirect i</w:t>
      </w:r>
      <w:r w:rsidRPr="00F456B6">
        <w:t>mmunofluorescence assay</w:t>
      </w:r>
      <w:r>
        <w:t xml:space="preserve">, </w:t>
      </w:r>
      <w:r w:rsidRPr="00F456B6">
        <w:t xml:space="preserve"> </w:t>
      </w:r>
      <w:r w:rsidRPr="000C665F">
        <w:rPr>
          <w:lang w:val="en-GB"/>
        </w:rPr>
        <w:t>using</w:t>
      </w:r>
      <w:r w:rsidRPr="000C665F">
        <w:t xml:space="preserve"> </w:t>
      </w:r>
      <w:r w:rsidRPr="000C665F">
        <w:rPr>
          <w:lang w:val="en-GB"/>
        </w:rPr>
        <w:t>slides</w:t>
      </w:r>
      <w:r w:rsidRPr="000C665F">
        <w:t xml:space="preserve"> prepared </w:t>
      </w:r>
      <w:r w:rsidRPr="000C665F">
        <w:rPr>
          <w:lang w:val="en-GB"/>
        </w:rPr>
        <w:t>with</w:t>
      </w:r>
      <w:r w:rsidRPr="000C665F">
        <w:t xml:space="preserve"> </w:t>
      </w:r>
      <w:r w:rsidRPr="000C665F">
        <w:rPr>
          <w:lang w:val="en-GB"/>
        </w:rPr>
        <w:t>a</w:t>
      </w:r>
      <w:r w:rsidRPr="000C665F">
        <w:t xml:space="preserve"> </w:t>
      </w:r>
      <w:r w:rsidRPr="000C665F">
        <w:rPr>
          <w:lang w:val="en-GB"/>
        </w:rPr>
        <w:t>mixture</w:t>
      </w:r>
      <w:r w:rsidRPr="000C665F">
        <w:t xml:space="preserve"> </w:t>
      </w:r>
      <w:r w:rsidRPr="000C665F">
        <w:rPr>
          <w:lang w:val="en-GB"/>
        </w:rPr>
        <w:t>of</w:t>
      </w:r>
      <w:r w:rsidRPr="000C665F">
        <w:t xml:space="preserve"> EBOV- </w:t>
      </w:r>
      <w:r w:rsidRPr="000C665F">
        <w:rPr>
          <w:lang w:val="en-GB"/>
        </w:rPr>
        <w:t>infected</w:t>
      </w:r>
      <w:r w:rsidRPr="000C665F">
        <w:t xml:space="preserve"> and </w:t>
      </w:r>
      <w:r w:rsidRPr="000C665F">
        <w:rPr>
          <w:lang w:val="en-GB"/>
        </w:rPr>
        <w:t>uninfected</w:t>
      </w:r>
      <w:r w:rsidRPr="000C665F">
        <w:t xml:space="preserve"> </w:t>
      </w:r>
      <w:r w:rsidRPr="000C665F">
        <w:rPr>
          <w:lang w:val="en-GB"/>
        </w:rPr>
        <w:t>Vero</w:t>
      </w:r>
      <w:r w:rsidRPr="000C665F">
        <w:t xml:space="preserve"> E6 cells.</w:t>
      </w:r>
    </w:p>
    <w:p w:rsidR="00B23154" w:rsidRDefault="00B23154" w:rsidP="00B23154">
      <w:pPr>
        <w:autoSpaceDE w:val="0"/>
        <w:autoSpaceDN w:val="0"/>
        <w:adjustRightInd w:val="0"/>
        <w:spacing w:after="0"/>
        <w:rPr>
          <w:color w:val="000000" w:themeColor="text1"/>
        </w:rPr>
      </w:pPr>
      <w:r w:rsidRPr="00EB6263">
        <w:rPr>
          <w:color w:val="000000" w:themeColor="text1"/>
        </w:rPr>
        <w:t>EBOV was isolated on Vero E6 cell cultures from plasma collected immediately after admission (EBOV RNA:  5,43E+06 copies/ml).  Virus isolation  from plasma collected on day 25 (EBOV RNA detected &lt;</w:t>
      </w:r>
      <w:r>
        <w:rPr>
          <w:color w:val="000000" w:themeColor="text1"/>
        </w:rPr>
        <w:t>Limit of Detection-</w:t>
      </w:r>
      <w:r w:rsidRPr="00EB6263">
        <w:rPr>
          <w:color w:val="000000" w:themeColor="text1"/>
        </w:rPr>
        <w:t>LOD</w:t>
      </w:r>
      <w:r>
        <w:rPr>
          <w:color w:val="000000" w:themeColor="text1"/>
        </w:rPr>
        <w:t>, 1.3</w:t>
      </w:r>
      <w:r w:rsidRPr="00EB6263">
        <w:rPr>
          <w:color w:val="000000" w:themeColor="text1"/>
        </w:rPr>
        <w:t>+0</w:t>
      </w:r>
      <w:r>
        <w:rPr>
          <w:color w:val="000000" w:themeColor="text1"/>
        </w:rPr>
        <w:t>3</w:t>
      </w:r>
      <w:r w:rsidRPr="00EB6263">
        <w:rPr>
          <w:color w:val="000000" w:themeColor="text1"/>
        </w:rPr>
        <w:t xml:space="preserve"> copies/ml</w:t>
      </w:r>
      <w:r>
        <w:rPr>
          <w:color w:val="000000" w:themeColor="text1"/>
        </w:rPr>
        <w:t>)</w:t>
      </w:r>
      <w:r w:rsidRPr="00EB6263">
        <w:rPr>
          <w:color w:val="000000" w:themeColor="text1"/>
        </w:rPr>
        <w:t>, f</w:t>
      </w:r>
      <w:r w:rsidR="00C76728">
        <w:rPr>
          <w:color w:val="000000" w:themeColor="text1"/>
        </w:rPr>
        <w:t xml:space="preserve">rom urine samples collected on </w:t>
      </w:r>
      <w:r w:rsidRPr="00EB6263">
        <w:rPr>
          <w:color w:val="000000" w:themeColor="text1"/>
        </w:rPr>
        <w:t>day 20 (</w:t>
      </w:r>
      <w:r w:rsidR="00C76728">
        <w:rPr>
          <w:color w:val="000000" w:themeColor="text1"/>
        </w:rPr>
        <w:t xml:space="preserve">EBOV RNA 5,71E+04 copies/ml) </w:t>
      </w:r>
      <w:r w:rsidRPr="00EB6263">
        <w:rPr>
          <w:color w:val="000000" w:themeColor="text1"/>
        </w:rPr>
        <w:t xml:space="preserve">and 21 (EBOV RNA </w:t>
      </w:r>
      <w:r w:rsidR="00C76728">
        <w:rPr>
          <w:color w:val="000000" w:themeColor="text1"/>
        </w:rPr>
        <w:t xml:space="preserve">4,29E+03 </w:t>
      </w:r>
      <w:r>
        <w:rPr>
          <w:color w:val="000000" w:themeColor="text1"/>
        </w:rPr>
        <w:t>copies/ml), and from sweat (</w:t>
      </w:r>
      <w:r w:rsidRPr="00EB6263">
        <w:rPr>
          <w:color w:val="000000" w:themeColor="text1"/>
        </w:rPr>
        <w:t>axillary swab</w:t>
      </w:r>
      <w:r>
        <w:rPr>
          <w:color w:val="000000" w:themeColor="text1"/>
        </w:rPr>
        <w:t>)</w:t>
      </w:r>
      <w:r w:rsidRPr="00EB6263">
        <w:rPr>
          <w:color w:val="000000" w:themeColor="text1"/>
        </w:rPr>
        <w:t xml:space="preserve"> collected on day 19 (</w:t>
      </w:r>
      <w:r w:rsidR="00C76728">
        <w:rPr>
          <w:color w:val="000000" w:themeColor="text1"/>
        </w:rPr>
        <w:t xml:space="preserve">EBOV RNA 3,43E+03 copies/ml) </w:t>
      </w:r>
      <w:r w:rsidRPr="00EB6263">
        <w:rPr>
          <w:color w:val="000000" w:themeColor="text1"/>
        </w:rPr>
        <w:t>resulted negative</w:t>
      </w:r>
      <w:r>
        <w:rPr>
          <w:color w:val="000000" w:themeColor="text1"/>
        </w:rPr>
        <w:t xml:space="preserve"> after four blind passages</w:t>
      </w:r>
      <w:r w:rsidRPr="00EB6263">
        <w:rPr>
          <w:color w:val="000000" w:themeColor="text1"/>
        </w:rPr>
        <w:t>.</w:t>
      </w:r>
    </w:p>
    <w:p w:rsidR="00D13526" w:rsidRDefault="00D13526"/>
    <w:p w:rsidR="00840832" w:rsidRPr="005105DC" w:rsidRDefault="00D13526" w:rsidP="005105DC">
      <w:pPr>
        <w:pStyle w:val="Titolo2"/>
      </w:pPr>
      <w:r w:rsidRPr="005105DC">
        <w:t xml:space="preserve">Reference </w:t>
      </w:r>
    </w:p>
    <w:sectPr w:rsidR="00840832" w:rsidRPr="005105DC" w:rsidSect="0071227A">
      <w:endnotePr>
        <w:numFmt w:val="decimal"/>
      </w:endnotePr>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48BD" w:rsidRDefault="004248BD" w:rsidP="00AE3EB3">
      <w:pPr>
        <w:spacing w:after="0" w:line="240" w:lineRule="auto"/>
      </w:pPr>
      <w:r>
        <w:separator/>
      </w:r>
    </w:p>
  </w:endnote>
  <w:endnote w:type="continuationSeparator" w:id="0">
    <w:p w:rsidR="004248BD" w:rsidRDefault="004248BD" w:rsidP="00AE3EB3">
      <w:pPr>
        <w:spacing w:after="0" w:line="240" w:lineRule="auto"/>
      </w:pPr>
      <w:r>
        <w:continuationSeparator/>
      </w:r>
    </w:p>
  </w:endnote>
  <w:endnote w:id="1">
    <w:p w:rsidR="00AE3EB3" w:rsidRPr="00D13526" w:rsidRDefault="00AE3EB3" w:rsidP="00D13526">
      <w:r w:rsidRPr="00D13526">
        <w:rPr>
          <w:rStyle w:val="Rimandonotadichiusura"/>
          <w:vertAlign w:val="baseline"/>
        </w:rPr>
        <w:endnoteRef/>
      </w:r>
      <w:r w:rsidRPr="00D13526">
        <w:t xml:space="preserve"> </w:t>
      </w:r>
      <w:r w:rsidR="00B23154" w:rsidRPr="00D13526">
        <w:t>Snounou G, Viriyakosol S, Zhu XP, Jarra W, Pinheiro L, do Rosario VE, Thaithong S, Brown KN. High sensitivity of detection of human malaria parasites by the use of nested polymerase chain reaction. Mol Biochem Par</w:t>
      </w:r>
      <w:r w:rsidR="00C76728" w:rsidRPr="00D13526">
        <w:t>asitol. 1993 Oct;61(2):315-20.</w:t>
      </w:r>
    </w:p>
  </w:endnote>
  <w:endnote w:id="2">
    <w:p w:rsidR="00AE3EB3" w:rsidRPr="00D13526" w:rsidRDefault="00AE3EB3" w:rsidP="00D13526">
      <w:r w:rsidRPr="00D13526">
        <w:rPr>
          <w:rStyle w:val="Rimandonotadichiusura"/>
          <w:vertAlign w:val="baseline"/>
        </w:rPr>
        <w:endnoteRef/>
      </w:r>
      <w:r w:rsidRPr="00D13526">
        <w:t xml:space="preserve"> Richardson DC, Louie L, Louie M, Simor AE. Evaluation of a rapid PCR assay for diagnosis of meningococcal meningitis. J Clin Microbiol. 2003 Aug;41(8):3851-</w:t>
      </w:r>
    </w:p>
  </w:endnote>
  <w:endnote w:id="3">
    <w:p w:rsidR="00AE3EB3" w:rsidRPr="00D13526" w:rsidRDefault="00AE3EB3" w:rsidP="00D13526">
      <w:r w:rsidRPr="00D13526">
        <w:rPr>
          <w:rStyle w:val="Rimandonotadichiusura"/>
          <w:vertAlign w:val="baseline"/>
        </w:rPr>
        <w:endnoteRef/>
      </w:r>
      <w:r w:rsidRPr="00D13526">
        <w:t xml:space="preserve"> Nair S, Lin TK, Pang T, Altwegg M. Characterization of Salmonella serovars by PCR-single-strand conformation polymorphism analysis. J Clin Microbiol. 2002 Jul;40(7):2346-51</w:t>
      </w:r>
    </w:p>
  </w:endnote>
  <w:endnote w:id="4">
    <w:p w:rsidR="00AE3EB3" w:rsidRPr="00D13526" w:rsidRDefault="00AE3EB3" w:rsidP="00D13526">
      <w:r w:rsidRPr="00D13526">
        <w:rPr>
          <w:rStyle w:val="Rimandonotadichiusura"/>
          <w:vertAlign w:val="baseline"/>
        </w:rPr>
        <w:endnoteRef/>
      </w:r>
      <w:r w:rsidRPr="00D13526">
        <w:t xml:space="preserve"> Evangelopoulos, A., Spanakos, G., Patsoula, E.,Vakalis, N., Legakis, N., 2000.  A nested, multiplex, PCR assay for the simultaneous detection and differentiation of Entamoeba histolytica and Entamoeba dispar in faeces. Ann. Trop. Med. Parasitol. 94, 233–240.</w:t>
      </w:r>
    </w:p>
  </w:endnote>
  <w:endnote w:id="5">
    <w:p w:rsidR="003D123F" w:rsidRPr="00D13526" w:rsidRDefault="003D123F" w:rsidP="00D13526">
      <w:r w:rsidRPr="00D13526">
        <w:rPr>
          <w:rStyle w:val="Rimandonotadichiusura"/>
          <w:vertAlign w:val="baseline"/>
        </w:rPr>
        <w:endnoteRef/>
      </w:r>
      <w:r w:rsidRPr="00D13526">
        <w:t xml:space="preserve"> http://www.who.int/csr/resources/publications/swineflu/realtimeptpcr/en/index.html)</w:t>
      </w:r>
    </w:p>
  </w:endnote>
  <w:endnote w:id="6">
    <w:p w:rsidR="00AE3EB3" w:rsidRPr="00D13526" w:rsidRDefault="00AE3EB3" w:rsidP="00D13526">
      <w:r w:rsidRPr="00D13526">
        <w:rPr>
          <w:rStyle w:val="Rimandonotadichiusura"/>
          <w:vertAlign w:val="baseline"/>
        </w:rPr>
        <w:endnoteRef/>
      </w:r>
      <w:r w:rsidRPr="00D13526">
        <w:t xml:space="preserve"> Panning M, Laue T, Olschlager S, Eickmann M, Becker S, Raith S, Courbot MC, Nilsson M, Gopal R, Lundkvist A, di Caro A, Brown D, Meyer H, Lloyd G, Kummerer BM, Gunther S, Drosten C. Diagnostic reverse-transcription polymerase chain reaction kit for filoviruses based on the strain collections of all European biosafety level 4 laboratories. J Infect Dis. 2007 Nov 15;196 Suppl 2:S199-204</w:t>
      </w:r>
    </w:p>
  </w:endnote>
  <w:endnote w:id="7">
    <w:p w:rsidR="00AE3EB3" w:rsidRPr="005314D6" w:rsidRDefault="00AE3EB3" w:rsidP="00D13526">
      <w:r w:rsidRPr="00D13526">
        <w:rPr>
          <w:rStyle w:val="Rimandonotadichiusura"/>
          <w:vertAlign w:val="baseline"/>
        </w:rPr>
        <w:endnoteRef/>
      </w:r>
      <w:r w:rsidRPr="00D13526">
        <w:t xml:space="preserve"> Ogawa H, Miyamoto H, Ebihara H, Ito K, Morikawa S, Feldmann H, Takada A. Detection of all known filovirus species by reverse transcription-polymerase chain reaction using a primer set specific for the viral nucleoprotein gene. J Virol Methods. 2011 Jan;171(1):310-3.</w:t>
      </w:r>
      <w:r w:rsidRPr="005314D6">
        <w:t xml:space="preserve"> </w:t>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48BD" w:rsidRDefault="004248BD" w:rsidP="00AE3EB3">
      <w:pPr>
        <w:spacing w:after="0" w:line="240" w:lineRule="auto"/>
      </w:pPr>
      <w:r>
        <w:separator/>
      </w:r>
    </w:p>
  </w:footnote>
  <w:footnote w:type="continuationSeparator" w:id="0">
    <w:p w:rsidR="004248BD" w:rsidRDefault="004248BD" w:rsidP="00AE3EB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7"/>
  <w:proofState w:spelling="clean"/>
  <w:defaultTabStop w:val="708"/>
  <w:hyphenationZone w:val="283"/>
  <w:characterSpacingControl w:val="doNotCompress"/>
  <w:footnotePr>
    <w:footnote w:id="-1"/>
    <w:footnote w:id="0"/>
  </w:footnotePr>
  <w:endnotePr>
    <w:numFmt w:val="decimal"/>
    <w:endnote w:id="-1"/>
    <w:endnote w:id="0"/>
  </w:endnotePr>
  <w:compat/>
  <w:rsids>
    <w:rsidRoot w:val="00AE3EB3"/>
    <w:rsid w:val="00084DC8"/>
    <w:rsid w:val="00096610"/>
    <w:rsid w:val="00176821"/>
    <w:rsid w:val="002128AB"/>
    <w:rsid w:val="00230F86"/>
    <w:rsid w:val="00295174"/>
    <w:rsid w:val="002958B9"/>
    <w:rsid w:val="00332E85"/>
    <w:rsid w:val="003C387D"/>
    <w:rsid w:val="003D123F"/>
    <w:rsid w:val="003D3491"/>
    <w:rsid w:val="004248BD"/>
    <w:rsid w:val="00434589"/>
    <w:rsid w:val="004E24BC"/>
    <w:rsid w:val="005105DC"/>
    <w:rsid w:val="00581A93"/>
    <w:rsid w:val="0061205A"/>
    <w:rsid w:val="006A2AA4"/>
    <w:rsid w:val="006E456F"/>
    <w:rsid w:val="006F1C68"/>
    <w:rsid w:val="006F2B22"/>
    <w:rsid w:val="0071227A"/>
    <w:rsid w:val="00734156"/>
    <w:rsid w:val="00806F08"/>
    <w:rsid w:val="008A5E87"/>
    <w:rsid w:val="008E38BB"/>
    <w:rsid w:val="00912D0B"/>
    <w:rsid w:val="009A7950"/>
    <w:rsid w:val="00A20508"/>
    <w:rsid w:val="00A27E11"/>
    <w:rsid w:val="00A546CC"/>
    <w:rsid w:val="00A84D57"/>
    <w:rsid w:val="00AB0754"/>
    <w:rsid w:val="00AB0D58"/>
    <w:rsid w:val="00AC16BF"/>
    <w:rsid w:val="00AE3EB3"/>
    <w:rsid w:val="00B23154"/>
    <w:rsid w:val="00B53B9E"/>
    <w:rsid w:val="00C37860"/>
    <w:rsid w:val="00C73F2C"/>
    <w:rsid w:val="00C76728"/>
    <w:rsid w:val="00CF3DF7"/>
    <w:rsid w:val="00D13526"/>
    <w:rsid w:val="00DE1918"/>
    <w:rsid w:val="00E47D72"/>
    <w:rsid w:val="00E954F1"/>
    <w:rsid w:val="00FF253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105DC"/>
    <w:pPr>
      <w:spacing w:line="360" w:lineRule="auto"/>
      <w:jc w:val="both"/>
    </w:pPr>
    <w:rPr>
      <w:rFonts w:ascii="Calibri" w:eastAsia="Times New Roman" w:hAnsi="Calibri" w:cs="Times New Roman"/>
      <w:lang w:val="en-US"/>
    </w:rPr>
  </w:style>
  <w:style w:type="paragraph" w:styleId="Titolo1">
    <w:name w:val="heading 1"/>
    <w:basedOn w:val="Normale"/>
    <w:next w:val="Normale"/>
    <w:link w:val="Titolo1Carattere"/>
    <w:uiPriority w:val="9"/>
    <w:qFormat/>
    <w:rsid w:val="005105DC"/>
    <w:pPr>
      <w:keepNext/>
      <w:keepLines/>
      <w:spacing w:before="480" w:after="0"/>
      <w:outlineLvl w:val="0"/>
    </w:pPr>
    <w:rPr>
      <w:rFonts w:asciiTheme="majorHAnsi" w:eastAsiaTheme="majorEastAsia" w:hAnsiTheme="majorHAnsi" w:cstheme="majorBidi"/>
      <w:b/>
      <w:bCs/>
      <w:sz w:val="32"/>
      <w:szCs w:val="28"/>
    </w:rPr>
  </w:style>
  <w:style w:type="paragraph" w:styleId="Titolo2">
    <w:name w:val="heading 2"/>
    <w:basedOn w:val="Normale"/>
    <w:next w:val="Normale"/>
    <w:link w:val="Titolo2Carattere"/>
    <w:uiPriority w:val="9"/>
    <w:unhideWhenUsed/>
    <w:qFormat/>
    <w:rsid w:val="005105DC"/>
    <w:pPr>
      <w:keepNext/>
      <w:keepLines/>
      <w:spacing w:before="200" w:after="0"/>
      <w:outlineLvl w:val="1"/>
    </w:pPr>
    <w:rPr>
      <w:rFonts w:asciiTheme="majorHAnsi" w:eastAsiaTheme="majorEastAsia" w:hAnsiTheme="majorHAnsi" w:cstheme="majorBidi"/>
      <w:b/>
      <w:bCs/>
      <w:sz w:val="28"/>
      <w:szCs w:val="26"/>
    </w:rPr>
  </w:style>
  <w:style w:type="paragraph" w:styleId="Titolo3">
    <w:name w:val="heading 3"/>
    <w:basedOn w:val="Normale"/>
    <w:next w:val="Normale"/>
    <w:link w:val="Titolo3Carattere"/>
    <w:qFormat/>
    <w:rsid w:val="00AE3EB3"/>
    <w:pPr>
      <w:keepNext/>
      <w:spacing w:before="240" w:after="60"/>
      <w:outlineLvl w:val="2"/>
    </w:pPr>
    <w:rPr>
      <w:rFonts w:ascii="Cambria" w:eastAsia="Calibri" w:hAnsi="Cambria"/>
      <w:b/>
      <w:sz w:val="26"/>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rsid w:val="00AE3EB3"/>
    <w:rPr>
      <w:rFonts w:ascii="Cambria" w:eastAsia="Calibri" w:hAnsi="Cambria" w:cs="Times New Roman"/>
      <w:b/>
      <w:sz w:val="26"/>
      <w:szCs w:val="20"/>
      <w:lang w:val="en-US"/>
    </w:rPr>
  </w:style>
  <w:style w:type="character" w:customStyle="1" w:styleId="apple-converted-space">
    <w:name w:val="apple-converted-space"/>
    <w:rsid w:val="00AE3EB3"/>
    <w:rPr>
      <w:rFonts w:cs="Times New Roman"/>
    </w:rPr>
  </w:style>
  <w:style w:type="character" w:styleId="Rimandocommento">
    <w:name w:val="annotation reference"/>
    <w:uiPriority w:val="99"/>
    <w:semiHidden/>
    <w:rsid w:val="00AE3EB3"/>
    <w:rPr>
      <w:sz w:val="16"/>
    </w:rPr>
  </w:style>
  <w:style w:type="paragraph" w:styleId="Testocommento">
    <w:name w:val="annotation text"/>
    <w:basedOn w:val="Normale"/>
    <w:link w:val="TestocommentoCarattere"/>
    <w:uiPriority w:val="99"/>
    <w:semiHidden/>
    <w:rsid w:val="00AE3EB3"/>
    <w:rPr>
      <w:rFonts w:eastAsia="Calibri"/>
      <w:sz w:val="20"/>
      <w:szCs w:val="20"/>
    </w:rPr>
  </w:style>
  <w:style w:type="character" w:customStyle="1" w:styleId="TestocommentoCarattere">
    <w:name w:val="Testo commento Carattere"/>
    <w:basedOn w:val="Carpredefinitoparagrafo"/>
    <w:link w:val="Testocommento"/>
    <w:uiPriority w:val="99"/>
    <w:semiHidden/>
    <w:rsid w:val="00AE3EB3"/>
    <w:rPr>
      <w:rFonts w:ascii="Calibri" w:eastAsia="Calibri" w:hAnsi="Calibri" w:cs="Times New Roman"/>
      <w:sz w:val="20"/>
      <w:szCs w:val="20"/>
      <w:lang w:val="en-US"/>
    </w:rPr>
  </w:style>
  <w:style w:type="character" w:styleId="Rimandonotadichiusura">
    <w:name w:val="endnote reference"/>
    <w:uiPriority w:val="99"/>
    <w:unhideWhenUsed/>
    <w:rsid w:val="00AE3EB3"/>
    <w:rPr>
      <w:vertAlign w:val="superscript"/>
    </w:rPr>
  </w:style>
  <w:style w:type="paragraph" w:styleId="Testofumetto">
    <w:name w:val="Balloon Text"/>
    <w:basedOn w:val="Normale"/>
    <w:link w:val="TestofumettoCarattere"/>
    <w:uiPriority w:val="99"/>
    <w:semiHidden/>
    <w:unhideWhenUsed/>
    <w:rsid w:val="00AE3EB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E3EB3"/>
    <w:rPr>
      <w:rFonts w:ascii="Tahoma" w:eastAsia="Times New Roman" w:hAnsi="Tahoma" w:cs="Tahoma"/>
      <w:sz w:val="16"/>
      <w:szCs w:val="16"/>
      <w:lang w:val="en-US"/>
    </w:rPr>
  </w:style>
  <w:style w:type="character" w:customStyle="1" w:styleId="Titolo1Carattere">
    <w:name w:val="Titolo 1 Carattere"/>
    <w:basedOn w:val="Carpredefinitoparagrafo"/>
    <w:link w:val="Titolo1"/>
    <w:uiPriority w:val="9"/>
    <w:rsid w:val="005105DC"/>
    <w:rPr>
      <w:rFonts w:asciiTheme="majorHAnsi" w:eastAsiaTheme="majorEastAsia" w:hAnsiTheme="majorHAnsi" w:cstheme="majorBidi"/>
      <w:b/>
      <w:bCs/>
      <w:sz w:val="32"/>
      <w:szCs w:val="28"/>
      <w:lang w:val="en-US"/>
    </w:rPr>
  </w:style>
  <w:style w:type="character" w:customStyle="1" w:styleId="Titolo2Carattere">
    <w:name w:val="Titolo 2 Carattere"/>
    <w:basedOn w:val="Carpredefinitoparagrafo"/>
    <w:link w:val="Titolo2"/>
    <w:uiPriority w:val="9"/>
    <w:rsid w:val="005105DC"/>
    <w:rPr>
      <w:rFonts w:asciiTheme="majorHAnsi" w:eastAsiaTheme="majorEastAsia" w:hAnsiTheme="majorHAnsi" w:cstheme="majorBidi"/>
      <w:b/>
      <w:bCs/>
      <w:sz w:val="28"/>
      <w:szCs w:val="26"/>
      <w:lang w:val="en-US"/>
    </w:rPr>
  </w:style>
  <w:style w:type="paragraph" w:styleId="Testonotadichiusura">
    <w:name w:val="endnote text"/>
    <w:basedOn w:val="Normale"/>
    <w:link w:val="TestonotadichiusuraCarattere"/>
    <w:uiPriority w:val="99"/>
    <w:semiHidden/>
    <w:unhideWhenUsed/>
    <w:rsid w:val="003D123F"/>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D123F"/>
    <w:rPr>
      <w:rFonts w:ascii="Calibri" w:eastAsia="Times New Roman" w:hAnsi="Calibri"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5DC"/>
    <w:pPr>
      <w:spacing w:line="360" w:lineRule="auto"/>
      <w:jc w:val="both"/>
    </w:pPr>
    <w:rPr>
      <w:rFonts w:ascii="Calibri" w:eastAsia="Times New Roman" w:hAnsi="Calibri" w:cs="Times New Roman"/>
      <w:lang w:val="en-US"/>
    </w:rPr>
  </w:style>
  <w:style w:type="paragraph" w:styleId="Heading1">
    <w:name w:val="heading 1"/>
    <w:basedOn w:val="Normal"/>
    <w:next w:val="Normal"/>
    <w:link w:val="Heading1Char"/>
    <w:uiPriority w:val="9"/>
    <w:qFormat/>
    <w:rsid w:val="005105DC"/>
    <w:pPr>
      <w:keepNext/>
      <w:keepLines/>
      <w:spacing w:before="480" w:after="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5105DC"/>
    <w:pPr>
      <w:keepNext/>
      <w:keepLines/>
      <w:spacing w:before="200" w:after="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qFormat/>
    <w:rsid w:val="00AE3EB3"/>
    <w:pPr>
      <w:keepNext/>
      <w:spacing w:before="240" w:after="60"/>
      <w:outlineLvl w:val="2"/>
    </w:pPr>
    <w:rPr>
      <w:rFonts w:ascii="Cambria" w:eastAsia="Calibri" w:hAnsi="Cambria"/>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E3EB3"/>
    <w:rPr>
      <w:rFonts w:ascii="Cambria" w:eastAsia="Calibri" w:hAnsi="Cambria" w:cs="Times New Roman"/>
      <w:b/>
      <w:sz w:val="26"/>
      <w:szCs w:val="20"/>
      <w:lang w:val="en-US"/>
    </w:rPr>
  </w:style>
  <w:style w:type="character" w:customStyle="1" w:styleId="apple-converted-space">
    <w:name w:val="apple-converted-space"/>
    <w:rsid w:val="00AE3EB3"/>
    <w:rPr>
      <w:rFonts w:cs="Times New Roman"/>
    </w:rPr>
  </w:style>
  <w:style w:type="character" w:styleId="CommentReference">
    <w:name w:val="annotation reference"/>
    <w:uiPriority w:val="99"/>
    <w:semiHidden/>
    <w:rsid w:val="00AE3EB3"/>
    <w:rPr>
      <w:sz w:val="16"/>
    </w:rPr>
  </w:style>
  <w:style w:type="paragraph" w:styleId="CommentText">
    <w:name w:val="annotation text"/>
    <w:basedOn w:val="Normal"/>
    <w:link w:val="CommentTextChar"/>
    <w:uiPriority w:val="99"/>
    <w:semiHidden/>
    <w:rsid w:val="00AE3EB3"/>
    <w:rPr>
      <w:rFonts w:eastAsia="Calibri"/>
      <w:sz w:val="20"/>
      <w:szCs w:val="20"/>
    </w:rPr>
  </w:style>
  <w:style w:type="character" w:customStyle="1" w:styleId="CommentTextChar">
    <w:name w:val="Comment Text Char"/>
    <w:basedOn w:val="DefaultParagraphFont"/>
    <w:link w:val="CommentText"/>
    <w:uiPriority w:val="99"/>
    <w:semiHidden/>
    <w:rsid w:val="00AE3EB3"/>
    <w:rPr>
      <w:rFonts w:ascii="Calibri" w:eastAsia="Calibri" w:hAnsi="Calibri" w:cs="Times New Roman"/>
      <w:sz w:val="20"/>
      <w:szCs w:val="20"/>
      <w:lang w:val="en-US"/>
    </w:rPr>
  </w:style>
  <w:style w:type="character" w:styleId="EndnoteReference">
    <w:name w:val="endnote reference"/>
    <w:uiPriority w:val="99"/>
    <w:unhideWhenUsed/>
    <w:rsid w:val="00AE3EB3"/>
    <w:rPr>
      <w:vertAlign w:val="superscript"/>
    </w:rPr>
  </w:style>
  <w:style w:type="paragraph" w:styleId="BalloonText">
    <w:name w:val="Balloon Text"/>
    <w:basedOn w:val="Normal"/>
    <w:link w:val="BalloonTextChar"/>
    <w:uiPriority w:val="99"/>
    <w:semiHidden/>
    <w:unhideWhenUsed/>
    <w:rsid w:val="00AE3E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3EB3"/>
    <w:rPr>
      <w:rFonts w:ascii="Tahoma" w:eastAsia="Times New Roman" w:hAnsi="Tahoma" w:cs="Tahoma"/>
      <w:sz w:val="16"/>
      <w:szCs w:val="16"/>
      <w:lang w:val="en-US"/>
    </w:rPr>
  </w:style>
  <w:style w:type="character" w:customStyle="1" w:styleId="Heading1Char">
    <w:name w:val="Heading 1 Char"/>
    <w:basedOn w:val="DefaultParagraphFont"/>
    <w:link w:val="Heading1"/>
    <w:uiPriority w:val="9"/>
    <w:rsid w:val="005105DC"/>
    <w:rPr>
      <w:rFonts w:asciiTheme="majorHAnsi" w:eastAsiaTheme="majorEastAsia" w:hAnsiTheme="majorHAnsi" w:cstheme="majorBidi"/>
      <w:b/>
      <w:bCs/>
      <w:sz w:val="32"/>
      <w:szCs w:val="28"/>
      <w:lang w:val="en-US"/>
    </w:rPr>
  </w:style>
  <w:style w:type="character" w:customStyle="1" w:styleId="Heading2Char">
    <w:name w:val="Heading 2 Char"/>
    <w:basedOn w:val="DefaultParagraphFont"/>
    <w:link w:val="Heading2"/>
    <w:uiPriority w:val="9"/>
    <w:rsid w:val="005105DC"/>
    <w:rPr>
      <w:rFonts w:asciiTheme="majorHAnsi" w:eastAsiaTheme="majorEastAsia" w:hAnsiTheme="majorHAnsi" w:cstheme="majorBidi"/>
      <w:b/>
      <w:bCs/>
      <w:sz w:val="28"/>
      <w:szCs w:val="26"/>
      <w:lang w:val="en-US"/>
    </w:rPr>
  </w:style>
  <w:style w:type="paragraph" w:styleId="EndnoteText">
    <w:name w:val="endnote text"/>
    <w:basedOn w:val="Normal"/>
    <w:link w:val="EndnoteTextChar"/>
    <w:uiPriority w:val="99"/>
    <w:semiHidden/>
    <w:unhideWhenUsed/>
    <w:rsid w:val="003D123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D123F"/>
    <w:rPr>
      <w:rFonts w:ascii="Calibri" w:eastAsia="Times New Roman" w:hAnsi="Calibri" w:cs="Times New Roman"/>
      <w:sz w:val="20"/>
      <w:szCs w:val="20"/>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it/search?biw=1034&amp;bih=595&amp;q=kyoto+giappone&amp;stick=H4sIAAAAAAAAAGOovnz8BQMDgwsHnxCXfq6-gVFhTkpGshIHiG2ZYhKvpZWdbKWfX5SemJdZlViSmZ-HwrHKSE1MKSxNLCpJLSqOOJkZvTlCdPKX33PenTroeLqzquEkAGF2dBRhAAAA&amp;sa=X&amp;ei=paTDVJ_6GMi9Udi0grAB&amp;ved=0CJkBEJsTKAEwEQ"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36918-C40D-4447-B3E9-6BEA00D08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737</Words>
  <Characters>4203</Characters>
  <Application>Microsoft Office Word</Application>
  <DocSecurity>0</DocSecurity>
  <Lines>35</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Hewlett-Packard Company</Company>
  <LinksUpToDate>false</LinksUpToDate>
  <CharactersWithSpaces>4931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simone</dc:creator>
  <cp:lastModifiedBy>simone.lanini</cp:lastModifiedBy>
  <cp:revision>3</cp:revision>
  <dcterms:created xsi:type="dcterms:W3CDTF">2015-10-07T12:15:00Z</dcterms:created>
  <dcterms:modified xsi:type="dcterms:W3CDTF">2015-10-07T12:17:00Z</dcterms:modified>
</cp:coreProperties>
</file>