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BD437E">
        <w:rPr>
          <w:rFonts w:ascii="Times New Roman" w:eastAsia="Calibri" w:hAnsi="Times New Roman" w:cs="Times New Roman"/>
          <w:b/>
        </w:rPr>
        <w:t>Additional file1</w:t>
      </w:r>
    </w:p>
    <w:p w:rsidR="00BD437E" w:rsidRPr="00BD437E" w:rsidRDefault="00BD437E" w:rsidP="00BD437E">
      <w:pPr>
        <w:spacing w:after="200" w:line="276" w:lineRule="auto"/>
        <w:rPr>
          <w:rFonts w:ascii="Calibri" w:eastAsia="Calibri" w:hAnsi="Calibri" w:cs="Times New Roman"/>
        </w:rPr>
      </w:pPr>
      <w:r w:rsidRPr="00BD437E">
        <w:rPr>
          <w:rFonts w:ascii="Times New Roman" w:eastAsia="Calibri" w:hAnsi="Times New Roman" w:cs="Times New Roman"/>
          <w:b/>
        </w:rPr>
        <w:t>Table S1: 90-day all-cause mortality in relation to patient characteristics prior to infection</w:t>
      </w:r>
    </w:p>
    <w:tbl>
      <w:tblPr>
        <w:tblStyle w:val="TableGrid"/>
        <w:tblW w:w="1099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265"/>
        <w:gridCol w:w="1069"/>
        <w:gridCol w:w="1131"/>
        <w:gridCol w:w="1545"/>
        <w:gridCol w:w="985"/>
        <w:gridCol w:w="1265"/>
        <w:gridCol w:w="1347"/>
      </w:tblGrid>
      <w:tr w:rsidR="00BD437E" w:rsidRPr="00BD437E" w:rsidTr="00EE4726">
        <w:tc>
          <w:tcPr>
            <w:tcW w:w="2388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Characteristic</w:t>
            </w:r>
          </w:p>
        </w:tc>
        <w:tc>
          <w:tcPr>
            <w:tcW w:w="1266" w:type="dxa"/>
            <w:vMerge w:val="restart"/>
            <w:tcBorders>
              <w:right w:val="single" w:sz="4" w:space="0" w:color="auto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No. of deaths within 90 days</w:t>
            </w:r>
          </w:p>
        </w:tc>
        <w:tc>
          <w:tcPr>
            <w:tcW w:w="1069" w:type="dxa"/>
            <w:vMerge w:val="restart"/>
            <w:tcBorders>
              <w:left w:val="single" w:sz="4" w:space="0" w:color="auto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90-day </w:t>
            </w:r>
            <w:proofErr w:type="spellStart"/>
            <w:r w:rsidRPr="00BD437E">
              <w:rPr>
                <w:rFonts w:ascii="Times New Roman" w:eastAsia="Calibri" w:hAnsi="Times New Roman" w:cs="Times New Roman"/>
              </w:rPr>
              <w:t>mortalitywithin</w:t>
            </w:r>
            <w:proofErr w:type="spellEnd"/>
            <w:r w:rsidRPr="00BD437E">
              <w:rPr>
                <w:rFonts w:ascii="Times New Roman" w:eastAsia="Calibri" w:hAnsi="Times New Roman" w:cs="Times New Roman"/>
              </w:rPr>
              <w:t xml:space="preserve"> category (%)</w:t>
            </w:r>
          </w:p>
        </w:tc>
        <w:tc>
          <w:tcPr>
            <w:tcW w:w="6271" w:type="dxa"/>
            <w:gridSpan w:val="5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Age- and sex-adjusted</w:t>
            </w:r>
          </w:p>
        </w:tc>
      </w:tr>
      <w:tr w:rsidR="00BD437E" w:rsidRPr="00BD437E" w:rsidTr="00EE4726">
        <w:tc>
          <w:tcPr>
            <w:tcW w:w="2388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266" w:type="dxa"/>
            <w:vMerge/>
            <w:tcBorders>
              <w:right w:val="single" w:sz="4" w:space="0" w:color="auto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Odds ratio 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95% CI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p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Mortality risk (%)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95% CI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  <w:lang w:val="nb-NO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b/>
                <w:lang w:val="nb-NO"/>
              </w:rPr>
              <w:t>Age (years</w:t>
            </w:r>
            <w:r w:rsidRPr="00BD437E">
              <w:rPr>
                <w:rFonts w:ascii="Times New Roman" w:eastAsia="Calibri" w:hAnsi="Times New Roman" w:cs="Times New Roman"/>
                <w:lang w:val="nb-NO"/>
              </w:rPr>
              <w:t>)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&lt; 70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15</w:t>
            </w:r>
          </w:p>
        </w:tc>
        <w:tc>
          <w:tcPr>
            <w:tcW w:w="1069" w:type="dxa"/>
          </w:tcPr>
          <w:p w:rsidR="00BD437E" w:rsidRPr="00BD437E" w:rsidRDefault="00F263A7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F263A7">
              <w:rPr>
                <w:rFonts w:ascii="Times New Roman" w:eastAsia="Calibri" w:hAnsi="Times New Roman" w:cs="Times New Roman"/>
                <w:highlight w:val="yellow"/>
                <w:lang w:val="nb-NO"/>
              </w:rPr>
              <w:t>7.5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 xml:space="preserve">  1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Reference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10.1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5.1-15.1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70-79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19</w:t>
            </w:r>
          </w:p>
        </w:tc>
        <w:tc>
          <w:tcPr>
            <w:tcW w:w="1069" w:type="dxa"/>
          </w:tcPr>
          <w:p w:rsidR="00BD437E" w:rsidRPr="00BD437E" w:rsidRDefault="00F263A7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F263A7">
              <w:rPr>
                <w:rFonts w:ascii="Times New Roman" w:eastAsia="Calibri" w:hAnsi="Times New Roman" w:cs="Times New Roman"/>
                <w:highlight w:val="yellow"/>
                <w:lang w:val="nb-NO"/>
              </w:rPr>
              <w:t>18.3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3.45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1.70-7.01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0.005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20.7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13.0-28.4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≥80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31.8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4.00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3.32-12.95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&lt;0.001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33.0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23.7-42.2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p for trend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&lt;0.001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 xml:space="preserve">Sex 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Male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19.6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20.1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15.0-25.1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Female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13.3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0.56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0.32-0.98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0.053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13.0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8.4-17.5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BD437E">
              <w:rPr>
                <w:rFonts w:ascii="Times New Roman" w:eastAsia="Calibri" w:hAnsi="Times New Roman" w:cs="Times New Roman"/>
                <w:b/>
              </w:rPr>
              <w:t>Charlson</w:t>
            </w:r>
            <w:proofErr w:type="spellEnd"/>
            <w:r w:rsidRPr="00BD437E">
              <w:rPr>
                <w:rFonts w:ascii="Times New Roman" w:eastAsia="Calibri" w:hAnsi="Times New Roman" w:cs="Times New Roman"/>
                <w:b/>
              </w:rPr>
              <w:t xml:space="preserve"> Comorbidity index (CCI)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8.3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  1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12.9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6.3-19.5</w:t>
            </w:r>
          </w:p>
        </w:tc>
      </w:tr>
      <w:tr w:rsidR="00BD437E" w:rsidRPr="00BD437E" w:rsidTr="00EE4726">
        <w:trPr>
          <w:trHeight w:val="180"/>
        </w:trPr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15.3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1.27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0.60-2.70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0.52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13.4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9.0-17.9</w:t>
            </w:r>
          </w:p>
        </w:tc>
      </w:tr>
      <w:tr w:rsidR="00BD437E" w:rsidRPr="00BD437E" w:rsidTr="00EE4726">
        <w:trPr>
          <w:trHeight w:val="180"/>
        </w:trPr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≥3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35.0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3.44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1.55-7.65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&lt;0.002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27.2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18.8-35.7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Comorbidities*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Malignant disease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31.1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2.39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1.33-4.33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0.004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25.8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17.6-34.0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Renal failure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29.2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1.92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0.72-5.02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0.20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25.2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10.0-40.4</w:t>
            </w:r>
          </w:p>
        </w:tc>
        <w:bookmarkStart w:id="0" w:name="_GoBack"/>
        <w:bookmarkEnd w:id="0"/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Diabetes mellitus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19.6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0.99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0.45-2.17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0.90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17.2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7.9-26.5</w:t>
            </w:r>
          </w:p>
        </w:tc>
      </w:tr>
      <w:tr w:rsidR="00BD437E" w:rsidRPr="00BD437E" w:rsidTr="00EE4726">
        <w:trPr>
          <w:trHeight w:val="216"/>
        </w:trPr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Hypertension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27.5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1.88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1.04-3.43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0.04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28.0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15.3-30.3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Coronary heart disease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22.6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0.82 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0.40-1.49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0.45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14.5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8.4-20.7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Heart failure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30.0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1.15  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0.52-2.47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0.75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18.0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8.6-27.5</w:t>
            </w:r>
          </w:p>
        </w:tc>
      </w:tr>
      <w:tr w:rsidR="00BD437E" w:rsidRPr="00BD437E" w:rsidTr="00EE4726">
        <w:tc>
          <w:tcPr>
            <w:tcW w:w="238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Chronic pulmonary disease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06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12.5</w:t>
            </w:r>
          </w:p>
        </w:tc>
        <w:tc>
          <w:tcPr>
            <w:tcW w:w="112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0.58</w:t>
            </w:r>
          </w:p>
        </w:tc>
        <w:tc>
          <w:tcPr>
            <w:tcW w:w="154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0.29-1.17</w:t>
            </w:r>
          </w:p>
        </w:tc>
        <w:tc>
          <w:tcPr>
            <w:tcW w:w="98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1266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11.9</w:t>
            </w:r>
          </w:p>
        </w:tc>
        <w:tc>
          <w:tcPr>
            <w:tcW w:w="134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5.8-18.1</w:t>
            </w:r>
          </w:p>
        </w:tc>
      </w:tr>
      <w:tr w:rsidR="00BD437E" w:rsidRPr="00BD437E" w:rsidTr="00EE4726">
        <w:tc>
          <w:tcPr>
            <w:tcW w:w="2388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Cerebral ischemic disease</w:t>
            </w:r>
          </w:p>
        </w:tc>
        <w:tc>
          <w:tcPr>
            <w:tcW w:w="1266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069" w:type="dxa"/>
            <w:tcBorders>
              <w:bottom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22.5</w:t>
            </w:r>
          </w:p>
        </w:tc>
        <w:tc>
          <w:tcPr>
            <w:tcW w:w="1126" w:type="dxa"/>
            <w:tcBorders>
              <w:bottom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0.91</w:t>
            </w:r>
          </w:p>
        </w:tc>
        <w:tc>
          <w:tcPr>
            <w:tcW w:w="1546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0.40-2.08</w:t>
            </w:r>
          </w:p>
        </w:tc>
        <w:tc>
          <w:tcPr>
            <w:tcW w:w="985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0.82</w:t>
            </w:r>
          </w:p>
        </w:tc>
        <w:tc>
          <w:tcPr>
            <w:tcW w:w="1266" w:type="dxa"/>
            <w:vMerge w:val="restart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15.6</w:t>
            </w:r>
          </w:p>
        </w:tc>
        <w:tc>
          <w:tcPr>
            <w:tcW w:w="1348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6.4-24.9</w:t>
            </w:r>
          </w:p>
        </w:tc>
      </w:tr>
      <w:tr w:rsidR="00BD437E" w:rsidRPr="00BD437E" w:rsidTr="00EE4726">
        <w:tc>
          <w:tcPr>
            <w:tcW w:w="2388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6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4" w:type="dxa"/>
            <w:tcBorders>
              <w:top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5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6" w:type="dxa"/>
            <w:vMerge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8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BD437E">
        <w:rPr>
          <w:rFonts w:ascii="Times New Roman" w:eastAsia="Calibri" w:hAnsi="Times New Roman" w:cs="Times New Roman"/>
          <w:b/>
        </w:rPr>
        <w:t>*</w:t>
      </w:r>
      <w:r w:rsidRPr="00BD437E">
        <w:rPr>
          <w:rFonts w:ascii="Times New Roman" w:eastAsia="Calibri" w:hAnsi="Times New Roman" w:cs="Times New Roman"/>
        </w:rPr>
        <w:t>Those not having the condition were used as reference category</w:t>
      </w:r>
      <w:r w:rsidRPr="00BD437E">
        <w:rPr>
          <w:rFonts w:ascii="Times New Roman" w:eastAsia="Calibri" w:hAnsi="Times New Roman" w:cs="Times New Roman"/>
          <w:b/>
        </w:rPr>
        <w:br w:type="page"/>
      </w: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BD437E">
        <w:rPr>
          <w:rFonts w:ascii="Times New Roman" w:eastAsia="Calibri" w:hAnsi="Times New Roman" w:cs="Times New Roman"/>
          <w:b/>
        </w:rPr>
        <w:lastRenderedPageBreak/>
        <w:t>Table S1a 90-day all-cause mortality in relation to gender</w:t>
      </w:r>
    </w:p>
    <w:tbl>
      <w:tblPr>
        <w:tblStyle w:val="TableGrid"/>
        <w:tblW w:w="13053" w:type="dxa"/>
        <w:tblInd w:w="-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869"/>
        <w:gridCol w:w="1079"/>
        <w:gridCol w:w="1269"/>
        <w:gridCol w:w="718"/>
        <w:gridCol w:w="1133"/>
        <w:gridCol w:w="718"/>
        <w:gridCol w:w="2095"/>
        <w:gridCol w:w="806"/>
        <w:gridCol w:w="1145"/>
        <w:gridCol w:w="758"/>
        <w:gridCol w:w="1185"/>
        <w:gridCol w:w="893"/>
      </w:tblGrid>
      <w:tr w:rsidR="00BD437E" w:rsidRPr="00BD437E" w:rsidTr="00EE4726">
        <w:tc>
          <w:tcPr>
            <w:tcW w:w="391" w:type="dxa"/>
            <w:vMerge w:val="restart"/>
            <w:tcBorders>
              <w:top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 xml:space="preserve">   </w:t>
            </w:r>
            <w:r w:rsidRPr="00BD437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 xml:space="preserve">   </w:t>
            </w:r>
          </w:p>
        </w:tc>
        <w:tc>
          <w:tcPr>
            <w:tcW w:w="2964" w:type="dxa"/>
            <w:gridSpan w:val="3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89" w:type="dxa"/>
            <w:gridSpan w:val="4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Age and comorbidity adjusted</w:t>
            </w:r>
          </w:p>
        </w:tc>
        <w:tc>
          <w:tcPr>
            <w:tcW w:w="2777" w:type="dxa"/>
            <w:gridSpan w:val="3"/>
            <w:tcBorders>
              <w:right w:val="single" w:sz="4" w:space="0" w:color="auto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 xml:space="preserve"> Extended adjustment**</w:t>
            </w:r>
            <w:r w:rsidRPr="00BD437E">
              <w:rPr>
                <w:rFonts w:ascii="Times New Roman" w:eastAsia="Calibri" w:hAnsi="Times New Roman" w:cs="Times New Roman"/>
                <w:b/>
              </w:rPr>
              <w:br/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15" w:type="dxa"/>
            <w:tcBorders>
              <w:lef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D437E" w:rsidRPr="00BD437E" w:rsidTr="00EE4726">
        <w:tc>
          <w:tcPr>
            <w:tcW w:w="391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0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Sex</w:t>
            </w:r>
          </w:p>
        </w:tc>
        <w:tc>
          <w:tcPr>
            <w:tcW w:w="110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No of deaths within 90 days </w:t>
            </w:r>
          </w:p>
        </w:tc>
        <w:tc>
          <w:tcPr>
            <w:tcW w:w="130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90-day mortality within category (%)</w:t>
            </w:r>
          </w:p>
        </w:tc>
        <w:tc>
          <w:tcPr>
            <w:tcW w:w="73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Odds ratio</w:t>
            </w:r>
          </w:p>
        </w:tc>
        <w:tc>
          <w:tcPr>
            <w:tcW w:w="1163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95 %CI</w:t>
            </w:r>
          </w:p>
        </w:tc>
        <w:tc>
          <w:tcPr>
            <w:tcW w:w="73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p</w:t>
            </w:r>
          </w:p>
        </w:tc>
        <w:tc>
          <w:tcPr>
            <w:tcW w:w="215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2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Odds ratio</w:t>
            </w:r>
          </w:p>
        </w:tc>
        <w:tc>
          <w:tcPr>
            <w:tcW w:w="117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95%CI</w:t>
            </w:r>
          </w:p>
        </w:tc>
        <w:tc>
          <w:tcPr>
            <w:tcW w:w="77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p</w:t>
            </w:r>
          </w:p>
        </w:tc>
        <w:tc>
          <w:tcPr>
            <w:tcW w:w="1217" w:type="dxa"/>
            <w:vMerge/>
            <w:tcBorders>
              <w:righ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15" w:type="dxa"/>
            <w:tcBorders>
              <w:lef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95% CI</w:t>
            </w:r>
          </w:p>
        </w:tc>
      </w:tr>
      <w:tr w:rsidR="00BD437E" w:rsidRPr="00BD437E" w:rsidTr="00EE4726">
        <w:tc>
          <w:tcPr>
            <w:tcW w:w="391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0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Male</w:t>
            </w:r>
          </w:p>
        </w:tc>
        <w:tc>
          <w:tcPr>
            <w:tcW w:w="110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43 </w:t>
            </w: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0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19.6</w:t>
            </w:r>
          </w:p>
        </w:tc>
        <w:tc>
          <w:tcPr>
            <w:tcW w:w="73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63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73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5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77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17" w:type="dxa"/>
            <w:vMerge/>
            <w:tcBorders>
              <w:righ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5" w:type="dxa"/>
            <w:tcBorders>
              <w:lef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.4-24.1</w:t>
            </w:r>
          </w:p>
        </w:tc>
      </w:tr>
      <w:tr w:rsidR="00BD437E" w:rsidRPr="00BD437E" w:rsidTr="00EE4726">
        <w:tc>
          <w:tcPr>
            <w:tcW w:w="391" w:type="dxa"/>
            <w:vMerge/>
            <w:tcBorders>
              <w:bottom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0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Female</w:t>
            </w:r>
          </w:p>
        </w:tc>
        <w:tc>
          <w:tcPr>
            <w:tcW w:w="110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26 </w:t>
            </w:r>
          </w:p>
        </w:tc>
        <w:tc>
          <w:tcPr>
            <w:tcW w:w="96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13.3</w:t>
            </w:r>
          </w:p>
        </w:tc>
        <w:tc>
          <w:tcPr>
            <w:tcW w:w="73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0.62</w:t>
            </w:r>
          </w:p>
        </w:tc>
        <w:tc>
          <w:tcPr>
            <w:tcW w:w="1163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0.35-1.11</w:t>
            </w:r>
          </w:p>
        </w:tc>
        <w:tc>
          <w:tcPr>
            <w:tcW w:w="73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0.11</w:t>
            </w:r>
          </w:p>
        </w:tc>
        <w:tc>
          <w:tcPr>
            <w:tcW w:w="215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5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0.66</w:t>
            </w:r>
          </w:p>
        </w:tc>
        <w:tc>
          <w:tcPr>
            <w:tcW w:w="117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0.35-1.26</w:t>
            </w:r>
          </w:p>
        </w:tc>
        <w:tc>
          <w:tcPr>
            <w:tcW w:w="776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0.21</w:t>
            </w:r>
          </w:p>
        </w:tc>
        <w:tc>
          <w:tcPr>
            <w:tcW w:w="1217" w:type="dxa"/>
            <w:vMerge/>
            <w:tcBorders>
              <w:righ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5" w:type="dxa"/>
            <w:tcBorders>
              <w:lef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9.1-18.4</w:t>
            </w:r>
          </w:p>
        </w:tc>
      </w:tr>
      <w:tr w:rsidR="00BD437E" w:rsidRPr="00BD437E" w:rsidTr="00EE4726">
        <w:tc>
          <w:tcPr>
            <w:tcW w:w="10921" w:type="dxa"/>
            <w:gridSpan w:val="11"/>
            <w:tcBorders>
              <w:top w:val="nil"/>
              <w:bottom w:val="nil"/>
              <w:righ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17" w:type="dxa"/>
            <w:vMerge/>
            <w:tcBorders>
              <w:left w:val="nil"/>
              <w:bottom w:val="nil"/>
              <w:righ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15" w:type="dxa"/>
            <w:tcBorders>
              <w:left w:val="nil"/>
            </w:tcBorders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</w:rPr>
      </w:pPr>
      <w:r w:rsidRPr="00BD437E">
        <w:rPr>
          <w:rFonts w:ascii="Times New Roman" w:eastAsia="Calibri" w:hAnsi="Times New Roman" w:cs="Times New Roman"/>
        </w:rPr>
        <w:t>**Additionally adjusted for place of acquisition, time to antibiotics and severity</w:t>
      </w:r>
    </w:p>
    <w:p w:rsidR="00BD437E" w:rsidRPr="00BD437E" w:rsidRDefault="00BD437E" w:rsidP="00BD437E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BD437E">
        <w:rPr>
          <w:rFonts w:ascii="Times New Roman" w:eastAsia="Calibri" w:hAnsi="Times New Roman" w:cs="Times New Roman"/>
          <w:b/>
        </w:rPr>
        <w:br w:type="page"/>
      </w:r>
    </w:p>
    <w:p w:rsidR="00BD437E" w:rsidRPr="00BD437E" w:rsidRDefault="00BD437E" w:rsidP="00BD437E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BD437E">
        <w:rPr>
          <w:rFonts w:ascii="Times New Roman" w:eastAsia="Calibri" w:hAnsi="Times New Roman" w:cs="Times New Roman"/>
          <w:b/>
        </w:rPr>
        <w:lastRenderedPageBreak/>
        <w:t>Table S2: 90-day all-cause mortality in relation to disease acquisition, severity, focus and time period</w:t>
      </w:r>
    </w:p>
    <w:tbl>
      <w:tblPr>
        <w:tblStyle w:val="TableGrid"/>
        <w:tblW w:w="11106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2"/>
        <w:gridCol w:w="1134"/>
        <w:gridCol w:w="1559"/>
        <w:gridCol w:w="992"/>
        <w:gridCol w:w="1418"/>
        <w:gridCol w:w="992"/>
        <w:gridCol w:w="7"/>
        <w:gridCol w:w="1363"/>
        <w:gridCol w:w="1559"/>
      </w:tblGrid>
      <w:tr w:rsidR="00BD437E" w:rsidRPr="00BD437E" w:rsidTr="00EE4726">
        <w:trPr>
          <w:trHeight w:val="96"/>
        </w:trPr>
        <w:tc>
          <w:tcPr>
            <w:tcW w:w="2082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proofErr w:type="spellStart"/>
            <w:r w:rsidRPr="00BD437E">
              <w:rPr>
                <w:rFonts w:ascii="Times New Roman" w:eastAsia="Calibri" w:hAnsi="Times New Roman" w:cs="Times New Roman"/>
              </w:rPr>
              <w:t>Characte</w:t>
            </w:r>
            <w:r w:rsidRPr="00BD437E">
              <w:rPr>
                <w:rFonts w:ascii="Times New Roman" w:eastAsia="Calibri" w:hAnsi="Times New Roman" w:cs="Times New Roman"/>
                <w:lang w:val="nb-NO"/>
              </w:rPr>
              <w:t>ristic</w:t>
            </w:r>
            <w:proofErr w:type="spellEnd"/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No. of deaths within 90 days</w:t>
            </w:r>
          </w:p>
        </w:tc>
        <w:tc>
          <w:tcPr>
            <w:tcW w:w="1559" w:type="dxa"/>
            <w:vMerge w:val="restart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90-day mortality within category (%)</w:t>
            </w:r>
          </w:p>
        </w:tc>
        <w:tc>
          <w:tcPr>
            <w:tcW w:w="6331" w:type="dxa"/>
            <w:gridSpan w:val="6"/>
          </w:tcPr>
          <w:p w:rsidR="00BD437E" w:rsidRPr="00BD437E" w:rsidRDefault="00BD437E" w:rsidP="00BD437E">
            <w:pPr>
              <w:pBdr>
                <w:top w:val="single" w:sz="4" w:space="1" w:color="auto"/>
              </w:pBd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Age-, sex- and comorbidity-adjusted *</w:t>
            </w:r>
          </w:p>
        </w:tc>
      </w:tr>
      <w:tr w:rsidR="00BD437E" w:rsidRPr="00BD437E" w:rsidTr="00EE4726">
        <w:trPr>
          <w:trHeight w:val="389"/>
        </w:trPr>
        <w:tc>
          <w:tcPr>
            <w:tcW w:w="2082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Odds ratio 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lang w:val="nb-NO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 xml:space="preserve">  95% CI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  <w:lang w:val="nb-NO"/>
              </w:rPr>
              <w:t>p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Mortality risk (%)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    95% CI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Place of acquisition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Community acquired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tabs>
                <w:tab w:val="center" w:pos="70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13.5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14.3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10.6-18.0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Health-care associated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559" w:type="dxa"/>
          </w:tcPr>
          <w:p w:rsidR="00BD437E" w:rsidRPr="00BD437E" w:rsidRDefault="00F263A7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26.0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1.97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0.99-3.91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21.6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12.8-30.3 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Hospital acquired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38.9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3.93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0.68-2.39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34.3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15.0-53.6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Severity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  <w:color w:val="92D050"/>
              </w:rPr>
            </w:pP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Sepsis without organ failure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8.0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8.4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5.2-11.6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Severe sepsis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27.2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4.92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2.51-9.63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&lt;0.001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26.4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19.2-33.7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Septic shock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46.0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13.25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5.38-32.62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&lt;0.001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42.3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28.8-55.9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p for trend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0.37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Pitt bacteremia score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  <w:color w:val="92D050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  <w:color w:val="92D050"/>
              </w:rPr>
            </w:pP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11.9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11.7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6.5-17.0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9.9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0.74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0.32-1.71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0.49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9.2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4.6-13.7</w:t>
            </w:r>
          </w:p>
        </w:tc>
      </w:tr>
      <w:tr w:rsidR="00BD437E" w:rsidRPr="00BD437E" w:rsidTr="00EE4726">
        <w:trPr>
          <w:trHeight w:val="2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12.5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1.35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0.52-3.52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0.53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14.6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6.5-22.7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≥3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37.7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6.70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3.00-14.94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&lt;0.001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39.4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30.1-48.8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p for trend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&lt;0.001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 xml:space="preserve">Time period 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1993-2002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19.4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20.6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14.2-27.0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2003-2011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15.4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0.63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0.35-1.13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0.12</w:t>
            </w: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14.9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11.0-18.7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  <w:b/>
              </w:rPr>
            </w:pPr>
            <w:r w:rsidRPr="00BD437E">
              <w:rPr>
                <w:rFonts w:ascii="Times New Roman" w:eastAsia="Calibri" w:hAnsi="Times New Roman" w:cs="Times New Roman"/>
                <w:b/>
              </w:rPr>
              <w:t>Time to antibiotics**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&lt; 6hours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16.0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Reference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0" w:type="dxa"/>
            <w:gridSpan w:val="2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16.6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12.9-20.4</w:t>
            </w:r>
          </w:p>
        </w:tc>
      </w:tr>
      <w:tr w:rsidR="00BD437E" w:rsidRPr="00BD437E" w:rsidTr="00EE4726">
        <w:trPr>
          <w:trHeight w:val="134"/>
        </w:trPr>
        <w:tc>
          <w:tcPr>
            <w:tcW w:w="2082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&gt;6 hours</w:t>
            </w:r>
          </w:p>
        </w:tc>
        <w:tc>
          <w:tcPr>
            <w:tcW w:w="1134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18.1</w:t>
            </w:r>
          </w:p>
        </w:tc>
        <w:tc>
          <w:tcPr>
            <w:tcW w:w="992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1.01</w:t>
            </w:r>
          </w:p>
        </w:tc>
        <w:tc>
          <w:tcPr>
            <w:tcW w:w="1418" w:type="dxa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 xml:space="preserve">  0.53-1.94</w:t>
            </w:r>
          </w:p>
        </w:tc>
        <w:tc>
          <w:tcPr>
            <w:tcW w:w="999" w:type="dxa"/>
            <w:gridSpan w:val="2"/>
          </w:tcPr>
          <w:p w:rsidR="00BD437E" w:rsidRPr="00BD437E" w:rsidRDefault="00BD437E" w:rsidP="00BD437E">
            <w:pPr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0.97</w:t>
            </w:r>
          </w:p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</w:tcPr>
          <w:p w:rsidR="00BD437E" w:rsidRPr="00BD437E" w:rsidRDefault="00BD437E" w:rsidP="00BD437E">
            <w:pPr>
              <w:ind w:left="376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16.7</w:t>
            </w:r>
          </w:p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BD437E" w:rsidRPr="00BD437E" w:rsidRDefault="00BD437E" w:rsidP="00BD437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D437E">
              <w:rPr>
                <w:rFonts w:ascii="Times New Roman" w:eastAsia="Calibri" w:hAnsi="Times New Roman" w:cs="Times New Roman"/>
              </w:rPr>
              <w:t>11.2-22.3</w:t>
            </w:r>
          </w:p>
        </w:tc>
      </w:tr>
    </w:tbl>
    <w:p w:rsidR="00BD437E" w:rsidRPr="00BD437E" w:rsidRDefault="00BD437E" w:rsidP="00BD437E">
      <w:pPr>
        <w:tabs>
          <w:tab w:val="left" w:pos="10860"/>
        </w:tabs>
        <w:spacing w:after="200" w:line="276" w:lineRule="auto"/>
        <w:ind w:left="360"/>
        <w:rPr>
          <w:rFonts w:ascii="Times New Roman" w:eastAsia="Calibri" w:hAnsi="Times New Roman" w:cs="Times New Roman"/>
          <w:sz w:val="20"/>
          <w:szCs w:val="20"/>
        </w:rPr>
      </w:pPr>
      <w:r w:rsidRPr="00BD437E">
        <w:rPr>
          <w:rFonts w:ascii="Times New Roman" w:eastAsia="Calibri" w:hAnsi="Times New Roman" w:cs="Times New Roman"/>
        </w:rPr>
        <w:t xml:space="preserve">*Adjusted for </w:t>
      </w:r>
      <w:proofErr w:type="spellStart"/>
      <w:r w:rsidRPr="00BD437E">
        <w:rPr>
          <w:rFonts w:ascii="Times New Roman" w:eastAsia="Calibri" w:hAnsi="Times New Roman" w:cs="Times New Roman"/>
        </w:rPr>
        <w:t>Charlson</w:t>
      </w:r>
      <w:proofErr w:type="spellEnd"/>
      <w:r w:rsidRPr="00BD437E">
        <w:rPr>
          <w:rFonts w:ascii="Times New Roman" w:eastAsia="Calibri" w:hAnsi="Times New Roman" w:cs="Times New Roman"/>
        </w:rPr>
        <w:t xml:space="preserve"> Comorbidity Index: 0, 1-2 and ≥3 **Also adjusted for severity </w:t>
      </w:r>
      <w:r w:rsidRPr="00BD437E">
        <w:rPr>
          <w:rFonts w:ascii="Times New Roman" w:eastAsia="Calibri" w:hAnsi="Times New Roman" w:cs="Times New Roman"/>
          <w:sz w:val="20"/>
          <w:szCs w:val="20"/>
        </w:rPr>
        <w:tab/>
      </w: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D437E" w:rsidRPr="00BD437E" w:rsidRDefault="00BD437E" w:rsidP="00BD437E">
      <w:pPr>
        <w:spacing w:after="200" w:line="276" w:lineRule="auto"/>
        <w:rPr>
          <w:rFonts w:ascii="Calibri" w:eastAsia="Calibri" w:hAnsi="Calibri" w:cs="Times New Roman"/>
        </w:rPr>
      </w:pPr>
    </w:p>
    <w:p w:rsidR="00BD437E" w:rsidRPr="00BD437E" w:rsidRDefault="00BD437E" w:rsidP="00BD437E">
      <w:pPr>
        <w:spacing w:after="200" w:line="276" w:lineRule="auto"/>
        <w:rPr>
          <w:rFonts w:ascii="Calibri" w:eastAsia="Calibri" w:hAnsi="Calibri" w:cs="Times New Roman"/>
        </w:rPr>
      </w:pP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:rsidR="00BD437E" w:rsidRPr="00BD437E" w:rsidRDefault="00BD437E" w:rsidP="00BD437E">
      <w:pPr>
        <w:spacing w:after="200" w:line="276" w:lineRule="auto"/>
        <w:rPr>
          <w:rFonts w:ascii="Times New Roman" w:eastAsia="Calibri" w:hAnsi="Times New Roman" w:cs="Times New Roman"/>
        </w:rPr>
      </w:pPr>
    </w:p>
    <w:sectPr w:rsidR="00BD437E" w:rsidRPr="00BD437E" w:rsidSect="00C227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50E" w:rsidRDefault="009F050E" w:rsidP="008C12D3">
      <w:pPr>
        <w:spacing w:after="0" w:line="240" w:lineRule="auto"/>
      </w:pPr>
      <w:r>
        <w:separator/>
      </w:r>
    </w:p>
  </w:endnote>
  <w:endnote w:type="continuationSeparator" w:id="0">
    <w:p w:rsidR="009F050E" w:rsidRDefault="009F050E" w:rsidP="008C1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2" w:rsidRDefault="009F05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2" w:rsidRDefault="009F05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2" w:rsidRDefault="009F0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50E" w:rsidRDefault="009F050E" w:rsidP="008C12D3">
      <w:pPr>
        <w:spacing w:after="0" w:line="240" w:lineRule="auto"/>
      </w:pPr>
      <w:r>
        <w:separator/>
      </w:r>
    </w:p>
  </w:footnote>
  <w:footnote w:type="continuationSeparator" w:id="0">
    <w:p w:rsidR="009F050E" w:rsidRDefault="009F050E" w:rsidP="008C1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2" w:rsidRDefault="009F0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2" w:rsidRPr="00C60401" w:rsidRDefault="009F050E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242" w:rsidRDefault="009F05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7C"/>
    <w:rsid w:val="000F548A"/>
    <w:rsid w:val="001108E7"/>
    <w:rsid w:val="002116E5"/>
    <w:rsid w:val="00317F7C"/>
    <w:rsid w:val="00445E83"/>
    <w:rsid w:val="008B09A9"/>
    <w:rsid w:val="008C12D3"/>
    <w:rsid w:val="009908A4"/>
    <w:rsid w:val="009F050E"/>
    <w:rsid w:val="00A15777"/>
    <w:rsid w:val="00B83A10"/>
    <w:rsid w:val="00BD437E"/>
    <w:rsid w:val="00E220EB"/>
    <w:rsid w:val="00F2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B3A6"/>
  <w15:docId w15:val="{72491536-F421-4CC9-BA92-472BD379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2D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437E"/>
    <w:pPr>
      <w:spacing w:after="0" w:line="240" w:lineRule="auto"/>
    </w:pPr>
    <w:tblPr/>
  </w:style>
  <w:style w:type="paragraph" w:styleId="Header">
    <w:name w:val="header"/>
    <w:basedOn w:val="Normal"/>
    <w:link w:val="HeaderChar"/>
    <w:uiPriority w:val="99"/>
    <w:unhideWhenUsed/>
    <w:rsid w:val="00BD437E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HeaderChar">
    <w:name w:val="Header Char"/>
    <w:basedOn w:val="DefaultParagraphFont"/>
    <w:link w:val="Header"/>
    <w:uiPriority w:val="99"/>
    <w:rsid w:val="00BD437E"/>
  </w:style>
  <w:style w:type="paragraph" w:styleId="Footer">
    <w:name w:val="footer"/>
    <w:basedOn w:val="Normal"/>
    <w:link w:val="FooterChar"/>
    <w:uiPriority w:val="99"/>
    <w:unhideWhenUsed/>
    <w:rsid w:val="00BD437E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BD4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Susanne Askim</dc:creator>
  <cp:keywords/>
  <dc:description/>
  <cp:lastModifiedBy>Åsa Susanne Askim</cp:lastModifiedBy>
  <cp:revision>2</cp:revision>
  <dcterms:created xsi:type="dcterms:W3CDTF">2016-05-18T14:12:00Z</dcterms:created>
  <dcterms:modified xsi:type="dcterms:W3CDTF">2016-05-18T14:12:00Z</dcterms:modified>
</cp:coreProperties>
</file>