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3BB" w:rsidRPr="0036035F" w:rsidRDefault="0051615F" w:rsidP="000453BB">
      <w:pPr>
        <w:spacing w:before="240" w:after="0"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Additional file 1</w:t>
      </w:r>
    </w:p>
    <w:p w:rsidR="000453BB" w:rsidRPr="002343D6" w:rsidDel="00A8624A" w:rsidRDefault="000453BB" w:rsidP="000453BB">
      <w:pPr>
        <w:spacing w:line="480" w:lineRule="auto"/>
        <w:rPr>
          <w:rFonts w:ascii="Times New Roman" w:eastAsia="Calibri" w:hAnsi="Times New Roman" w:cs="Times New Roman"/>
          <w:sz w:val="24"/>
          <w:szCs w:val="24"/>
          <w:u w:val="single"/>
        </w:rPr>
      </w:pPr>
      <w:r w:rsidRPr="002343D6" w:rsidDel="00A8624A">
        <w:rPr>
          <w:rFonts w:ascii="Times New Roman" w:eastAsia="Calibri" w:hAnsi="Times New Roman" w:cs="Times New Roman"/>
          <w:sz w:val="24"/>
          <w:szCs w:val="24"/>
          <w:u w:val="single"/>
        </w:rPr>
        <w:t xml:space="preserve">Susceptibility inputs - Program to Assess </w:t>
      </w:r>
      <w:proofErr w:type="spellStart"/>
      <w:r w:rsidRPr="002343D6" w:rsidDel="00A8624A">
        <w:rPr>
          <w:rFonts w:ascii="Times New Roman" w:eastAsia="Calibri" w:hAnsi="Times New Roman" w:cs="Times New Roman"/>
          <w:sz w:val="24"/>
          <w:szCs w:val="24"/>
          <w:u w:val="single"/>
        </w:rPr>
        <w:t>Ceftolozane</w:t>
      </w:r>
      <w:proofErr w:type="spellEnd"/>
      <w:r w:rsidRPr="002343D6" w:rsidDel="00A8624A">
        <w:rPr>
          <w:rFonts w:ascii="Times New Roman" w:eastAsia="Calibri" w:hAnsi="Times New Roman" w:cs="Times New Roman"/>
          <w:sz w:val="24"/>
          <w:szCs w:val="24"/>
          <w:u w:val="single"/>
        </w:rPr>
        <w:t>/</w:t>
      </w:r>
      <w:proofErr w:type="spellStart"/>
      <w:r w:rsidRPr="002343D6" w:rsidDel="00A8624A">
        <w:rPr>
          <w:rFonts w:ascii="Times New Roman" w:eastAsia="Calibri" w:hAnsi="Times New Roman" w:cs="Times New Roman"/>
          <w:sz w:val="24"/>
          <w:szCs w:val="24"/>
          <w:u w:val="single"/>
        </w:rPr>
        <w:t>Tazobactam</w:t>
      </w:r>
      <w:proofErr w:type="spellEnd"/>
      <w:r w:rsidRPr="002343D6" w:rsidDel="00A8624A">
        <w:rPr>
          <w:rFonts w:ascii="Times New Roman" w:eastAsia="Calibri" w:hAnsi="Times New Roman" w:cs="Times New Roman"/>
          <w:sz w:val="24"/>
          <w:szCs w:val="24"/>
          <w:u w:val="single"/>
        </w:rPr>
        <w:t xml:space="preserve"> Susceptibility (PACTS) dataset</w:t>
      </w:r>
      <w:bookmarkStart w:id="0" w:name="_GoBack"/>
      <w:bookmarkEnd w:id="0"/>
    </w:p>
    <w:p w:rsidR="000453BB" w:rsidRPr="002343D6" w:rsidDel="00A8624A" w:rsidRDefault="000453BB" w:rsidP="000453BB">
      <w:pPr>
        <w:spacing w:line="480" w:lineRule="auto"/>
        <w:rPr>
          <w:rFonts w:ascii="Times New Roman" w:eastAsia="Calibri" w:hAnsi="Times New Roman" w:cs="Times New Roman"/>
          <w:sz w:val="24"/>
          <w:szCs w:val="24"/>
        </w:rPr>
      </w:pPr>
      <w:r w:rsidRPr="002343D6" w:rsidDel="00A8624A">
        <w:rPr>
          <w:rFonts w:ascii="Times New Roman" w:eastAsia="Calibri" w:hAnsi="Times New Roman" w:cs="Times New Roman"/>
          <w:sz w:val="24"/>
          <w:szCs w:val="24"/>
        </w:rPr>
        <w:t xml:space="preserve">The isolates used for the patient-level simulation were sampled from the PACTS surveillance data. PACTS is a surveillance study evaluating the activity of </w:t>
      </w:r>
      <w:proofErr w:type="spellStart"/>
      <w:r w:rsidRPr="002343D6" w:rsidDel="00A8624A">
        <w:rPr>
          <w:rFonts w:ascii="Times New Roman" w:eastAsia="Calibri" w:hAnsi="Times New Roman" w:cs="Times New Roman"/>
          <w:sz w:val="24"/>
          <w:szCs w:val="24"/>
        </w:rPr>
        <w:t>ceftolozane</w:t>
      </w:r>
      <w:proofErr w:type="spellEnd"/>
      <w:r w:rsidRPr="002343D6" w:rsidDel="00A8624A">
        <w:rPr>
          <w:rFonts w:ascii="Times New Roman" w:eastAsia="Calibri" w:hAnsi="Times New Roman" w:cs="Times New Roman"/>
          <w:sz w:val="24"/>
          <w:szCs w:val="24"/>
        </w:rPr>
        <w:t>/</w:t>
      </w:r>
      <w:proofErr w:type="spellStart"/>
      <w:r w:rsidRPr="002343D6" w:rsidDel="00A8624A">
        <w:rPr>
          <w:rFonts w:ascii="Times New Roman" w:eastAsia="Calibri" w:hAnsi="Times New Roman" w:cs="Times New Roman"/>
          <w:sz w:val="24"/>
          <w:szCs w:val="24"/>
        </w:rPr>
        <w:t>tazobactam</w:t>
      </w:r>
      <w:proofErr w:type="spellEnd"/>
      <w:r w:rsidRPr="002343D6" w:rsidDel="00A8624A">
        <w:rPr>
          <w:rFonts w:ascii="Times New Roman" w:eastAsia="Calibri" w:hAnsi="Times New Roman" w:cs="Times New Roman"/>
          <w:sz w:val="24"/>
          <w:szCs w:val="24"/>
        </w:rPr>
        <w:t xml:space="preserve"> and numerous </w:t>
      </w:r>
      <w:r>
        <w:rPr>
          <w:rFonts w:ascii="Times New Roman" w:eastAsia="Calibri" w:hAnsi="Times New Roman" w:cs="Times New Roman"/>
          <w:sz w:val="24"/>
          <w:szCs w:val="24"/>
        </w:rPr>
        <w:t>anti-g</w:t>
      </w:r>
      <w:r w:rsidRPr="002343D6" w:rsidDel="00A8624A">
        <w:rPr>
          <w:rFonts w:ascii="Times New Roman" w:eastAsia="Calibri" w:hAnsi="Times New Roman" w:cs="Times New Roman"/>
          <w:sz w:val="24"/>
          <w:szCs w:val="24"/>
        </w:rPr>
        <w:t>ram-negative agents against contemporary clinical isolates obtained from hospitalized patients with serious infections including bloodstream infections, skin and skin structure infections, urinary tract infections, intra-abdominal infections, and respiratory tract infections.</w:t>
      </w:r>
      <w:r w:rsidRPr="002343D6" w:rsidDel="00A8624A">
        <w:rPr>
          <w:rFonts w:ascii="Times New Roman" w:eastAsia="Calibri" w:hAnsi="Times New Roman" w:cs="Times New Roman"/>
          <w:sz w:val="24"/>
          <w:szCs w:val="24"/>
        </w:rPr>
        <w:fldChar w:fldCharType="begin"/>
      </w:r>
      <w:r>
        <w:rPr>
          <w:rFonts w:ascii="Times New Roman" w:eastAsia="Calibri" w:hAnsi="Times New Roman" w:cs="Times New Roman"/>
          <w:sz w:val="24"/>
          <w:szCs w:val="24"/>
        </w:rPr>
        <w:instrText xml:space="preserve"> ADDIN EN.CITE &lt;EndNote&gt;&lt;Cite&gt;&lt;Author&gt;Farrell&lt;/Author&gt;&lt;Year&gt;2013&lt;/Year&gt;&lt;RecNum&gt;147&lt;/RecNum&gt;&lt;DisplayText&gt;&lt;style face="superscript"&gt;1&lt;/style&gt;&lt;/DisplayText&gt;&lt;record&gt;&lt;rec-number&gt;147&lt;/rec-number&gt;&lt;foreign-keys&gt;&lt;key app="EN" db-id="zvp5t9zdk525ffe5w0gp050z090a0azxwase" timestamp="1447252492"&gt;147&lt;/key&gt;&lt;/foreign-keys&gt;&lt;ref-type name="Report"&gt;27&lt;/ref-type&gt;&lt;contributors&gt;&lt;authors&gt;&lt;author&gt;Farrell, D. J.&lt;/author&gt;&lt;/authors&gt;&lt;/contributors&gt;&lt;titles&gt;&lt;title&gt;Surveillance of ceftolozane/tazobactam antimicrobial activity tested against gram-negative organisms and streptococci (selected) isolated in the United States (13-CUB-02-USA/CXA.087.MC)&lt;/title&gt;&lt;/titles&gt;&lt;dates&gt;&lt;year&gt;2013&lt;/year&gt;&lt;/dates&gt;&lt;publisher&gt;Cubist Pharmaceuticals&lt;/publisher&gt;&lt;urls&gt;&lt;/urls&gt;&lt;/record&gt;&lt;/Cite&gt;&lt;/EndNote&gt;</w:instrText>
      </w:r>
      <w:r w:rsidRPr="002343D6" w:rsidDel="00A8624A">
        <w:rPr>
          <w:rFonts w:ascii="Times New Roman" w:eastAsia="Calibri" w:hAnsi="Times New Roman" w:cs="Times New Roman"/>
          <w:sz w:val="24"/>
          <w:szCs w:val="24"/>
        </w:rPr>
        <w:fldChar w:fldCharType="separate"/>
      </w:r>
      <w:r w:rsidRPr="000453BB">
        <w:rPr>
          <w:rFonts w:ascii="Times New Roman" w:eastAsia="Calibri" w:hAnsi="Times New Roman" w:cs="Times New Roman"/>
          <w:noProof/>
          <w:sz w:val="24"/>
          <w:szCs w:val="24"/>
          <w:vertAlign w:val="superscript"/>
        </w:rPr>
        <w:t>1</w:t>
      </w:r>
      <w:r w:rsidRPr="002343D6" w:rsidDel="00A8624A">
        <w:rPr>
          <w:rFonts w:ascii="Times New Roman" w:eastAsia="Calibri" w:hAnsi="Times New Roman" w:cs="Times New Roman"/>
          <w:sz w:val="24"/>
          <w:szCs w:val="24"/>
        </w:rPr>
        <w:fldChar w:fldCharType="end"/>
      </w:r>
      <w:r w:rsidRPr="002343D6" w:rsidDel="00A8624A">
        <w:rPr>
          <w:rFonts w:ascii="Times New Roman" w:eastAsia="Calibri" w:hAnsi="Times New Roman" w:cs="Times New Roman"/>
          <w:sz w:val="24"/>
          <w:szCs w:val="24"/>
        </w:rPr>
        <w:t xml:space="preserve"> The isolates were consecutively collected from 28 medical centers located in the US and 31 medical centers in 15 European countries from January 2011 to December 2013.</w:t>
      </w:r>
      <w:r w:rsidRPr="002343D6" w:rsidDel="00A8624A">
        <w:rPr>
          <w:rFonts w:ascii="Times New Roman" w:eastAsia="Calibri" w:hAnsi="Times New Roman" w:cs="Times New Roman"/>
          <w:sz w:val="24"/>
          <w:szCs w:val="24"/>
        </w:rPr>
        <w:fldChar w:fldCharType="begin"/>
      </w:r>
      <w:r>
        <w:rPr>
          <w:rFonts w:ascii="Times New Roman" w:eastAsia="Calibri" w:hAnsi="Times New Roman" w:cs="Times New Roman"/>
          <w:sz w:val="24"/>
          <w:szCs w:val="24"/>
        </w:rPr>
        <w:instrText xml:space="preserve"> ADDIN EN.CITE &lt;EndNote&gt;&lt;Cite&gt;&lt;Author&gt;Sader&lt;/Author&gt;&lt;Year&gt;2014&lt;/Year&gt;&lt;RecNum&gt;148&lt;/RecNum&gt;&lt;DisplayText&gt;&lt;style face="superscript"&gt;2&lt;/style&gt;&lt;/DisplayText&gt;&lt;record&gt;&lt;rec-number&gt;148&lt;/rec-number&gt;&lt;foreign-keys&gt;&lt;key app="EN" db-id="zvp5t9zdk525ffe5w0gp050z090a0azxwase" timestamp="1447252509"&gt;148&lt;/key&gt;&lt;/foreign-keys&gt;&lt;ref-type name="Journal Article"&gt;17&lt;/ref-type&gt;&lt;contributors&gt;&lt;authors&gt;&lt;author&gt;Sader, H. S.&lt;/author&gt;&lt;author&gt;Farrell, D. J.&lt;/author&gt;&lt;author&gt;Flamm, R. K.&lt;/author&gt;&lt;author&gt;Jones, R. N.&lt;/author&gt;&lt;/authors&gt;&lt;/contributors&gt;&lt;auth-address&gt;JMI Laboratories, North Liberty, IA, USA. Electronic address: helio-sader@jmilabs.com.&amp;#xD;JMI Laboratories, North Liberty, IA, USA.&lt;/auth-address&gt;&lt;titles&gt;&lt;title&gt;Ceftolozane/tazobactam activity tested against aerobic Gram-negative organisms isolated from intra-abdominal and urinary tract infections in European and United States hospitals (2012)&lt;/title&gt;&lt;secondary-title&gt;J Infect&lt;/secondary-title&gt;&lt;alt-title&gt;The Journal of infection&lt;/alt-title&gt;&lt;/titles&gt;&lt;periodical&gt;&lt;full-title&gt;J Infect&lt;/full-title&gt;&lt;abbr-1&gt;The Journal of infection&lt;/abbr-1&gt;&lt;/periodical&gt;&lt;alt-periodical&gt;&lt;full-title&gt;J Infect&lt;/full-title&gt;&lt;abbr-1&gt;The Journal of infection&lt;/abbr-1&gt;&lt;/alt-periodical&gt;&lt;pages&gt;266-77&lt;/pages&gt;&lt;volume&gt;69&lt;/volume&gt;&lt;number&gt;3&lt;/number&gt;&lt;dates&gt;&lt;year&gt;2014&lt;/year&gt;&lt;pub-dates&gt;&lt;date&gt;Sep&lt;/date&gt;&lt;/pub-dates&gt;&lt;/dates&gt;&lt;isbn&gt;1532-2742 (Electronic)&amp;#xD;0163-4453 (Linking)&lt;/isbn&gt;&lt;accession-num&gt;24780763&lt;/accession-num&gt;&lt;urls&gt;&lt;related-urls&gt;&lt;url&gt;http://www.ncbi.nlm.nih.gov/pubmed/24780763&lt;/url&gt;&lt;/related-urls&gt;&lt;/urls&gt;&lt;electronic-resource-num&gt;10.1016/j.jinf.2014.04.004&lt;/electronic-resource-num&gt;&lt;/record&gt;&lt;/Cite&gt;&lt;/EndNote&gt;</w:instrText>
      </w:r>
      <w:r w:rsidRPr="002343D6" w:rsidDel="00A8624A">
        <w:rPr>
          <w:rFonts w:ascii="Times New Roman" w:eastAsia="Calibri" w:hAnsi="Times New Roman" w:cs="Times New Roman"/>
          <w:sz w:val="24"/>
          <w:szCs w:val="24"/>
        </w:rPr>
        <w:fldChar w:fldCharType="separate"/>
      </w:r>
      <w:r w:rsidRPr="000453BB">
        <w:rPr>
          <w:rFonts w:ascii="Times New Roman" w:eastAsia="Calibri" w:hAnsi="Times New Roman" w:cs="Times New Roman"/>
          <w:noProof/>
          <w:sz w:val="24"/>
          <w:szCs w:val="24"/>
          <w:vertAlign w:val="superscript"/>
        </w:rPr>
        <w:t>2</w:t>
      </w:r>
      <w:r w:rsidRPr="002343D6" w:rsidDel="00A8624A">
        <w:rPr>
          <w:rFonts w:ascii="Times New Roman" w:eastAsia="Calibri" w:hAnsi="Times New Roman" w:cs="Times New Roman"/>
          <w:sz w:val="24"/>
          <w:szCs w:val="24"/>
        </w:rPr>
        <w:fldChar w:fldCharType="end"/>
      </w:r>
      <w:r w:rsidRPr="002343D6" w:rsidDel="00A8624A">
        <w:rPr>
          <w:rFonts w:ascii="Times New Roman" w:eastAsia="Calibri" w:hAnsi="Times New Roman" w:cs="Times New Roman"/>
          <w:sz w:val="24"/>
          <w:szCs w:val="24"/>
        </w:rPr>
        <w:t xml:space="preserve"> One isolate per patient infection was included in the surveillance. Only isolates obtained from US sites were included in the analysis. </w:t>
      </w:r>
    </w:p>
    <w:p w:rsidR="000453BB" w:rsidRPr="002343D6" w:rsidDel="00A8624A" w:rsidRDefault="000453BB" w:rsidP="000453BB">
      <w:pPr>
        <w:spacing w:line="480" w:lineRule="auto"/>
        <w:rPr>
          <w:rFonts w:ascii="Times New Roman" w:eastAsia="Calibri" w:hAnsi="Times New Roman" w:cs="Times New Roman"/>
          <w:sz w:val="24"/>
          <w:szCs w:val="24"/>
        </w:rPr>
      </w:pPr>
      <w:r>
        <w:rPr>
          <w:rFonts w:ascii="Times New Roman" w:eastAsia="Calibri" w:hAnsi="Times New Roman" w:cs="Times New Roman"/>
          <w:sz w:val="24"/>
          <w:szCs w:val="24"/>
        </w:rPr>
        <w:t>To</w:t>
      </w:r>
      <w:r w:rsidRPr="002343D6" w:rsidDel="00A8624A">
        <w:rPr>
          <w:rFonts w:ascii="Times New Roman" w:eastAsia="Calibri" w:hAnsi="Times New Roman" w:cs="Times New Roman"/>
          <w:sz w:val="24"/>
          <w:szCs w:val="24"/>
        </w:rPr>
        <w:t xml:space="preserve"> assess the antimicrobial activity of </w:t>
      </w:r>
      <w:proofErr w:type="spellStart"/>
      <w:r w:rsidRPr="002343D6" w:rsidDel="00A8624A">
        <w:rPr>
          <w:rFonts w:ascii="Times New Roman" w:eastAsia="Calibri" w:hAnsi="Times New Roman" w:cs="Times New Roman"/>
          <w:sz w:val="24"/>
          <w:szCs w:val="24"/>
        </w:rPr>
        <w:t>ceftolozane</w:t>
      </w:r>
      <w:proofErr w:type="spellEnd"/>
      <w:r w:rsidRPr="002343D6" w:rsidDel="00A8624A">
        <w:rPr>
          <w:rFonts w:ascii="Times New Roman" w:eastAsia="Calibri" w:hAnsi="Times New Roman" w:cs="Times New Roman"/>
          <w:sz w:val="24"/>
          <w:szCs w:val="24"/>
        </w:rPr>
        <w:t>/</w:t>
      </w:r>
      <w:proofErr w:type="spellStart"/>
      <w:r w:rsidRPr="002343D6" w:rsidDel="00A8624A">
        <w:rPr>
          <w:rFonts w:ascii="Times New Roman" w:eastAsia="Calibri" w:hAnsi="Times New Roman" w:cs="Times New Roman"/>
          <w:sz w:val="24"/>
          <w:szCs w:val="24"/>
        </w:rPr>
        <w:t>tazobactam</w:t>
      </w:r>
      <w:proofErr w:type="spellEnd"/>
      <w:r w:rsidRPr="002343D6" w:rsidDel="00A8624A">
        <w:rPr>
          <w:rFonts w:ascii="Times New Roman" w:eastAsia="Calibri" w:hAnsi="Times New Roman" w:cs="Times New Roman"/>
          <w:sz w:val="24"/>
          <w:szCs w:val="24"/>
        </w:rPr>
        <w:t xml:space="preserve"> and other (comparator) agents, the isolates were tested for susceptibility to these agents. Minimum inhibitory concentration (MIC) values of the agents were determined using standard broth micro-dilution methods as described by the Clinical and Laboratory Standards Institute (CLSI).</w:t>
      </w:r>
      <w:r w:rsidRPr="002343D6" w:rsidDel="00A8624A">
        <w:rPr>
          <w:rFonts w:ascii="Times New Roman" w:eastAsia="Calibri" w:hAnsi="Times New Roman" w:cs="Times New Roman"/>
          <w:sz w:val="24"/>
          <w:szCs w:val="24"/>
        </w:rPr>
        <w:fldChar w:fldCharType="begin"/>
      </w:r>
      <w:r>
        <w:rPr>
          <w:rFonts w:ascii="Times New Roman" w:eastAsia="Calibri" w:hAnsi="Times New Roman" w:cs="Times New Roman"/>
          <w:sz w:val="24"/>
          <w:szCs w:val="24"/>
        </w:rPr>
        <w:instrText xml:space="preserve"> ADDIN EN.CITE &lt;EndNote&gt;&lt;Cite&gt;&lt;Author&gt;Clinical and Laboratory Standards Institute M07-A9&lt;/Author&gt;&lt;Year&gt;2012&lt;/Year&gt;&lt;RecNum&gt;149&lt;/RecNum&gt;&lt;DisplayText&gt;&lt;style face="superscript"&gt;3&lt;/style&gt;&lt;/DisplayText&gt;&lt;record&gt;&lt;rec-number&gt;149&lt;/rec-number&gt;&lt;foreign-keys&gt;&lt;key app="EN" db-id="zvp5t9zdk525ffe5w0gp050z090a0azxwase" timestamp="1447252671"&gt;149&lt;/key&gt;&lt;/foreign-keys&gt;&lt;ref-type name="Journal Article"&gt;17&lt;/ref-type&gt;&lt;contributors&gt;&lt;authors&gt;&lt;author&gt;Clinical and Laboratory Standards Institute M07-A9,&lt;/author&gt;&lt;/authors&gt;&lt;/contributors&gt;&lt;titles&gt;&lt;title&gt;Methods for dilution antimicrobial susceptibility tests for bacteria that grow aerobically; approved standard&lt;/title&gt;&lt;secondary-title&gt;CLSI&lt;/secondary-title&gt;&lt;/titles&gt;&lt;periodical&gt;&lt;full-title&gt;CLSI&lt;/full-title&gt;&lt;/periodical&gt;&lt;volume&gt;9th edition Wayne&lt;/volume&gt;&lt;dates&gt;&lt;year&gt;2012&lt;/year&gt;&lt;/dates&gt;&lt;urls&gt;&lt;/urls&gt;&lt;/record&gt;&lt;/Cite&gt;&lt;/EndNote&gt;</w:instrText>
      </w:r>
      <w:r w:rsidRPr="002343D6" w:rsidDel="00A8624A">
        <w:rPr>
          <w:rFonts w:ascii="Times New Roman" w:eastAsia="Calibri" w:hAnsi="Times New Roman" w:cs="Times New Roman"/>
          <w:sz w:val="24"/>
          <w:szCs w:val="24"/>
        </w:rPr>
        <w:fldChar w:fldCharType="separate"/>
      </w:r>
      <w:r w:rsidRPr="000453BB">
        <w:rPr>
          <w:rFonts w:ascii="Times New Roman" w:eastAsia="Calibri" w:hAnsi="Times New Roman" w:cs="Times New Roman"/>
          <w:noProof/>
          <w:sz w:val="24"/>
          <w:szCs w:val="24"/>
          <w:vertAlign w:val="superscript"/>
        </w:rPr>
        <w:t>3</w:t>
      </w:r>
      <w:r w:rsidRPr="002343D6" w:rsidDel="00A8624A">
        <w:rPr>
          <w:rFonts w:ascii="Times New Roman" w:eastAsia="Calibri" w:hAnsi="Times New Roman" w:cs="Times New Roman"/>
          <w:sz w:val="24"/>
          <w:szCs w:val="24"/>
        </w:rPr>
        <w:fldChar w:fldCharType="end"/>
      </w:r>
      <w:r w:rsidRPr="002343D6" w:rsidDel="00A8624A">
        <w:rPr>
          <w:rFonts w:ascii="Times New Roman" w:eastAsia="Calibri" w:hAnsi="Times New Roman" w:cs="Times New Roman"/>
          <w:sz w:val="24"/>
          <w:szCs w:val="24"/>
        </w:rPr>
        <w:t xml:space="preserve"> In the model, susceptibility to empiric therapy is based on the measured susceptibilities reported in the PACTS dataset.</w:t>
      </w:r>
    </w:p>
    <w:p w:rsidR="000453BB" w:rsidRPr="002343D6" w:rsidDel="00A8624A" w:rsidRDefault="000453BB" w:rsidP="000453BB">
      <w:pPr>
        <w:spacing w:line="480" w:lineRule="auto"/>
        <w:rPr>
          <w:rFonts w:ascii="Times New Roman" w:eastAsia="Calibri" w:hAnsi="Times New Roman" w:cs="Times New Roman"/>
          <w:sz w:val="24"/>
          <w:szCs w:val="24"/>
        </w:rPr>
      </w:pPr>
      <w:r w:rsidRPr="002343D6" w:rsidDel="00A8624A">
        <w:rPr>
          <w:rFonts w:ascii="Times New Roman" w:eastAsia="Calibri" w:hAnsi="Times New Roman" w:cs="Times New Roman"/>
          <w:sz w:val="24"/>
          <w:szCs w:val="24"/>
        </w:rPr>
        <w:t xml:space="preserve">The </w:t>
      </w:r>
      <w:r w:rsidRPr="009D6C09" w:rsidDel="00A8624A">
        <w:rPr>
          <w:rFonts w:ascii="Times New Roman" w:eastAsia="Calibri" w:hAnsi="Times New Roman" w:cs="Times New Roman"/>
          <w:i/>
          <w:sz w:val="24"/>
          <w:szCs w:val="24"/>
        </w:rPr>
        <w:t>in vitro</w:t>
      </w:r>
      <w:r w:rsidRPr="002343D6" w:rsidDel="00A8624A">
        <w:rPr>
          <w:rFonts w:ascii="Times New Roman" w:eastAsia="Calibri" w:hAnsi="Times New Roman" w:cs="Times New Roman"/>
          <w:sz w:val="24"/>
          <w:szCs w:val="24"/>
        </w:rPr>
        <w:t xml:space="preserve"> surveillance data from PACTS represents the best available, patient level, real-world data reflecting </w:t>
      </w:r>
      <w:proofErr w:type="spellStart"/>
      <w:r w:rsidRPr="002343D6" w:rsidDel="00A8624A">
        <w:rPr>
          <w:rFonts w:ascii="Times New Roman" w:eastAsia="Calibri" w:hAnsi="Times New Roman" w:cs="Times New Roman"/>
          <w:sz w:val="24"/>
          <w:szCs w:val="24"/>
        </w:rPr>
        <w:t>cUTI</w:t>
      </w:r>
      <w:proofErr w:type="spellEnd"/>
      <w:r w:rsidRPr="002343D6" w:rsidDel="00A8624A">
        <w:rPr>
          <w:rFonts w:ascii="Times New Roman" w:eastAsia="Calibri" w:hAnsi="Times New Roman" w:cs="Times New Roman"/>
          <w:sz w:val="24"/>
          <w:szCs w:val="24"/>
        </w:rPr>
        <w:t xml:space="preserve"> patients at risk of resistant infection in the US. However, it is not possible to exclude non-complicated UTI infections, with the exception of isolates specifically noted to be catheter-related, within PACT</w:t>
      </w:r>
      <w:r>
        <w:rPr>
          <w:rFonts w:ascii="Times New Roman" w:eastAsia="Calibri" w:hAnsi="Times New Roman" w:cs="Times New Roman"/>
          <w:sz w:val="24"/>
          <w:szCs w:val="24"/>
        </w:rPr>
        <w:t>S</w:t>
      </w:r>
      <w:r w:rsidRPr="002343D6" w:rsidDel="00A8624A">
        <w:rPr>
          <w:rFonts w:ascii="Times New Roman" w:eastAsia="Calibri" w:hAnsi="Times New Roman" w:cs="Times New Roman"/>
          <w:sz w:val="24"/>
          <w:szCs w:val="24"/>
        </w:rPr>
        <w:t xml:space="preserve">. Therefore, the PACTS dataset may not reflect the distribution of </w:t>
      </w:r>
      <w:r w:rsidRPr="002343D6" w:rsidDel="00A8624A">
        <w:rPr>
          <w:rFonts w:ascii="Times New Roman" w:eastAsia="Calibri" w:hAnsi="Times New Roman" w:cs="Times New Roman"/>
          <w:sz w:val="24"/>
          <w:szCs w:val="24"/>
        </w:rPr>
        <w:lastRenderedPageBreak/>
        <w:t xml:space="preserve">pathogens most likely to cause </w:t>
      </w:r>
      <w:proofErr w:type="spellStart"/>
      <w:r w:rsidRPr="002343D6" w:rsidDel="00A8624A">
        <w:rPr>
          <w:rFonts w:ascii="Times New Roman" w:eastAsia="Calibri" w:hAnsi="Times New Roman" w:cs="Times New Roman"/>
          <w:sz w:val="24"/>
          <w:szCs w:val="24"/>
        </w:rPr>
        <w:t>cUTI</w:t>
      </w:r>
      <w:proofErr w:type="spellEnd"/>
      <w:r w:rsidRPr="002343D6" w:rsidDel="00A8624A">
        <w:rPr>
          <w:rFonts w:ascii="Times New Roman" w:eastAsia="Calibri" w:hAnsi="Times New Roman" w:cs="Times New Roman"/>
          <w:sz w:val="24"/>
          <w:szCs w:val="24"/>
        </w:rPr>
        <w:t xml:space="preserve">. For this reason, the Premier study was used to estimate a pathogen distribution specific to </w:t>
      </w:r>
      <w:proofErr w:type="spellStart"/>
      <w:r w:rsidRPr="002343D6" w:rsidDel="00A8624A">
        <w:rPr>
          <w:rFonts w:ascii="Times New Roman" w:eastAsia="Calibri" w:hAnsi="Times New Roman" w:cs="Times New Roman"/>
          <w:sz w:val="24"/>
          <w:szCs w:val="24"/>
        </w:rPr>
        <w:t>cUTI</w:t>
      </w:r>
      <w:proofErr w:type="spellEnd"/>
      <w:r w:rsidRPr="002343D6" w:rsidDel="00A8624A">
        <w:rPr>
          <w:rFonts w:ascii="Times New Roman" w:eastAsia="Calibri" w:hAnsi="Times New Roman" w:cs="Times New Roman"/>
          <w:sz w:val="24"/>
          <w:szCs w:val="24"/>
        </w:rPr>
        <w:t>.</w:t>
      </w:r>
    </w:p>
    <w:p w:rsidR="000453BB" w:rsidRPr="002343D6" w:rsidDel="00A8624A" w:rsidRDefault="000453BB" w:rsidP="000453BB">
      <w:pPr>
        <w:spacing w:line="480" w:lineRule="auto"/>
        <w:rPr>
          <w:rFonts w:ascii="Times New Roman" w:eastAsia="Calibri" w:hAnsi="Times New Roman" w:cs="Times New Roman"/>
          <w:sz w:val="24"/>
          <w:szCs w:val="24"/>
          <w:u w:val="single"/>
        </w:rPr>
      </w:pPr>
      <w:proofErr w:type="spellStart"/>
      <w:proofErr w:type="gramStart"/>
      <w:r w:rsidRPr="002343D6" w:rsidDel="00A8624A">
        <w:rPr>
          <w:rFonts w:ascii="Times New Roman" w:eastAsia="Calibri" w:hAnsi="Times New Roman" w:cs="Times New Roman"/>
          <w:sz w:val="24"/>
          <w:szCs w:val="24"/>
          <w:u w:val="single"/>
        </w:rPr>
        <w:t>cUTI</w:t>
      </w:r>
      <w:proofErr w:type="spellEnd"/>
      <w:proofErr w:type="gramEnd"/>
      <w:r w:rsidRPr="002343D6" w:rsidDel="00A8624A">
        <w:rPr>
          <w:rFonts w:ascii="Times New Roman" w:eastAsia="Calibri" w:hAnsi="Times New Roman" w:cs="Times New Roman"/>
          <w:sz w:val="24"/>
          <w:szCs w:val="24"/>
          <w:u w:val="single"/>
        </w:rPr>
        <w:t xml:space="preserve"> pathogen distribution – Premier database </w:t>
      </w:r>
    </w:p>
    <w:p w:rsidR="000453BB" w:rsidRPr="002343D6" w:rsidDel="00A8624A" w:rsidRDefault="000453BB" w:rsidP="000453BB">
      <w:pPr>
        <w:spacing w:line="480" w:lineRule="auto"/>
        <w:rPr>
          <w:rFonts w:ascii="Times New Roman" w:eastAsia="Calibri" w:hAnsi="Times New Roman" w:cs="Times New Roman"/>
          <w:sz w:val="24"/>
          <w:szCs w:val="24"/>
        </w:rPr>
      </w:pPr>
      <w:r w:rsidRPr="002343D6" w:rsidDel="00A8624A">
        <w:rPr>
          <w:rFonts w:ascii="Times New Roman" w:eastAsia="Calibri" w:hAnsi="Times New Roman" w:cs="Times New Roman"/>
          <w:sz w:val="24"/>
          <w:szCs w:val="24"/>
        </w:rPr>
        <w:t>Premier is an alliance of community-based hospitals with over 2,800 hospital members.</w:t>
      </w:r>
      <w:r>
        <w:rPr>
          <w:rFonts w:ascii="Times New Roman" w:eastAsia="Calibri" w:hAnsi="Times New Roman" w:cs="Times New Roman"/>
          <w:sz w:val="24"/>
          <w:szCs w:val="24"/>
        </w:rPr>
        <w:fldChar w:fldCharType="begin"/>
      </w:r>
      <w:r>
        <w:rPr>
          <w:rFonts w:ascii="Times New Roman" w:eastAsia="Calibri" w:hAnsi="Times New Roman" w:cs="Times New Roman"/>
          <w:sz w:val="24"/>
          <w:szCs w:val="24"/>
        </w:rPr>
        <w:instrText xml:space="preserve"> ADDIN EN.CITE &lt;EndNote&gt;&lt;Cite&gt;&lt;RecNum&gt;207&lt;/RecNum&gt;&lt;DisplayText&gt;&lt;style face="superscript"&gt;4&lt;/style&gt;&lt;/DisplayText&gt;&lt;record&gt;&lt;rec-number&gt;207&lt;/rec-number&gt;&lt;foreign-keys&gt;&lt;key app="EN" db-id="zvp5t9zdk525ffe5w0gp050z090a0azxwase" timestamp="1459930514"&gt;207&lt;/key&gt;&lt;/foreign-keys&gt;&lt;ref-type name="Web Page"&gt;12&lt;/ref-type&gt;&lt;contributors&gt;&lt;/contributors&gt;&lt;titles&gt;&lt;title&gt;Premier database&lt;/title&gt;&lt;/titles&gt;&lt;volume&gt;2015&lt;/volume&gt;&lt;number&gt;December 8&lt;/number&gt;&lt;dates&gt;&lt;/dates&gt;&lt;urls&gt;&lt;related-urls&gt;&lt;url&gt;https://www.premierinc.com/&lt;/url&gt;&lt;/related-urls&gt;&lt;/urls&gt;&lt;/record&gt;&lt;/Cite&gt;&lt;/EndNote&gt;</w:instrText>
      </w:r>
      <w:r>
        <w:rPr>
          <w:rFonts w:ascii="Times New Roman" w:eastAsia="Calibri" w:hAnsi="Times New Roman" w:cs="Times New Roman"/>
          <w:sz w:val="24"/>
          <w:szCs w:val="24"/>
        </w:rPr>
        <w:fldChar w:fldCharType="separate"/>
      </w:r>
      <w:r w:rsidRPr="000453BB">
        <w:rPr>
          <w:rFonts w:ascii="Times New Roman" w:eastAsia="Calibri" w:hAnsi="Times New Roman" w:cs="Times New Roman"/>
          <w:noProof/>
          <w:sz w:val="24"/>
          <w:szCs w:val="24"/>
          <w:vertAlign w:val="superscript"/>
        </w:rPr>
        <w:t>4</w:t>
      </w:r>
      <w:r>
        <w:rPr>
          <w:rFonts w:ascii="Times New Roman" w:eastAsia="Calibri" w:hAnsi="Times New Roman" w:cs="Times New Roman"/>
          <w:sz w:val="24"/>
          <w:szCs w:val="24"/>
        </w:rPr>
        <w:fldChar w:fldCharType="end"/>
      </w:r>
      <w:r w:rsidRPr="002343D6" w:rsidDel="00A8624A">
        <w:rPr>
          <w:rFonts w:ascii="Times New Roman" w:eastAsia="Calibri" w:hAnsi="Times New Roman" w:cs="Times New Roman"/>
          <w:sz w:val="24"/>
          <w:szCs w:val="24"/>
        </w:rPr>
        <w:t xml:space="preserve"> The database is a complete census of inpatients and hospital-based outpatients from geographically diverse hospitals in the US. The database currently contains data from more than 480 million patient encounters, or one in every five discharges in the US. Laboratory results are available from a subset of facilities in the Premier research database. </w:t>
      </w:r>
    </w:p>
    <w:p w:rsidR="000453BB" w:rsidRPr="002343D6" w:rsidDel="00A8624A" w:rsidRDefault="000453BB" w:rsidP="000453BB">
      <w:pPr>
        <w:spacing w:line="480" w:lineRule="auto"/>
        <w:rPr>
          <w:rFonts w:ascii="Times New Roman" w:eastAsia="Calibri" w:hAnsi="Times New Roman" w:cs="Times New Roman"/>
          <w:sz w:val="24"/>
          <w:szCs w:val="24"/>
        </w:rPr>
      </w:pPr>
      <w:r w:rsidRPr="002343D6" w:rsidDel="00A8624A">
        <w:rPr>
          <w:rFonts w:ascii="Times New Roman" w:eastAsia="Calibri" w:hAnsi="Times New Roman" w:cs="Times New Roman"/>
          <w:sz w:val="24"/>
          <w:szCs w:val="24"/>
        </w:rPr>
        <w:t xml:space="preserve">An algorithm based on a set of ICD-9 diagnosis codes and current procedural terminology (CPT) procedure codes was used to identify </w:t>
      </w:r>
      <w:proofErr w:type="spellStart"/>
      <w:r w:rsidRPr="002343D6" w:rsidDel="00A8624A">
        <w:rPr>
          <w:rFonts w:ascii="Times New Roman" w:eastAsia="Calibri" w:hAnsi="Times New Roman" w:cs="Times New Roman"/>
          <w:sz w:val="24"/>
          <w:szCs w:val="24"/>
        </w:rPr>
        <w:t>cUTI</w:t>
      </w:r>
      <w:proofErr w:type="spellEnd"/>
      <w:r w:rsidRPr="002343D6" w:rsidDel="00A8624A">
        <w:rPr>
          <w:rFonts w:ascii="Times New Roman" w:eastAsia="Calibri" w:hAnsi="Times New Roman" w:cs="Times New Roman"/>
          <w:sz w:val="24"/>
          <w:szCs w:val="24"/>
        </w:rPr>
        <w:t xml:space="preserve"> patients from the Premier database between January 1, 2009 and March 31, 2013. The </w:t>
      </w:r>
      <w:proofErr w:type="spellStart"/>
      <w:r w:rsidRPr="002343D6" w:rsidDel="00A8624A">
        <w:rPr>
          <w:rFonts w:ascii="Times New Roman" w:eastAsia="Calibri" w:hAnsi="Times New Roman" w:cs="Times New Roman"/>
          <w:sz w:val="24"/>
          <w:szCs w:val="24"/>
        </w:rPr>
        <w:t>cUTI</w:t>
      </w:r>
      <w:proofErr w:type="spellEnd"/>
      <w:r w:rsidRPr="002343D6" w:rsidDel="00A8624A">
        <w:rPr>
          <w:rFonts w:ascii="Times New Roman" w:eastAsia="Calibri" w:hAnsi="Times New Roman" w:cs="Times New Roman"/>
          <w:sz w:val="24"/>
          <w:szCs w:val="24"/>
        </w:rPr>
        <w:t xml:space="preserve"> cohort consisted of 251,707 urinary isolates, with the pathogen distribution described as: 60.4% </w:t>
      </w:r>
      <w:r w:rsidRPr="009D6C09" w:rsidDel="00A8624A">
        <w:rPr>
          <w:rFonts w:ascii="Times New Roman" w:eastAsia="Calibri" w:hAnsi="Times New Roman" w:cs="Times New Roman"/>
          <w:i/>
          <w:sz w:val="24"/>
          <w:szCs w:val="24"/>
        </w:rPr>
        <w:t>E. coli</w:t>
      </w:r>
      <w:r w:rsidRPr="002343D6" w:rsidDel="00A8624A">
        <w:rPr>
          <w:rFonts w:ascii="Times New Roman" w:eastAsia="Calibri" w:hAnsi="Times New Roman" w:cs="Times New Roman"/>
          <w:sz w:val="24"/>
          <w:szCs w:val="24"/>
        </w:rPr>
        <w:t xml:space="preserve">, 16.4% </w:t>
      </w:r>
      <w:r w:rsidRPr="009D6C09" w:rsidDel="00A8624A">
        <w:rPr>
          <w:rFonts w:ascii="Times New Roman" w:eastAsia="Calibri" w:hAnsi="Times New Roman" w:cs="Times New Roman"/>
          <w:i/>
          <w:sz w:val="24"/>
          <w:szCs w:val="24"/>
        </w:rPr>
        <w:t xml:space="preserve">K. </w:t>
      </w:r>
      <w:proofErr w:type="spellStart"/>
      <w:r w:rsidRPr="009D6C09" w:rsidDel="00A8624A">
        <w:rPr>
          <w:rFonts w:ascii="Times New Roman" w:eastAsia="Calibri" w:hAnsi="Times New Roman" w:cs="Times New Roman"/>
          <w:i/>
          <w:sz w:val="24"/>
          <w:szCs w:val="24"/>
        </w:rPr>
        <w:t>pneumoniae</w:t>
      </w:r>
      <w:proofErr w:type="spellEnd"/>
      <w:r w:rsidRPr="002343D6" w:rsidDel="00A8624A">
        <w:rPr>
          <w:rFonts w:ascii="Times New Roman" w:eastAsia="Calibri" w:hAnsi="Times New Roman" w:cs="Times New Roman"/>
          <w:sz w:val="24"/>
          <w:szCs w:val="24"/>
        </w:rPr>
        <w:t xml:space="preserve">, 9.1% </w:t>
      </w:r>
      <w:r w:rsidRPr="009D6C09" w:rsidDel="00A8624A">
        <w:rPr>
          <w:rFonts w:ascii="Times New Roman" w:eastAsia="Calibri" w:hAnsi="Times New Roman" w:cs="Times New Roman"/>
          <w:i/>
          <w:sz w:val="24"/>
          <w:szCs w:val="24"/>
        </w:rPr>
        <w:t xml:space="preserve">P. </w:t>
      </w:r>
      <w:proofErr w:type="spellStart"/>
      <w:r w:rsidRPr="009D6C09" w:rsidDel="00A8624A">
        <w:rPr>
          <w:rFonts w:ascii="Times New Roman" w:eastAsia="Calibri" w:hAnsi="Times New Roman" w:cs="Times New Roman"/>
          <w:i/>
          <w:sz w:val="24"/>
          <w:szCs w:val="24"/>
        </w:rPr>
        <w:t>aeruginosa</w:t>
      </w:r>
      <w:proofErr w:type="spellEnd"/>
      <w:r w:rsidRPr="002343D6" w:rsidDel="00A8624A">
        <w:rPr>
          <w:rFonts w:ascii="Times New Roman" w:eastAsia="Calibri" w:hAnsi="Times New Roman" w:cs="Times New Roman"/>
          <w:sz w:val="24"/>
          <w:szCs w:val="24"/>
        </w:rPr>
        <w:t xml:space="preserve">, and 0.8% </w:t>
      </w:r>
      <w:proofErr w:type="spellStart"/>
      <w:r w:rsidRPr="009D6C09" w:rsidDel="00A8624A">
        <w:rPr>
          <w:rFonts w:ascii="Times New Roman" w:eastAsia="Calibri" w:hAnsi="Times New Roman" w:cs="Times New Roman"/>
          <w:i/>
          <w:sz w:val="24"/>
          <w:szCs w:val="24"/>
        </w:rPr>
        <w:t>Acinetobacter</w:t>
      </w:r>
      <w:proofErr w:type="spellEnd"/>
      <w:r w:rsidRPr="009D6C09" w:rsidDel="00A8624A">
        <w:rPr>
          <w:rFonts w:ascii="Times New Roman" w:eastAsia="Calibri" w:hAnsi="Times New Roman" w:cs="Times New Roman"/>
          <w:i/>
          <w:sz w:val="24"/>
          <w:szCs w:val="24"/>
        </w:rPr>
        <w:t xml:space="preserve"> spp</w:t>
      </w:r>
      <w:r w:rsidRPr="002343D6" w:rsidDel="00A8624A">
        <w:rPr>
          <w:rFonts w:ascii="Times New Roman" w:eastAsia="Calibri" w:hAnsi="Times New Roman" w:cs="Times New Roman"/>
          <w:sz w:val="24"/>
          <w:szCs w:val="24"/>
        </w:rPr>
        <w:t xml:space="preserve">. Most patients with positive cultures were elderly, the mean age was 59±19 years (median age: 75 years). The sum of the pathogens exceeds 100% because patients could have </w:t>
      </w:r>
      <w:proofErr w:type="spellStart"/>
      <w:r w:rsidRPr="002343D6" w:rsidDel="00A8624A">
        <w:rPr>
          <w:rFonts w:ascii="Times New Roman" w:eastAsia="Calibri" w:hAnsi="Times New Roman" w:cs="Times New Roman"/>
          <w:sz w:val="24"/>
          <w:szCs w:val="24"/>
        </w:rPr>
        <w:t>polymicrobial</w:t>
      </w:r>
      <w:proofErr w:type="spellEnd"/>
      <w:r w:rsidRPr="002343D6" w:rsidDel="00A8624A">
        <w:rPr>
          <w:rFonts w:ascii="Times New Roman" w:eastAsia="Calibri" w:hAnsi="Times New Roman" w:cs="Times New Roman"/>
          <w:sz w:val="24"/>
          <w:szCs w:val="24"/>
        </w:rPr>
        <w:t xml:space="preserve"> infection. Because the model only considers </w:t>
      </w:r>
      <w:proofErr w:type="spellStart"/>
      <w:r w:rsidRPr="002343D6" w:rsidDel="00A8624A">
        <w:rPr>
          <w:rFonts w:ascii="Times New Roman" w:eastAsia="Calibri" w:hAnsi="Times New Roman" w:cs="Times New Roman"/>
          <w:sz w:val="24"/>
          <w:szCs w:val="24"/>
        </w:rPr>
        <w:t>monomicrobial</w:t>
      </w:r>
      <w:proofErr w:type="spellEnd"/>
      <w:r w:rsidRPr="002343D6" w:rsidDel="00A8624A">
        <w:rPr>
          <w:rFonts w:ascii="Times New Roman" w:eastAsia="Calibri" w:hAnsi="Times New Roman" w:cs="Times New Roman"/>
          <w:sz w:val="24"/>
          <w:szCs w:val="24"/>
        </w:rPr>
        <w:t xml:space="preserve"> infection, the Premier distributions were normalized to 100%. </w:t>
      </w:r>
    </w:p>
    <w:p w:rsidR="000453BB" w:rsidRPr="00A8624A" w:rsidRDefault="000453BB" w:rsidP="000453BB">
      <w:pPr>
        <w:spacing w:line="480" w:lineRule="auto"/>
        <w:rPr>
          <w:rFonts w:ascii="Arial" w:hAnsi="Arial" w:cs="Arial"/>
          <w:sz w:val="20"/>
          <w:szCs w:val="20"/>
        </w:rPr>
      </w:pPr>
      <w:r w:rsidRPr="002343D6" w:rsidDel="00A8624A">
        <w:rPr>
          <w:rFonts w:ascii="Times New Roman" w:eastAsia="Calibri" w:hAnsi="Times New Roman" w:cs="Times New Roman"/>
          <w:sz w:val="24"/>
          <w:szCs w:val="24"/>
        </w:rPr>
        <w:t xml:space="preserve">Although the Premier database represents a large isolate source, it was not possible to conduct the entire analysis using the Premier database because the isolates were not tested for susceptibility to </w:t>
      </w:r>
      <w:proofErr w:type="spellStart"/>
      <w:r w:rsidRPr="002343D6" w:rsidDel="00A8624A">
        <w:rPr>
          <w:rFonts w:ascii="Times New Roman" w:eastAsia="Calibri" w:hAnsi="Times New Roman" w:cs="Times New Roman"/>
          <w:sz w:val="24"/>
          <w:szCs w:val="24"/>
        </w:rPr>
        <w:t>ceftolozane</w:t>
      </w:r>
      <w:proofErr w:type="spellEnd"/>
      <w:r w:rsidRPr="002343D6" w:rsidDel="00A8624A">
        <w:rPr>
          <w:rFonts w:ascii="Times New Roman" w:eastAsia="Calibri" w:hAnsi="Times New Roman" w:cs="Times New Roman"/>
          <w:sz w:val="24"/>
          <w:szCs w:val="24"/>
        </w:rPr>
        <w:t>/</w:t>
      </w:r>
      <w:proofErr w:type="spellStart"/>
      <w:r w:rsidRPr="002343D6" w:rsidDel="00A8624A">
        <w:rPr>
          <w:rFonts w:ascii="Times New Roman" w:eastAsia="Calibri" w:hAnsi="Times New Roman" w:cs="Times New Roman"/>
          <w:sz w:val="24"/>
          <w:szCs w:val="24"/>
        </w:rPr>
        <w:t>tazobactam</w:t>
      </w:r>
      <w:proofErr w:type="spellEnd"/>
      <w:r w:rsidRPr="002343D6" w:rsidDel="00A8624A">
        <w:rPr>
          <w:rFonts w:ascii="Times New Roman" w:eastAsia="Calibri" w:hAnsi="Times New Roman" w:cs="Times New Roman"/>
          <w:sz w:val="24"/>
          <w:szCs w:val="24"/>
        </w:rPr>
        <w:t>. Therefore, data from the Premier database was used in conjunction with the PACTS dataset in the model.</w:t>
      </w:r>
    </w:p>
    <w:p w:rsidR="000453BB" w:rsidRDefault="000453BB">
      <w:pPr>
        <w:rPr>
          <w:rStyle w:val="IntenseEmphasis"/>
          <w:i w:val="0"/>
        </w:rPr>
      </w:pPr>
      <w:r>
        <w:rPr>
          <w:rStyle w:val="IntenseEmphasis"/>
          <w:i w:val="0"/>
        </w:rPr>
        <w:br w:type="page"/>
      </w:r>
    </w:p>
    <w:p w:rsidR="000453BB" w:rsidRPr="000453BB" w:rsidRDefault="000453BB" w:rsidP="000453BB">
      <w:pPr>
        <w:spacing w:before="240" w:after="0" w:line="480" w:lineRule="auto"/>
        <w:jc w:val="both"/>
        <w:rPr>
          <w:rFonts w:ascii="Times New Roman" w:eastAsia="Calibri" w:hAnsi="Times New Roman" w:cs="Times New Roman"/>
          <w:b/>
          <w:bCs/>
          <w:iCs/>
          <w:sz w:val="24"/>
          <w:szCs w:val="24"/>
        </w:rPr>
      </w:pPr>
      <w:r w:rsidRPr="000453BB">
        <w:rPr>
          <w:rFonts w:ascii="Times New Roman" w:eastAsia="Calibri" w:hAnsi="Times New Roman" w:cs="Times New Roman"/>
          <w:b/>
          <w:bCs/>
          <w:iCs/>
          <w:sz w:val="24"/>
          <w:szCs w:val="24"/>
        </w:rPr>
        <w:lastRenderedPageBreak/>
        <w:t>References</w:t>
      </w:r>
    </w:p>
    <w:p w:rsidR="000453BB" w:rsidRPr="000453BB" w:rsidRDefault="000453BB" w:rsidP="000453BB">
      <w:pPr>
        <w:pStyle w:val="EndNoteBibliography"/>
        <w:spacing w:after="240"/>
        <w:ind w:left="720" w:hanging="720"/>
      </w:pPr>
      <w:r>
        <w:fldChar w:fldCharType="begin"/>
      </w:r>
      <w:r>
        <w:instrText xml:space="preserve"> ADDIN EN.REFLIST </w:instrText>
      </w:r>
      <w:r>
        <w:fldChar w:fldCharType="separate"/>
      </w:r>
      <w:r w:rsidRPr="000453BB">
        <w:t>1.</w:t>
      </w:r>
      <w:r w:rsidRPr="000453BB">
        <w:tab/>
        <w:t xml:space="preserve">Farrell DJ. </w:t>
      </w:r>
      <w:r w:rsidRPr="000453BB">
        <w:rPr>
          <w:i/>
        </w:rPr>
        <w:t>Surveillance of ceftolozane/tazobactam antimicrobial activity tested against gram-negative organisms and streptococci (selected) isolated in the United States (13-CUB-02-USA/CXA.087.MC).</w:t>
      </w:r>
      <w:r w:rsidRPr="000453BB">
        <w:t xml:space="preserve"> Cubist Pharmaceuticals;2013.</w:t>
      </w:r>
    </w:p>
    <w:p w:rsidR="000453BB" w:rsidRPr="000453BB" w:rsidRDefault="000453BB" w:rsidP="000453BB">
      <w:pPr>
        <w:pStyle w:val="EndNoteBibliography"/>
        <w:spacing w:after="240"/>
        <w:ind w:left="720" w:hanging="720"/>
      </w:pPr>
      <w:r w:rsidRPr="000453BB">
        <w:t>2.</w:t>
      </w:r>
      <w:r w:rsidRPr="000453BB">
        <w:tab/>
        <w:t xml:space="preserve">Sader HS, Farrell DJ, Flamm RK, Jones RN. Ceftolozane/tazobactam activity tested against aerobic Gram-negative organisms isolated from intra-abdominal and urinary tract infections in European and United States hospitals (2012). </w:t>
      </w:r>
      <w:r w:rsidRPr="000453BB">
        <w:rPr>
          <w:i/>
        </w:rPr>
        <w:t xml:space="preserve">The Journal of infection. </w:t>
      </w:r>
      <w:r w:rsidRPr="000453BB">
        <w:t>2014;69(3):266-277.</w:t>
      </w:r>
    </w:p>
    <w:p w:rsidR="000453BB" w:rsidRPr="000453BB" w:rsidRDefault="000453BB" w:rsidP="000453BB">
      <w:pPr>
        <w:pStyle w:val="EndNoteBibliography"/>
        <w:spacing w:after="240"/>
        <w:ind w:left="720" w:hanging="720"/>
      </w:pPr>
      <w:r w:rsidRPr="000453BB">
        <w:t>3.</w:t>
      </w:r>
      <w:r w:rsidRPr="000453BB">
        <w:tab/>
        <w:t xml:space="preserve">Clinical and Laboratory Standards Institute M07-A9. Methods for dilution antimicrobial susceptibility tests for bacteria that grow aerobically; approved standard. </w:t>
      </w:r>
      <w:r w:rsidRPr="000453BB">
        <w:rPr>
          <w:i/>
        </w:rPr>
        <w:t xml:space="preserve">CLSI. </w:t>
      </w:r>
      <w:r w:rsidRPr="000453BB">
        <w:t>2012;9th edition Wayne.</w:t>
      </w:r>
    </w:p>
    <w:p w:rsidR="000453BB" w:rsidRPr="000453BB" w:rsidRDefault="000453BB" w:rsidP="000453BB">
      <w:pPr>
        <w:pStyle w:val="EndNoteBibliography"/>
        <w:ind w:left="720" w:hanging="720"/>
      </w:pPr>
      <w:r w:rsidRPr="000453BB">
        <w:t>4.</w:t>
      </w:r>
      <w:r w:rsidRPr="000453BB">
        <w:tab/>
        <w:t xml:space="preserve">Premier database.  </w:t>
      </w:r>
      <w:hyperlink r:id="rId7" w:history="1">
        <w:r w:rsidRPr="000453BB">
          <w:rPr>
            <w:rStyle w:val="Hyperlink"/>
          </w:rPr>
          <w:t>https://www.premierinc.com/</w:t>
        </w:r>
      </w:hyperlink>
      <w:r w:rsidRPr="000453BB">
        <w:t>. Accessed December 8, 2015.</w:t>
      </w:r>
    </w:p>
    <w:p w:rsidR="00D66EF5" w:rsidRDefault="000453BB">
      <w:r>
        <w:fldChar w:fldCharType="end"/>
      </w:r>
    </w:p>
    <w:sectPr w:rsidR="00D66EF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51615F">
      <w:pPr>
        <w:spacing w:after="0" w:line="240" w:lineRule="auto"/>
      </w:pPr>
      <w:r>
        <w:separator/>
      </w:r>
    </w:p>
  </w:endnote>
  <w:endnote w:type="continuationSeparator" w:id="0">
    <w:p w:rsidR="00000000" w:rsidRDefault="00516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F25" w:rsidRDefault="005161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5772790"/>
      <w:docPartObj>
        <w:docPartGallery w:val="Page Numbers (Bottom of Page)"/>
        <w:docPartUnique/>
      </w:docPartObj>
    </w:sdtPr>
    <w:sdtEndPr>
      <w:rPr>
        <w:noProof/>
      </w:rPr>
    </w:sdtEndPr>
    <w:sdtContent>
      <w:p w:rsidR="00D24F25" w:rsidRDefault="000453BB">
        <w:pPr>
          <w:pStyle w:val="Footer"/>
          <w:jc w:val="right"/>
        </w:pPr>
        <w:r>
          <w:fldChar w:fldCharType="begin"/>
        </w:r>
        <w:r>
          <w:instrText xml:space="preserve"> PAGE   \* MERGEFORMAT </w:instrText>
        </w:r>
        <w:r>
          <w:fldChar w:fldCharType="separate"/>
        </w:r>
        <w:r w:rsidR="0051615F">
          <w:rPr>
            <w:noProof/>
          </w:rPr>
          <w:t>1</w:t>
        </w:r>
        <w:r>
          <w:rPr>
            <w:noProof/>
          </w:rPr>
          <w:fldChar w:fldCharType="end"/>
        </w:r>
      </w:p>
    </w:sdtContent>
  </w:sdt>
  <w:p w:rsidR="00D24F25" w:rsidRDefault="000453BB">
    <w:pPr>
      <w:pStyle w:val="Footer"/>
    </w:pPr>
    <w:r>
      <w:rPr>
        <w:noProof/>
        <w:lang w:val="en-GB" w:eastAsia="en-GB"/>
      </w:rPr>
      <w:drawing>
        <wp:anchor distT="0" distB="0" distL="114300" distR="114300" simplePos="0" relativeHeight="251659264" behindDoc="0" locked="0" layoutInCell="1" allowOverlap="1" wp14:anchorId="28220F0C" wp14:editId="3DA80BB6">
          <wp:simplePos x="0" y="0"/>
          <wp:positionH relativeFrom="margin">
            <wp:align>left</wp:align>
          </wp:positionH>
          <wp:positionV relativeFrom="paragraph">
            <wp:posOffset>-151501</wp:posOffset>
          </wp:positionV>
          <wp:extent cx="807522" cy="320634"/>
          <wp:effectExtent l="0" t="0" r="0" b="3810"/>
          <wp:wrapNone/>
          <wp:docPr id="4" name="bjCLFRImagePrimFoote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7522" cy="320634"/>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F25" w:rsidRDefault="005161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51615F">
      <w:pPr>
        <w:spacing w:after="0" w:line="240" w:lineRule="auto"/>
      </w:pPr>
      <w:r>
        <w:separator/>
      </w:r>
    </w:p>
  </w:footnote>
  <w:footnote w:type="continuationSeparator" w:id="0">
    <w:p w:rsidR="00000000" w:rsidRDefault="005161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F25" w:rsidRDefault="005161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F25" w:rsidRDefault="0051615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F25" w:rsidRDefault="005161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1&lt;/SpaceAfter&gt;&lt;HyperlinksEnabled&gt;0&lt;/HyperlinksEnabled&gt;&lt;HyperlinksVisible&gt;0&lt;/HyperlinksVisible&gt;&lt;EnableBibliographyCategories&gt;0&lt;/EnableBibliographyCategories&gt;&lt;/ENLayout&gt;"/>
    <w:docVar w:name="EN.Libraries" w:val="&lt;Libraries&gt;&lt;item db-id=&quot;zvp5t9zdk525ffe5w0gp050z090a0azxwase&quot;&gt;Background material&lt;record-ids&gt;&lt;item&gt;147&lt;/item&gt;&lt;item&gt;148&lt;/item&gt;&lt;item&gt;149&lt;/item&gt;&lt;item&gt;207&lt;/item&gt;&lt;/record-ids&gt;&lt;/item&gt;&lt;/Libraries&gt;"/>
  </w:docVars>
  <w:rsids>
    <w:rsidRoot w:val="000453BB"/>
    <w:rsid w:val="000453BB"/>
    <w:rsid w:val="0051615F"/>
    <w:rsid w:val="00D66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3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21"/>
    <w:qFormat/>
    <w:rsid w:val="000453BB"/>
    <w:rPr>
      <w:b/>
      <w:bCs/>
      <w:i/>
      <w:iCs/>
      <w:color w:val="4F81BD" w:themeColor="accent1"/>
    </w:rPr>
  </w:style>
  <w:style w:type="paragraph" w:styleId="Header">
    <w:name w:val="header"/>
    <w:basedOn w:val="Normal"/>
    <w:link w:val="HeaderChar"/>
    <w:uiPriority w:val="99"/>
    <w:unhideWhenUsed/>
    <w:rsid w:val="00045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3BB"/>
  </w:style>
  <w:style w:type="paragraph" w:styleId="Footer">
    <w:name w:val="footer"/>
    <w:basedOn w:val="Normal"/>
    <w:link w:val="FooterChar"/>
    <w:uiPriority w:val="99"/>
    <w:unhideWhenUsed/>
    <w:rsid w:val="00045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3BB"/>
  </w:style>
  <w:style w:type="paragraph" w:customStyle="1" w:styleId="EndNoteBibliographyTitle">
    <w:name w:val="EndNote Bibliography Title"/>
    <w:basedOn w:val="Normal"/>
    <w:link w:val="EndNoteBibliographyTitleChar"/>
    <w:rsid w:val="000453BB"/>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0453BB"/>
    <w:rPr>
      <w:rFonts w:ascii="Times New Roman" w:hAnsi="Times New Roman" w:cs="Times New Roman"/>
      <w:noProof/>
      <w:sz w:val="24"/>
    </w:rPr>
  </w:style>
  <w:style w:type="paragraph" w:customStyle="1" w:styleId="EndNoteBibliography">
    <w:name w:val="EndNote Bibliography"/>
    <w:basedOn w:val="Normal"/>
    <w:link w:val="EndNoteBibliographyChar"/>
    <w:rsid w:val="000453BB"/>
    <w:pPr>
      <w:spacing w:line="36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0453BB"/>
    <w:rPr>
      <w:rFonts w:ascii="Times New Roman" w:hAnsi="Times New Roman" w:cs="Times New Roman"/>
      <w:noProof/>
      <w:sz w:val="24"/>
    </w:rPr>
  </w:style>
  <w:style w:type="character" w:styleId="Hyperlink">
    <w:name w:val="Hyperlink"/>
    <w:basedOn w:val="DefaultParagraphFont"/>
    <w:uiPriority w:val="99"/>
    <w:unhideWhenUsed/>
    <w:rsid w:val="000453B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3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21"/>
    <w:qFormat/>
    <w:rsid w:val="000453BB"/>
    <w:rPr>
      <w:b/>
      <w:bCs/>
      <w:i/>
      <w:iCs/>
      <w:color w:val="4F81BD" w:themeColor="accent1"/>
    </w:rPr>
  </w:style>
  <w:style w:type="paragraph" w:styleId="Header">
    <w:name w:val="header"/>
    <w:basedOn w:val="Normal"/>
    <w:link w:val="HeaderChar"/>
    <w:uiPriority w:val="99"/>
    <w:unhideWhenUsed/>
    <w:rsid w:val="00045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3BB"/>
  </w:style>
  <w:style w:type="paragraph" w:styleId="Footer">
    <w:name w:val="footer"/>
    <w:basedOn w:val="Normal"/>
    <w:link w:val="FooterChar"/>
    <w:uiPriority w:val="99"/>
    <w:unhideWhenUsed/>
    <w:rsid w:val="00045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3BB"/>
  </w:style>
  <w:style w:type="paragraph" w:customStyle="1" w:styleId="EndNoteBibliographyTitle">
    <w:name w:val="EndNote Bibliography Title"/>
    <w:basedOn w:val="Normal"/>
    <w:link w:val="EndNoteBibliographyTitleChar"/>
    <w:rsid w:val="000453BB"/>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0453BB"/>
    <w:rPr>
      <w:rFonts w:ascii="Times New Roman" w:hAnsi="Times New Roman" w:cs="Times New Roman"/>
      <w:noProof/>
      <w:sz w:val="24"/>
    </w:rPr>
  </w:style>
  <w:style w:type="paragraph" w:customStyle="1" w:styleId="EndNoteBibliography">
    <w:name w:val="EndNote Bibliography"/>
    <w:basedOn w:val="Normal"/>
    <w:link w:val="EndNoteBibliographyChar"/>
    <w:rsid w:val="000453BB"/>
    <w:pPr>
      <w:spacing w:line="36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0453BB"/>
    <w:rPr>
      <w:rFonts w:ascii="Times New Roman" w:hAnsi="Times New Roman" w:cs="Times New Roman"/>
      <w:noProof/>
      <w:sz w:val="24"/>
    </w:rPr>
  </w:style>
  <w:style w:type="character" w:styleId="Hyperlink">
    <w:name w:val="Hyperlink"/>
    <w:basedOn w:val="DefaultParagraphFont"/>
    <w:uiPriority w:val="99"/>
    <w:unhideWhenUsed/>
    <w:rsid w:val="000453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premierinc.com/"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1204</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JFoo</dc:creator>
  <cp:lastModifiedBy>JFoo</cp:lastModifiedBy>
  <cp:revision>2</cp:revision>
  <dcterms:created xsi:type="dcterms:W3CDTF">2016-08-26T09:34:00Z</dcterms:created>
  <dcterms:modified xsi:type="dcterms:W3CDTF">2016-12-14T15:49:00Z</dcterms:modified>
</cp:coreProperties>
</file>