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948" w:rsidRPr="00777F03" w:rsidRDefault="00B94F55" w:rsidP="00A0494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Additional f</w:t>
      </w:r>
      <w:bookmarkStart w:id="0" w:name="_GoBack"/>
      <w:bookmarkEnd w:id="0"/>
      <w:r w:rsidR="004E773F">
        <w:rPr>
          <w:rFonts w:ascii="Times New Roman" w:hAnsi="Times New Roman"/>
          <w:b/>
        </w:rPr>
        <w:t xml:space="preserve">ile 3: </w:t>
      </w:r>
      <w:r w:rsidR="00A04948" w:rsidRPr="00777F03">
        <w:rPr>
          <w:rFonts w:ascii="Times New Roman" w:hAnsi="Times New Roman"/>
          <w:b/>
        </w:rPr>
        <w:t xml:space="preserve"> Antimicrobial Recommendations for TRUSP Prophylaxis</w:t>
      </w:r>
    </w:p>
    <w:p w:rsidR="00A04948" w:rsidRPr="00797D5B" w:rsidRDefault="00A04948" w:rsidP="00A04948">
      <w:pPr>
        <w:rPr>
          <w:rFonts w:ascii="Times New Roman" w:hAnsi="Times New Roman"/>
          <w:b/>
          <w:u w:val="single"/>
          <w:vertAlign w:val="superscript"/>
        </w:rPr>
      </w:pPr>
      <w:r w:rsidRPr="00797D5B">
        <w:rPr>
          <w:rFonts w:ascii="Times New Roman" w:hAnsi="Times New Roman"/>
          <w:b/>
          <w:u w:val="single"/>
        </w:rPr>
        <w:t xml:space="preserve">Oral </w:t>
      </w:r>
      <w:proofErr w:type="spellStart"/>
      <w:r w:rsidRPr="00797D5B">
        <w:rPr>
          <w:rFonts w:ascii="Times New Roman" w:hAnsi="Times New Roman"/>
          <w:b/>
          <w:u w:val="single"/>
        </w:rPr>
        <w:t>Options</w:t>
      </w:r>
      <w:r w:rsidRPr="00797D5B">
        <w:rPr>
          <w:rFonts w:ascii="Times New Roman" w:hAnsi="Times New Roman"/>
          <w:b/>
          <w:vertAlign w:val="superscript"/>
        </w:rPr>
        <w:t>a</w:t>
      </w:r>
      <w:proofErr w:type="spellEnd"/>
      <w:r w:rsidRPr="00797D5B">
        <w:rPr>
          <w:rFonts w:ascii="Times New Roman" w:hAnsi="Times New Roman"/>
          <w:b/>
          <w:vertAlign w:val="superscript"/>
        </w:rPr>
        <w:t>, b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3"/>
        <w:gridCol w:w="1507"/>
        <w:gridCol w:w="1930"/>
        <w:gridCol w:w="3840"/>
      </w:tblGrid>
      <w:tr w:rsidR="00A04948" w:rsidRPr="00797D5B" w:rsidTr="00F25C74">
        <w:tc>
          <w:tcPr>
            <w:tcW w:w="20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Drug</w:t>
            </w:r>
          </w:p>
        </w:tc>
        <w:tc>
          <w:tcPr>
            <w:tcW w:w="1507" w:type="dxa"/>
            <w:tcBorders>
              <w:top w:val="single" w:sz="24" w:space="0" w:color="000000"/>
              <w:bottom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Dose</w:t>
            </w:r>
          </w:p>
        </w:tc>
        <w:tc>
          <w:tcPr>
            <w:tcW w:w="1930" w:type="dxa"/>
            <w:tcBorders>
              <w:top w:val="single" w:sz="24" w:space="0" w:color="000000"/>
              <w:bottom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Route/Schedule</w:t>
            </w:r>
          </w:p>
        </w:tc>
        <w:tc>
          <w:tcPr>
            <w:tcW w:w="3840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Comment</w:t>
            </w:r>
          </w:p>
        </w:tc>
      </w:tr>
      <w:tr w:rsidR="00A04948" w:rsidRPr="00797D5B" w:rsidTr="00F25C74">
        <w:tc>
          <w:tcPr>
            <w:tcW w:w="2023" w:type="dxa"/>
            <w:tcBorders>
              <w:top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Trimethoprim-Sulfamethoxazole</w:t>
            </w:r>
          </w:p>
        </w:tc>
        <w:tc>
          <w:tcPr>
            <w:tcW w:w="1507" w:type="dxa"/>
            <w:tcBorders>
              <w:top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1 double strength tablet</w:t>
            </w: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Orally every 12 hours  for 2 doses</w:t>
            </w: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  <w:tc>
          <w:tcPr>
            <w:tcW w:w="3840" w:type="dxa"/>
            <w:vMerge w:val="restart"/>
            <w:tcBorders>
              <w:top w:val="single" w:sz="24" w:space="0" w:color="000000"/>
            </w:tcBorders>
          </w:tcPr>
          <w:p w:rsidR="00A04948" w:rsidRPr="00797D5B" w:rsidRDefault="00A04948" w:rsidP="00D24C4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797D5B">
              <w:rPr>
                <w:rFonts w:ascii="Times New Roman" w:hAnsi="Times New Roman"/>
                <w:vertAlign w:val="superscript"/>
              </w:rPr>
              <w:t>a</w:t>
            </w:r>
            <w:r w:rsidRPr="00797D5B">
              <w:rPr>
                <w:rFonts w:ascii="Times New Roman" w:hAnsi="Times New Roman"/>
              </w:rPr>
              <w:t>Please</w:t>
            </w:r>
            <w:proofErr w:type="spellEnd"/>
            <w:proofErr w:type="gramEnd"/>
            <w:r w:rsidRPr="00797D5B">
              <w:rPr>
                <w:rFonts w:ascii="Times New Roman" w:hAnsi="Times New Roman"/>
              </w:rPr>
              <w:t xml:space="preserve"> note that while oral options may be available, they may not represent a therapeutic equivalent to ciprofloxacin which has a high oral bioavailability, a long drug half-life, and good tissue penetration into the prostate.</w:t>
            </w: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797D5B">
              <w:rPr>
                <w:rFonts w:ascii="Times New Roman" w:hAnsi="Times New Roman"/>
                <w:vertAlign w:val="superscript"/>
              </w:rPr>
              <w:t>b</w:t>
            </w:r>
            <w:r w:rsidRPr="00797D5B">
              <w:rPr>
                <w:rFonts w:ascii="Times New Roman" w:hAnsi="Times New Roman"/>
              </w:rPr>
              <w:t>Please</w:t>
            </w:r>
            <w:proofErr w:type="spellEnd"/>
            <w:proofErr w:type="gramEnd"/>
            <w:r w:rsidRPr="00797D5B">
              <w:rPr>
                <w:rFonts w:ascii="Times New Roman" w:hAnsi="Times New Roman"/>
              </w:rPr>
              <w:t xml:space="preserve"> give oral regimens 2 hours prior to procedure and again 12 hours after the first dose.</w:t>
            </w: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</w:tr>
      <w:tr w:rsidR="00A04948" w:rsidRPr="00797D5B" w:rsidTr="00F25C74">
        <w:tc>
          <w:tcPr>
            <w:tcW w:w="2023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Cefuroxime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07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500 mg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930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Orally every 12</w:t>
            </w:r>
            <w:r w:rsidR="00F25C74" w:rsidRPr="00797D5B">
              <w:rPr>
                <w:rFonts w:ascii="Times New Roman" w:hAnsi="Times New Roman"/>
              </w:rPr>
              <w:t xml:space="preserve"> </w:t>
            </w:r>
            <w:r w:rsidRPr="00797D5B">
              <w:rPr>
                <w:rFonts w:ascii="Times New Roman" w:hAnsi="Times New Roman"/>
              </w:rPr>
              <w:t>h for 2 doses</w:t>
            </w:r>
          </w:p>
        </w:tc>
        <w:tc>
          <w:tcPr>
            <w:tcW w:w="3840" w:type="dxa"/>
            <w:vMerge/>
          </w:tcPr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</w:tr>
    </w:tbl>
    <w:p w:rsidR="00797D5B" w:rsidRDefault="00A04948" w:rsidP="00797D5B">
      <w:pPr>
        <w:spacing w:after="0" w:line="240" w:lineRule="auto"/>
        <w:rPr>
          <w:rFonts w:ascii="Times New Roman" w:hAnsi="Times New Roman"/>
        </w:rPr>
      </w:pPr>
      <w:r w:rsidRPr="00797D5B">
        <w:rPr>
          <w:rFonts w:ascii="Times New Roman" w:hAnsi="Times New Roman"/>
        </w:rPr>
        <w:t xml:space="preserve">*These options are interchangeable and selection is at the discretion of the treating physician based on </w:t>
      </w:r>
    </w:p>
    <w:p w:rsidR="00A04948" w:rsidRPr="00797D5B" w:rsidRDefault="00A04948" w:rsidP="00797D5B">
      <w:pPr>
        <w:spacing w:after="0" w:line="240" w:lineRule="auto"/>
        <w:rPr>
          <w:rFonts w:ascii="Times New Roman" w:hAnsi="Times New Roman"/>
        </w:rPr>
      </w:pPr>
      <w:proofErr w:type="gramStart"/>
      <w:r w:rsidRPr="00797D5B">
        <w:rPr>
          <w:rFonts w:ascii="Times New Roman" w:hAnsi="Times New Roman"/>
        </w:rPr>
        <w:t>patient</w:t>
      </w:r>
      <w:proofErr w:type="gramEnd"/>
      <w:r w:rsidRPr="00797D5B">
        <w:rPr>
          <w:rFonts w:ascii="Times New Roman" w:hAnsi="Times New Roman"/>
        </w:rPr>
        <w:t xml:space="preserve"> specific factors such as allergies and resistance patterns of the isolate.</w:t>
      </w:r>
    </w:p>
    <w:p w:rsidR="00A04948" w:rsidRPr="00797D5B" w:rsidRDefault="00A04948" w:rsidP="00A04948">
      <w:pPr>
        <w:rPr>
          <w:rFonts w:ascii="Times New Roman" w:hAnsi="Times New Roman"/>
          <w:u w:val="single"/>
        </w:rPr>
      </w:pPr>
    </w:p>
    <w:p w:rsidR="00A04948" w:rsidRPr="00797D5B" w:rsidRDefault="00A04948" w:rsidP="00A04948">
      <w:pPr>
        <w:rPr>
          <w:rFonts w:ascii="Times New Roman" w:hAnsi="Times New Roman"/>
          <w:u w:val="single"/>
        </w:rPr>
      </w:pPr>
    </w:p>
    <w:p w:rsidR="00A04948" w:rsidRPr="00797D5B" w:rsidRDefault="00A04948" w:rsidP="00A04948">
      <w:pPr>
        <w:jc w:val="center"/>
        <w:rPr>
          <w:rFonts w:ascii="Times New Roman" w:hAnsi="Times New Roman"/>
          <w:b/>
        </w:rPr>
      </w:pPr>
      <w:r w:rsidRPr="00797D5B">
        <w:rPr>
          <w:rFonts w:ascii="Times New Roman" w:hAnsi="Times New Roman"/>
          <w:u w:val="single"/>
        </w:rPr>
        <w:br w:type="page"/>
      </w:r>
    </w:p>
    <w:p w:rsidR="00A04948" w:rsidRPr="00797D5B" w:rsidRDefault="00A04948" w:rsidP="00A04948">
      <w:pPr>
        <w:rPr>
          <w:rFonts w:ascii="Times New Roman" w:hAnsi="Times New Roman"/>
          <w:u w:val="single"/>
        </w:rPr>
      </w:pPr>
      <w:r w:rsidRPr="00797D5B">
        <w:rPr>
          <w:rFonts w:ascii="Times New Roman" w:hAnsi="Times New Roman"/>
          <w:b/>
          <w:u w:val="single"/>
        </w:rPr>
        <w:lastRenderedPageBreak/>
        <w:t>Intramuscular Options</w:t>
      </w:r>
      <w:r w:rsidRPr="00797D5B">
        <w:rPr>
          <w:rFonts w:ascii="Times New Roman" w:hAnsi="Times New Roman"/>
        </w:rPr>
        <w:t xml:space="preserve"> </w:t>
      </w:r>
      <w:proofErr w:type="spellStart"/>
      <w:r w:rsidRPr="00797D5B">
        <w:rPr>
          <w:rFonts w:ascii="Times New Roman" w:hAnsi="Times New Roman"/>
          <w:vertAlign w:val="superscript"/>
        </w:rPr>
        <w:t>a</w:t>
      </w:r>
      <w:proofErr w:type="gramStart"/>
      <w:r w:rsidRPr="00797D5B">
        <w:rPr>
          <w:rFonts w:ascii="Times New Roman" w:hAnsi="Times New Roman"/>
          <w:vertAlign w:val="superscript"/>
        </w:rPr>
        <w:t>,b</w:t>
      </w:r>
      <w:proofErr w:type="spellEnd"/>
      <w:proofErr w:type="gramEnd"/>
      <w:r w:rsidR="00797D5B">
        <w:rPr>
          <w:rFonts w:ascii="Times New Roman" w:hAnsi="Times New Roman"/>
          <w:vertAlign w:val="superscript"/>
        </w:rPr>
        <w:t>,</w:t>
      </w:r>
      <w:r w:rsidRPr="00797D5B">
        <w:rPr>
          <w:rFonts w:ascii="Times New Roman" w:hAnsi="Times New Roman"/>
          <w:vertAlign w:val="superscript"/>
        </w:rPr>
        <w:t xml:space="preserve"> c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3"/>
        <w:gridCol w:w="3838"/>
        <w:gridCol w:w="1683"/>
        <w:gridCol w:w="2986"/>
      </w:tblGrid>
      <w:tr w:rsidR="00797D5B" w:rsidRPr="00797D5B" w:rsidTr="00797D5B">
        <w:trPr>
          <w:trHeight w:val="289"/>
        </w:trPr>
        <w:tc>
          <w:tcPr>
            <w:tcW w:w="1047" w:type="pct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Drug</w:t>
            </w:r>
          </w:p>
        </w:tc>
        <w:tc>
          <w:tcPr>
            <w:tcW w:w="1794" w:type="pct"/>
            <w:tcBorders>
              <w:top w:val="single" w:sz="24" w:space="0" w:color="000000"/>
              <w:bottom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Dose</w:t>
            </w:r>
          </w:p>
        </w:tc>
        <w:tc>
          <w:tcPr>
            <w:tcW w:w="762" w:type="pct"/>
            <w:tcBorders>
              <w:top w:val="single" w:sz="24" w:space="0" w:color="000000"/>
              <w:bottom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Route/Schedule</w:t>
            </w:r>
          </w:p>
        </w:tc>
        <w:tc>
          <w:tcPr>
            <w:tcW w:w="1397" w:type="pct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Comment</w:t>
            </w:r>
          </w:p>
        </w:tc>
      </w:tr>
      <w:tr w:rsidR="00797D5B" w:rsidRPr="00797D5B" w:rsidTr="00797D5B">
        <w:trPr>
          <w:trHeight w:val="1779"/>
        </w:trPr>
        <w:tc>
          <w:tcPr>
            <w:tcW w:w="1047" w:type="pct"/>
            <w:tcBorders>
              <w:top w:val="single" w:sz="24" w:space="0" w:color="000000"/>
            </w:tcBorders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Ceftriaxone</w:t>
            </w: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794" w:type="pct"/>
            <w:tcBorders>
              <w:top w:val="single" w:sz="24" w:space="0" w:color="000000"/>
            </w:tcBorders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500 mg dissolved in 1.8 mL of sterile water for injection, normal saline, or 1% lidocaine (</w:t>
            </w:r>
            <w:proofErr w:type="spellStart"/>
            <w:r w:rsidRPr="00797D5B">
              <w:rPr>
                <w:rFonts w:ascii="Times New Roman" w:hAnsi="Times New Roman"/>
              </w:rPr>
              <w:t>withOUT</w:t>
            </w:r>
            <w:proofErr w:type="spellEnd"/>
            <w:r w:rsidRPr="00797D5B">
              <w:rPr>
                <w:rFonts w:ascii="Times New Roman" w:hAnsi="Times New Roman"/>
              </w:rPr>
              <w:t xml:space="preserve"> epinephrine)</w:t>
            </w: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  <w:tc>
          <w:tcPr>
            <w:tcW w:w="762" w:type="pct"/>
            <w:tcBorders>
              <w:top w:val="single" w:sz="24" w:space="0" w:color="000000"/>
            </w:tcBorders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ONCE</w:t>
            </w: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intramuscularly</w:t>
            </w: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397" w:type="pct"/>
            <w:vMerge w:val="restart"/>
            <w:tcBorders>
              <w:top w:val="single" w:sz="24" w:space="0" w:color="000000"/>
            </w:tcBorders>
          </w:tcPr>
          <w:p w:rsidR="00797D5B" w:rsidRPr="00797D5B" w:rsidRDefault="00797D5B" w:rsidP="00D24C41">
            <w:pPr>
              <w:rPr>
                <w:rFonts w:ascii="Times New Roman" w:hAnsi="Times New Roman"/>
                <w:vertAlign w:val="superscript"/>
              </w:rPr>
            </w:pP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797D5B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proofErr w:type="gramEnd"/>
            <w:r w:rsidRPr="00797D5B">
              <w:rPr>
                <w:rFonts w:ascii="Times New Roman" w:hAnsi="Times New Roman"/>
                <w:vertAlign w:val="superscript"/>
              </w:rPr>
              <w:t xml:space="preserve"> </w:t>
            </w:r>
            <w:r w:rsidRPr="00797D5B">
              <w:rPr>
                <w:rFonts w:ascii="Times New Roman" w:hAnsi="Times New Roman"/>
              </w:rPr>
              <w:t>Initiate Intramuscular treatment combination 2 hours prior to procedure.</w:t>
            </w: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  <w:proofErr w:type="gramStart"/>
            <w:r w:rsidRPr="00797D5B">
              <w:rPr>
                <w:rFonts w:ascii="Times New Roman" w:hAnsi="Times New Roman"/>
                <w:vertAlign w:val="superscript"/>
              </w:rPr>
              <w:t>b</w:t>
            </w:r>
            <w:proofErr w:type="gramEnd"/>
            <w:r w:rsidRPr="00797D5B">
              <w:rPr>
                <w:rFonts w:ascii="Times New Roman" w:hAnsi="Times New Roman"/>
              </w:rPr>
              <w:t xml:space="preserve"> Use caution in patients with baseline nephrotoxicity or ototoxicity.</w:t>
            </w: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797D5B">
              <w:rPr>
                <w:rFonts w:ascii="Times New Roman" w:hAnsi="Times New Roman"/>
                <w:vertAlign w:val="superscript"/>
              </w:rPr>
              <w:t>c</w:t>
            </w:r>
            <w:r w:rsidRPr="00797D5B">
              <w:rPr>
                <w:rFonts w:ascii="Times New Roman" w:hAnsi="Times New Roman"/>
              </w:rPr>
              <w:t>These</w:t>
            </w:r>
            <w:proofErr w:type="spellEnd"/>
            <w:proofErr w:type="gramEnd"/>
            <w:r w:rsidRPr="00797D5B">
              <w:rPr>
                <w:rFonts w:ascii="Times New Roman" w:hAnsi="Times New Roman"/>
              </w:rPr>
              <w:t xml:space="preserve"> options may not be preferable due to short drug half-lives (in patients with normal renal function); consideration should be given to providing an additional dose(s) post-procedure if 24 hours of antibiotic coverage is desired.</w:t>
            </w:r>
          </w:p>
        </w:tc>
      </w:tr>
      <w:tr w:rsidR="00797D5B" w:rsidRPr="00797D5B" w:rsidTr="00797D5B">
        <w:trPr>
          <w:trHeight w:val="1162"/>
        </w:trPr>
        <w:tc>
          <w:tcPr>
            <w:tcW w:w="1047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797D5B">
              <w:rPr>
                <w:rFonts w:ascii="Times New Roman" w:hAnsi="Times New Roman"/>
              </w:rPr>
              <w:t>Aminoglycoside</w:t>
            </w:r>
            <w:r w:rsidRPr="00797D5B">
              <w:rPr>
                <w:rFonts w:ascii="Times New Roman" w:hAnsi="Times New Roman"/>
                <w:vertAlign w:val="superscript"/>
              </w:rPr>
              <w:t>b</w:t>
            </w:r>
            <w:proofErr w:type="spellEnd"/>
            <w:r w:rsidRPr="00797D5B">
              <w:rPr>
                <w:rFonts w:ascii="Times New Roman" w:hAnsi="Times New Roman"/>
              </w:rPr>
              <w:t xml:space="preserve"> </w:t>
            </w: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794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Gentamicin 2 mg/kg</w:t>
            </w: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  <w:b/>
              </w:rPr>
              <w:t>or</w:t>
            </w: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 xml:space="preserve">Amikacin 5 mg/kg given </w:t>
            </w:r>
          </w:p>
        </w:tc>
        <w:tc>
          <w:tcPr>
            <w:tcW w:w="762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ONCE</w:t>
            </w: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intramuscularly</w:t>
            </w: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397" w:type="pct"/>
            <w:vMerge/>
          </w:tcPr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</w:tr>
      <w:tr w:rsidR="00797D5B" w:rsidRPr="00797D5B" w:rsidTr="00797D5B">
        <w:trPr>
          <w:trHeight w:val="2046"/>
        </w:trPr>
        <w:tc>
          <w:tcPr>
            <w:tcW w:w="1047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  <w:vertAlign w:val="superscript"/>
              </w:rPr>
            </w:pPr>
            <w:proofErr w:type="spellStart"/>
            <w:r w:rsidRPr="00797D5B">
              <w:rPr>
                <w:rFonts w:ascii="Times New Roman" w:hAnsi="Times New Roman"/>
              </w:rPr>
              <w:t>Aztreonam</w:t>
            </w:r>
            <w:r w:rsidRPr="00797D5B">
              <w:rPr>
                <w:rFonts w:ascii="Times New Roman" w:hAnsi="Times New Roman"/>
                <w:vertAlign w:val="superscript"/>
              </w:rPr>
              <w:t>c</w:t>
            </w:r>
            <w:proofErr w:type="spellEnd"/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794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500 mg dissolved in 1.5 mL (made by reconstituting the 1g vial with 3 mL of sterile water for injection or normal saline and delivering 1.5 mL)</w:t>
            </w: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2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  <w:vertAlign w:val="superscript"/>
              </w:rPr>
            </w:pPr>
            <w:r w:rsidRPr="00797D5B">
              <w:rPr>
                <w:rFonts w:ascii="Times New Roman" w:hAnsi="Times New Roman"/>
              </w:rPr>
              <w:t>Intramuscularly</w:t>
            </w: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397" w:type="pct"/>
            <w:vMerge/>
          </w:tcPr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</w:tr>
      <w:tr w:rsidR="00797D5B" w:rsidRPr="00797D5B" w:rsidTr="00797D5B">
        <w:trPr>
          <w:trHeight w:val="692"/>
        </w:trPr>
        <w:tc>
          <w:tcPr>
            <w:tcW w:w="1047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  <w:vertAlign w:val="superscript"/>
              </w:rPr>
            </w:pPr>
            <w:proofErr w:type="spellStart"/>
            <w:r w:rsidRPr="00797D5B">
              <w:rPr>
                <w:rFonts w:ascii="Times New Roman" w:hAnsi="Times New Roman"/>
              </w:rPr>
              <w:t>Imipenem</w:t>
            </w:r>
            <w:r w:rsidRPr="00797D5B">
              <w:rPr>
                <w:rFonts w:ascii="Times New Roman" w:hAnsi="Times New Roman"/>
                <w:vertAlign w:val="superscript"/>
              </w:rPr>
              <w:t>c</w:t>
            </w:r>
            <w:proofErr w:type="spellEnd"/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94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500 mg dissolved in 2 mL of 1% lidocaine (</w:t>
            </w:r>
            <w:proofErr w:type="spellStart"/>
            <w:r w:rsidRPr="00797D5B">
              <w:rPr>
                <w:rFonts w:ascii="Times New Roman" w:hAnsi="Times New Roman"/>
              </w:rPr>
              <w:t>withOUT</w:t>
            </w:r>
            <w:proofErr w:type="spellEnd"/>
            <w:r w:rsidRPr="00797D5B">
              <w:rPr>
                <w:rFonts w:ascii="Times New Roman" w:hAnsi="Times New Roman"/>
              </w:rPr>
              <w:t xml:space="preserve"> epinephrine)</w:t>
            </w:r>
          </w:p>
        </w:tc>
        <w:tc>
          <w:tcPr>
            <w:tcW w:w="762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  <w:vertAlign w:val="superscript"/>
              </w:rPr>
            </w:pPr>
            <w:r w:rsidRPr="00797D5B">
              <w:rPr>
                <w:rFonts w:ascii="Times New Roman" w:hAnsi="Times New Roman"/>
              </w:rPr>
              <w:t>Intramuscularly</w:t>
            </w: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7" w:type="pct"/>
            <w:vMerge/>
          </w:tcPr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</w:tr>
      <w:tr w:rsidR="00797D5B" w:rsidRPr="00797D5B" w:rsidTr="00797D5B">
        <w:trPr>
          <w:trHeight w:val="1626"/>
        </w:trPr>
        <w:tc>
          <w:tcPr>
            <w:tcW w:w="1047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Ertapenem</w:t>
            </w:r>
          </w:p>
        </w:tc>
        <w:tc>
          <w:tcPr>
            <w:tcW w:w="1794" w:type="pct"/>
          </w:tcPr>
          <w:p w:rsidR="000C4B2B" w:rsidRDefault="00797D5B" w:rsidP="000C4B2B">
            <w:pPr>
              <w:spacing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 mg</w:t>
            </w:r>
          </w:p>
          <w:p w:rsidR="00797D5B" w:rsidRPr="00797D5B" w:rsidRDefault="00797D5B" w:rsidP="000C4B2B">
            <w:pPr>
              <w:spacing w:after="120" w:line="240" w:lineRule="auto"/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 xml:space="preserve">Reconstitute the contents of a 1000 mg vial of </w:t>
            </w:r>
            <w:proofErr w:type="spellStart"/>
            <w:r w:rsidRPr="00797D5B">
              <w:rPr>
                <w:rFonts w:ascii="Times New Roman" w:hAnsi="Times New Roman"/>
              </w:rPr>
              <w:t>ertapenem</w:t>
            </w:r>
            <w:proofErr w:type="spellEnd"/>
            <w:r w:rsidRPr="00797D5B">
              <w:rPr>
                <w:rFonts w:ascii="Times New Roman" w:hAnsi="Times New Roman"/>
              </w:rPr>
              <w:t xml:space="preserve"> with 3.2 mL of 1.0% lidocaine HCL injection (</w:t>
            </w:r>
            <w:proofErr w:type="spellStart"/>
            <w:r w:rsidRPr="00797D5B">
              <w:rPr>
                <w:rFonts w:ascii="Times New Roman" w:hAnsi="Times New Roman"/>
              </w:rPr>
              <w:t>withOUT</w:t>
            </w:r>
            <w:proofErr w:type="spellEnd"/>
            <w:r w:rsidRPr="00797D5B">
              <w:rPr>
                <w:rFonts w:ascii="Times New Roman" w:hAnsi="Times New Roman"/>
              </w:rPr>
              <w:t>) epinephrine</w:t>
            </w:r>
          </w:p>
        </w:tc>
        <w:tc>
          <w:tcPr>
            <w:tcW w:w="762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Intramuscularly</w:t>
            </w:r>
          </w:p>
        </w:tc>
        <w:tc>
          <w:tcPr>
            <w:tcW w:w="1397" w:type="pct"/>
            <w:vMerge/>
          </w:tcPr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</w:tr>
      <w:tr w:rsidR="00797D5B" w:rsidRPr="00797D5B" w:rsidTr="00797D5B">
        <w:trPr>
          <w:trHeight w:val="688"/>
        </w:trPr>
        <w:tc>
          <w:tcPr>
            <w:tcW w:w="1047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Meropenem</w:t>
            </w:r>
          </w:p>
        </w:tc>
        <w:tc>
          <w:tcPr>
            <w:tcW w:w="1794" w:type="pct"/>
          </w:tcPr>
          <w:p w:rsidR="00797D5B" w:rsidRDefault="00797D5B" w:rsidP="00797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NOT AN FDA APPROVED </w:t>
            </w:r>
          </w:p>
          <w:p w:rsidR="00797D5B" w:rsidRPr="00797D5B" w:rsidRDefault="00797D5B" w:rsidP="00797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DOSING ROUTE</w:t>
            </w:r>
          </w:p>
        </w:tc>
        <w:tc>
          <w:tcPr>
            <w:tcW w:w="762" w:type="pct"/>
          </w:tcPr>
          <w:p w:rsidR="00797D5B" w:rsidRPr="00797D5B" w:rsidRDefault="00797D5B" w:rsidP="00D24C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7" w:type="pct"/>
            <w:vMerge/>
          </w:tcPr>
          <w:p w:rsidR="00797D5B" w:rsidRPr="00797D5B" w:rsidRDefault="00797D5B" w:rsidP="00D24C41">
            <w:pPr>
              <w:rPr>
                <w:rFonts w:ascii="Times New Roman" w:hAnsi="Times New Roman"/>
              </w:rPr>
            </w:pPr>
          </w:p>
        </w:tc>
      </w:tr>
    </w:tbl>
    <w:p w:rsidR="00A04948" w:rsidRPr="00797D5B" w:rsidRDefault="00A04948" w:rsidP="00A04948">
      <w:pPr>
        <w:rPr>
          <w:rFonts w:ascii="Times New Roman" w:hAnsi="Times New Roman"/>
        </w:rPr>
      </w:pPr>
      <w:r w:rsidRPr="00797D5B">
        <w:rPr>
          <w:rFonts w:ascii="Times New Roman" w:hAnsi="Times New Roman"/>
        </w:rPr>
        <w:t>*These options are interchangeable and selection is at the discretion of the treating physician based on patient specific factors such as allergies and resistance patterns of the isolate.</w:t>
      </w:r>
    </w:p>
    <w:p w:rsidR="00A04948" w:rsidRPr="00797D5B" w:rsidRDefault="00A04948" w:rsidP="00A04948">
      <w:pPr>
        <w:rPr>
          <w:rFonts w:ascii="Times New Roman" w:hAnsi="Times New Roman"/>
          <w:b/>
        </w:rPr>
      </w:pPr>
    </w:p>
    <w:p w:rsidR="00A04948" w:rsidRPr="00797D5B" w:rsidRDefault="00A04948" w:rsidP="00A04948">
      <w:pPr>
        <w:jc w:val="center"/>
        <w:rPr>
          <w:rFonts w:ascii="Times New Roman" w:hAnsi="Times New Roman"/>
          <w:b/>
        </w:rPr>
      </w:pPr>
    </w:p>
    <w:p w:rsidR="00797D5B" w:rsidRDefault="00797D5B" w:rsidP="00A04948">
      <w:pPr>
        <w:rPr>
          <w:rFonts w:ascii="Times New Roman" w:hAnsi="Times New Roman"/>
          <w:b/>
        </w:rPr>
      </w:pPr>
    </w:p>
    <w:p w:rsidR="000C05B8" w:rsidRDefault="000C05B8" w:rsidP="00A04948">
      <w:pPr>
        <w:rPr>
          <w:rFonts w:ascii="Times New Roman" w:hAnsi="Times New Roman"/>
          <w:b/>
          <w:u w:val="single"/>
        </w:rPr>
      </w:pPr>
    </w:p>
    <w:p w:rsidR="00A04948" w:rsidRPr="00797D5B" w:rsidRDefault="00A04948" w:rsidP="00A04948">
      <w:pPr>
        <w:rPr>
          <w:rFonts w:ascii="Times New Roman" w:hAnsi="Times New Roman"/>
          <w:b/>
          <w:u w:val="single"/>
          <w:vertAlign w:val="superscript"/>
        </w:rPr>
      </w:pPr>
      <w:r w:rsidRPr="00797D5B">
        <w:rPr>
          <w:rFonts w:ascii="Times New Roman" w:hAnsi="Times New Roman"/>
          <w:b/>
          <w:u w:val="single"/>
        </w:rPr>
        <w:lastRenderedPageBreak/>
        <w:t xml:space="preserve">Intravenous </w:t>
      </w:r>
      <w:proofErr w:type="spellStart"/>
      <w:r w:rsidRPr="00797D5B">
        <w:rPr>
          <w:rFonts w:ascii="Times New Roman" w:hAnsi="Times New Roman"/>
          <w:b/>
          <w:u w:val="single"/>
        </w:rPr>
        <w:t>Options</w:t>
      </w:r>
      <w:r w:rsidRPr="00797D5B">
        <w:rPr>
          <w:rFonts w:ascii="Times New Roman" w:hAnsi="Times New Roman"/>
          <w:b/>
          <w:vertAlign w:val="superscript"/>
        </w:rPr>
        <w:t>a</w:t>
      </w:r>
      <w:proofErr w:type="spellEnd"/>
      <w:r w:rsidRPr="00797D5B">
        <w:rPr>
          <w:rFonts w:ascii="Times New Roman" w:hAnsi="Times New Roman"/>
          <w:b/>
          <w:vertAlign w:val="superscript"/>
        </w:rPr>
        <w:t>, b, c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2286"/>
        <w:gridCol w:w="1672"/>
        <w:gridCol w:w="3338"/>
      </w:tblGrid>
      <w:tr w:rsidR="00A04948" w:rsidRPr="00797D5B" w:rsidTr="00F25C74">
        <w:tc>
          <w:tcPr>
            <w:tcW w:w="20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Drug</w:t>
            </w:r>
          </w:p>
        </w:tc>
        <w:tc>
          <w:tcPr>
            <w:tcW w:w="2286" w:type="dxa"/>
            <w:tcBorders>
              <w:top w:val="single" w:sz="24" w:space="0" w:color="000000"/>
              <w:bottom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Dose</w:t>
            </w:r>
          </w:p>
        </w:tc>
        <w:tc>
          <w:tcPr>
            <w:tcW w:w="1672" w:type="dxa"/>
            <w:tcBorders>
              <w:top w:val="single" w:sz="24" w:space="0" w:color="000000"/>
              <w:bottom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Route/Schedule</w:t>
            </w:r>
          </w:p>
        </w:tc>
        <w:tc>
          <w:tcPr>
            <w:tcW w:w="3338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  <w:b/>
              </w:rPr>
              <w:t>Comment</w:t>
            </w:r>
          </w:p>
        </w:tc>
      </w:tr>
      <w:tr w:rsidR="00A04948" w:rsidRPr="00797D5B" w:rsidTr="00F25C74">
        <w:tc>
          <w:tcPr>
            <w:tcW w:w="2004" w:type="dxa"/>
            <w:tcBorders>
              <w:top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r w:rsidRPr="00797D5B">
              <w:rPr>
                <w:rFonts w:ascii="Times New Roman" w:hAnsi="Times New Roman"/>
              </w:rPr>
              <w:t>Ceftriaxone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6" w:type="dxa"/>
            <w:tcBorders>
              <w:top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2000 mg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tcBorders>
              <w:top w:val="single" w:sz="24" w:space="0" w:color="000000"/>
            </w:tcBorders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ONCE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Intravenously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38" w:type="dxa"/>
            <w:vMerge w:val="restart"/>
            <w:tcBorders>
              <w:top w:val="single" w:sz="24" w:space="0" w:color="000000"/>
            </w:tcBorders>
          </w:tcPr>
          <w:p w:rsidR="00A04948" w:rsidRPr="00797D5B" w:rsidRDefault="00A04948" w:rsidP="00D24C4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797D5B">
              <w:rPr>
                <w:rFonts w:ascii="Times New Roman" w:hAnsi="Times New Roman"/>
                <w:vertAlign w:val="superscript"/>
              </w:rPr>
              <w:t>a</w:t>
            </w:r>
            <w:r w:rsidRPr="00797D5B">
              <w:rPr>
                <w:rFonts w:ascii="Times New Roman" w:hAnsi="Times New Roman"/>
              </w:rPr>
              <w:t>Initiate</w:t>
            </w:r>
            <w:proofErr w:type="spellEnd"/>
            <w:proofErr w:type="gramEnd"/>
            <w:r w:rsidRPr="00797D5B">
              <w:rPr>
                <w:rFonts w:ascii="Times New Roman" w:hAnsi="Times New Roman"/>
              </w:rPr>
              <w:t xml:space="preserve"> 1 hour prior to procedure.</w:t>
            </w: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797D5B">
              <w:rPr>
                <w:rFonts w:ascii="Times New Roman" w:hAnsi="Times New Roman"/>
                <w:vertAlign w:val="superscript"/>
              </w:rPr>
              <w:t>b</w:t>
            </w:r>
            <w:r w:rsidRPr="00797D5B">
              <w:rPr>
                <w:rFonts w:ascii="Times New Roman" w:hAnsi="Times New Roman"/>
              </w:rPr>
              <w:t>Use</w:t>
            </w:r>
            <w:proofErr w:type="spellEnd"/>
            <w:proofErr w:type="gramEnd"/>
            <w:r w:rsidRPr="00797D5B">
              <w:rPr>
                <w:rFonts w:ascii="Times New Roman" w:hAnsi="Times New Roman"/>
              </w:rPr>
              <w:t xml:space="preserve"> caution in patients with baseline nephrotoxicity or ototoxicity.</w:t>
            </w: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797D5B">
              <w:rPr>
                <w:rFonts w:ascii="Times New Roman" w:hAnsi="Times New Roman"/>
                <w:vertAlign w:val="superscript"/>
              </w:rPr>
              <w:t>c</w:t>
            </w:r>
            <w:r w:rsidRPr="00797D5B">
              <w:rPr>
                <w:rFonts w:ascii="Times New Roman" w:hAnsi="Times New Roman"/>
              </w:rPr>
              <w:t>These</w:t>
            </w:r>
            <w:proofErr w:type="spellEnd"/>
            <w:proofErr w:type="gramEnd"/>
            <w:r w:rsidRPr="00797D5B">
              <w:rPr>
                <w:rFonts w:ascii="Times New Roman" w:hAnsi="Times New Roman"/>
              </w:rPr>
              <w:t xml:space="preserve"> options may not be preferable due to short drug half-lives (in patients with normal renal function); consideration should be given to providing an additional dose(s) post-procedure if 24 hours of antibiotic coverage is desired.</w:t>
            </w:r>
          </w:p>
        </w:tc>
      </w:tr>
      <w:tr w:rsidR="00A04948" w:rsidRPr="00797D5B" w:rsidTr="00F25C74">
        <w:tc>
          <w:tcPr>
            <w:tcW w:w="2004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797D5B">
              <w:rPr>
                <w:rFonts w:ascii="Times New Roman" w:hAnsi="Times New Roman"/>
              </w:rPr>
              <w:t>Aminoglycoside</w:t>
            </w:r>
            <w:r w:rsidRPr="00797D5B">
              <w:rPr>
                <w:rFonts w:ascii="Times New Roman" w:hAnsi="Times New Roman"/>
                <w:vertAlign w:val="superscript"/>
              </w:rPr>
              <w:t>b</w:t>
            </w:r>
            <w:proofErr w:type="spellEnd"/>
            <w:r w:rsidRPr="00797D5B">
              <w:rPr>
                <w:rFonts w:ascii="Times New Roman" w:hAnsi="Times New Roman"/>
              </w:rPr>
              <w:t xml:space="preserve"> 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  <w:tc>
          <w:tcPr>
            <w:tcW w:w="2286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Gentamicin 2</w:t>
            </w:r>
            <w:r w:rsidR="00F25C74" w:rsidRPr="00797D5B">
              <w:rPr>
                <w:rFonts w:ascii="Times New Roman" w:hAnsi="Times New Roman"/>
              </w:rPr>
              <w:t xml:space="preserve"> </w:t>
            </w:r>
            <w:r w:rsidRPr="00797D5B">
              <w:rPr>
                <w:rFonts w:ascii="Times New Roman" w:hAnsi="Times New Roman"/>
              </w:rPr>
              <w:t>mg/kg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  <w:b/>
              </w:rPr>
              <w:t>or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Amikacin 5 mg/kg given</w:t>
            </w:r>
          </w:p>
        </w:tc>
        <w:tc>
          <w:tcPr>
            <w:tcW w:w="1672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ONCE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Intravenously</w:t>
            </w: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  <w:tc>
          <w:tcPr>
            <w:tcW w:w="3338" w:type="dxa"/>
            <w:vMerge/>
          </w:tcPr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</w:tr>
      <w:tr w:rsidR="00A04948" w:rsidRPr="00797D5B" w:rsidTr="00F25C74">
        <w:tc>
          <w:tcPr>
            <w:tcW w:w="2004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vertAlign w:val="superscript"/>
              </w:rPr>
            </w:pPr>
            <w:proofErr w:type="spellStart"/>
            <w:r w:rsidRPr="00797D5B">
              <w:rPr>
                <w:rFonts w:ascii="Times New Roman" w:hAnsi="Times New Roman"/>
              </w:rPr>
              <w:t>Aztreonam</w:t>
            </w:r>
            <w:r w:rsidRPr="00797D5B">
              <w:rPr>
                <w:rFonts w:ascii="Times New Roman" w:hAnsi="Times New Roman"/>
                <w:vertAlign w:val="superscript"/>
              </w:rPr>
              <w:t>c</w:t>
            </w:r>
            <w:proofErr w:type="spellEnd"/>
          </w:p>
        </w:tc>
        <w:tc>
          <w:tcPr>
            <w:tcW w:w="2286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2000</w:t>
            </w:r>
            <w:r w:rsidR="00F25C74" w:rsidRPr="00797D5B">
              <w:rPr>
                <w:rFonts w:ascii="Times New Roman" w:hAnsi="Times New Roman"/>
              </w:rPr>
              <w:t xml:space="preserve"> </w:t>
            </w:r>
            <w:r w:rsidRPr="00797D5B">
              <w:rPr>
                <w:rFonts w:ascii="Times New Roman" w:hAnsi="Times New Roman"/>
              </w:rPr>
              <w:t>mg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vertAlign w:val="superscript"/>
              </w:rPr>
            </w:pPr>
            <w:r w:rsidRPr="00797D5B">
              <w:rPr>
                <w:rFonts w:ascii="Times New Roman" w:hAnsi="Times New Roman"/>
              </w:rPr>
              <w:t>Intravenously</w:t>
            </w: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  <w:tc>
          <w:tcPr>
            <w:tcW w:w="3338" w:type="dxa"/>
            <w:vMerge/>
          </w:tcPr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</w:tr>
      <w:tr w:rsidR="00A04948" w:rsidRPr="00797D5B" w:rsidTr="00F25C74">
        <w:tc>
          <w:tcPr>
            <w:tcW w:w="2004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vertAlign w:val="superscript"/>
              </w:rPr>
            </w:pPr>
            <w:proofErr w:type="spellStart"/>
            <w:r w:rsidRPr="00797D5B">
              <w:rPr>
                <w:rFonts w:ascii="Times New Roman" w:hAnsi="Times New Roman"/>
              </w:rPr>
              <w:t>Imipenem</w:t>
            </w:r>
            <w:r w:rsidRPr="00797D5B">
              <w:rPr>
                <w:rFonts w:ascii="Times New Roman" w:hAnsi="Times New Roman"/>
                <w:vertAlign w:val="superscript"/>
              </w:rPr>
              <w:t>c</w:t>
            </w:r>
            <w:proofErr w:type="spellEnd"/>
          </w:p>
        </w:tc>
        <w:tc>
          <w:tcPr>
            <w:tcW w:w="2286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1000</w:t>
            </w:r>
            <w:r w:rsidR="00F25C74" w:rsidRPr="00797D5B">
              <w:rPr>
                <w:rFonts w:ascii="Times New Roman" w:hAnsi="Times New Roman"/>
              </w:rPr>
              <w:t xml:space="preserve"> </w:t>
            </w:r>
            <w:r w:rsidRPr="00797D5B">
              <w:rPr>
                <w:rFonts w:ascii="Times New Roman" w:hAnsi="Times New Roman"/>
              </w:rPr>
              <w:t>mg</w:t>
            </w:r>
          </w:p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</w:p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  <w:vertAlign w:val="superscript"/>
              </w:rPr>
            </w:pPr>
            <w:r w:rsidRPr="00797D5B">
              <w:rPr>
                <w:rFonts w:ascii="Times New Roman" w:hAnsi="Times New Roman"/>
              </w:rPr>
              <w:t>Intravenously</w:t>
            </w:r>
          </w:p>
        </w:tc>
        <w:tc>
          <w:tcPr>
            <w:tcW w:w="3338" w:type="dxa"/>
            <w:vMerge/>
          </w:tcPr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</w:tr>
      <w:tr w:rsidR="00A04948" w:rsidRPr="00797D5B" w:rsidTr="00F25C74">
        <w:tc>
          <w:tcPr>
            <w:tcW w:w="2004" w:type="dxa"/>
          </w:tcPr>
          <w:p w:rsidR="00A04948" w:rsidRPr="00797D5B" w:rsidRDefault="00A04948" w:rsidP="00D24C4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97D5B">
              <w:rPr>
                <w:rFonts w:ascii="Times New Roman" w:hAnsi="Times New Roman"/>
              </w:rPr>
              <w:t>Meropenem</w:t>
            </w:r>
            <w:r w:rsidRPr="00797D5B">
              <w:rPr>
                <w:rFonts w:ascii="Times New Roman" w:hAnsi="Times New Roman"/>
                <w:vertAlign w:val="superscript"/>
              </w:rPr>
              <w:t>c</w:t>
            </w:r>
            <w:proofErr w:type="spellEnd"/>
          </w:p>
        </w:tc>
        <w:tc>
          <w:tcPr>
            <w:tcW w:w="2286" w:type="dxa"/>
          </w:tcPr>
          <w:p w:rsidR="00A04948" w:rsidRPr="00797D5B" w:rsidRDefault="00F25C74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1000 mg</w:t>
            </w:r>
          </w:p>
        </w:tc>
        <w:tc>
          <w:tcPr>
            <w:tcW w:w="1672" w:type="dxa"/>
          </w:tcPr>
          <w:p w:rsidR="00A04948" w:rsidRPr="00797D5B" w:rsidRDefault="00F25C74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Intravenously</w:t>
            </w:r>
          </w:p>
        </w:tc>
        <w:tc>
          <w:tcPr>
            <w:tcW w:w="3338" w:type="dxa"/>
          </w:tcPr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</w:tr>
      <w:tr w:rsidR="00A04948" w:rsidRPr="00797D5B" w:rsidTr="00F25C74">
        <w:tc>
          <w:tcPr>
            <w:tcW w:w="2004" w:type="dxa"/>
          </w:tcPr>
          <w:p w:rsidR="00A04948" w:rsidRPr="00797D5B" w:rsidRDefault="00F25C74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Ertapenem</w:t>
            </w:r>
          </w:p>
        </w:tc>
        <w:tc>
          <w:tcPr>
            <w:tcW w:w="2286" w:type="dxa"/>
          </w:tcPr>
          <w:p w:rsidR="00A04948" w:rsidRPr="00797D5B" w:rsidRDefault="00F25C74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1000 mg</w:t>
            </w:r>
          </w:p>
        </w:tc>
        <w:tc>
          <w:tcPr>
            <w:tcW w:w="1672" w:type="dxa"/>
          </w:tcPr>
          <w:p w:rsidR="002C27D0" w:rsidRDefault="002C27D0" w:rsidP="00D24C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ONCE</w:t>
            </w:r>
          </w:p>
          <w:p w:rsidR="00A04948" w:rsidRPr="00797D5B" w:rsidRDefault="00F25C74" w:rsidP="00D24C41">
            <w:pPr>
              <w:jc w:val="center"/>
              <w:rPr>
                <w:rFonts w:ascii="Times New Roman" w:hAnsi="Times New Roman"/>
              </w:rPr>
            </w:pPr>
            <w:r w:rsidRPr="00797D5B">
              <w:rPr>
                <w:rFonts w:ascii="Times New Roman" w:hAnsi="Times New Roman"/>
              </w:rPr>
              <w:t>Intravenously</w:t>
            </w:r>
          </w:p>
        </w:tc>
        <w:tc>
          <w:tcPr>
            <w:tcW w:w="3338" w:type="dxa"/>
          </w:tcPr>
          <w:p w:rsidR="00A04948" w:rsidRPr="00797D5B" w:rsidRDefault="00A04948" w:rsidP="00D24C41">
            <w:pPr>
              <w:rPr>
                <w:rFonts w:ascii="Times New Roman" w:hAnsi="Times New Roman"/>
              </w:rPr>
            </w:pPr>
          </w:p>
        </w:tc>
      </w:tr>
    </w:tbl>
    <w:p w:rsidR="00797D5B" w:rsidRDefault="00A04948" w:rsidP="00797D5B">
      <w:pPr>
        <w:spacing w:after="0" w:line="240" w:lineRule="auto"/>
        <w:rPr>
          <w:rFonts w:ascii="Times New Roman" w:hAnsi="Times New Roman"/>
        </w:rPr>
      </w:pPr>
      <w:r w:rsidRPr="00797D5B">
        <w:rPr>
          <w:rFonts w:ascii="Times New Roman" w:hAnsi="Times New Roman"/>
        </w:rPr>
        <w:t xml:space="preserve">*These options are interchangeable and selection is at the discretion of the treating physician based on </w:t>
      </w:r>
    </w:p>
    <w:p w:rsidR="00A04948" w:rsidRPr="00797D5B" w:rsidRDefault="00A04948" w:rsidP="00797D5B">
      <w:pPr>
        <w:spacing w:after="0" w:line="240" w:lineRule="auto"/>
        <w:rPr>
          <w:rFonts w:ascii="Times New Roman" w:hAnsi="Times New Roman"/>
        </w:rPr>
      </w:pPr>
      <w:proofErr w:type="gramStart"/>
      <w:r w:rsidRPr="00797D5B">
        <w:rPr>
          <w:rFonts w:ascii="Times New Roman" w:hAnsi="Times New Roman"/>
        </w:rPr>
        <w:t>patient</w:t>
      </w:r>
      <w:proofErr w:type="gramEnd"/>
      <w:r w:rsidRPr="00797D5B">
        <w:rPr>
          <w:rFonts w:ascii="Times New Roman" w:hAnsi="Times New Roman"/>
        </w:rPr>
        <w:t xml:space="preserve"> specific factors such as allergies and resistance patterns of the isolate.</w:t>
      </w:r>
    </w:p>
    <w:p w:rsidR="005F2632" w:rsidRPr="00797D5B" w:rsidRDefault="005F2632">
      <w:pPr>
        <w:rPr>
          <w:rFonts w:ascii="Times New Roman" w:hAnsi="Times New Roman"/>
        </w:rPr>
      </w:pPr>
    </w:p>
    <w:sectPr w:rsidR="005F2632" w:rsidRPr="00797D5B" w:rsidSect="00797D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948"/>
    <w:rsid w:val="00032F69"/>
    <w:rsid w:val="000C05B8"/>
    <w:rsid w:val="000C4B2B"/>
    <w:rsid w:val="00170BC9"/>
    <w:rsid w:val="002C27D0"/>
    <w:rsid w:val="004E773F"/>
    <w:rsid w:val="005F2632"/>
    <w:rsid w:val="00777F03"/>
    <w:rsid w:val="00797D5B"/>
    <w:rsid w:val="00A04948"/>
    <w:rsid w:val="00B94F55"/>
    <w:rsid w:val="00F2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FECF11-491C-4488-9072-8A758ACFB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94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B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B2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B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B2B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B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89FC6-438D-4B1F-A65F-AE62E9921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 Zembower</dc:creator>
  <cp:keywords/>
  <dc:description/>
  <cp:lastModifiedBy>Mary Kate Keeter</cp:lastModifiedBy>
  <cp:revision>3</cp:revision>
  <dcterms:created xsi:type="dcterms:W3CDTF">2017-02-24T16:38:00Z</dcterms:created>
  <dcterms:modified xsi:type="dcterms:W3CDTF">2017-02-24T16:38:00Z</dcterms:modified>
</cp:coreProperties>
</file>