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F51" w:rsidRPr="000D7D15" w:rsidRDefault="007B3F51" w:rsidP="007B3F51">
      <w:pPr>
        <w:spacing w:line="480" w:lineRule="auto"/>
        <w:jc w:val="both"/>
        <w:rPr>
          <w:rFonts w:ascii="Arial" w:hAnsi="Arial" w:cs="Arial"/>
          <w:b/>
          <w:lang w:val="en-US"/>
        </w:rPr>
      </w:pPr>
      <w:bookmarkStart w:id="0" w:name="_GoBack"/>
      <w:bookmarkEnd w:id="0"/>
      <w:r w:rsidRPr="000D7D15">
        <w:rPr>
          <w:rFonts w:ascii="Arial" w:hAnsi="Arial" w:cs="Arial"/>
          <w:b/>
          <w:lang w:val="en-US"/>
        </w:rPr>
        <w:t>Supplementary Files</w:t>
      </w:r>
    </w:p>
    <w:p w:rsidR="007B3F51" w:rsidRDefault="007B3F51" w:rsidP="007B3F51">
      <w:pPr>
        <w:pStyle w:val="Beschriftung"/>
        <w:keepNext/>
        <w:spacing w:line="480" w:lineRule="auto"/>
        <w:jc w:val="both"/>
        <w:rPr>
          <w:rFonts w:ascii="Arial" w:hAnsi="Arial" w:cs="Arial"/>
          <w:bCs w:val="0"/>
          <w:color w:val="auto"/>
          <w:sz w:val="24"/>
          <w:szCs w:val="24"/>
          <w:lang w:val="en-US"/>
        </w:rPr>
      </w:pPr>
      <w:r>
        <w:rPr>
          <w:rFonts w:ascii="Arial" w:hAnsi="Arial" w:cs="Arial"/>
          <w:color w:val="000000" w:themeColor="text1"/>
          <w:sz w:val="24"/>
          <w:szCs w:val="24"/>
          <w:lang w:val="en-US"/>
        </w:rPr>
        <w:t xml:space="preserve">Supplement 1   </w:t>
      </w:r>
      <w:r w:rsidRPr="0018588D">
        <w:rPr>
          <w:rFonts w:ascii="Arial" w:hAnsi="Arial" w:cs="Arial"/>
          <w:bCs w:val="0"/>
          <w:color w:val="auto"/>
          <w:sz w:val="24"/>
          <w:szCs w:val="24"/>
          <w:lang w:val="en-US"/>
        </w:rPr>
        <w:t>Mean FTD21 C</w:t>
      </w:r>
      <w:r w:rsidRPr="00DF3816">
        <w:rPr>
          <w:rFonts w:ascii="Arial" w:hAnsi="Arial" w:cs="Arial"/>
          <w:b w:val="0"/>
          <w:bCs w:val="0"/>
          <w:color w:val="auto"/>
          <w:sz w:val="24"/>
          <w:szCs w:val="24"/>
          <w:vertAlign w:val="subscript"/>
          <w:lang w:val="en-US"/>
        </w:rPr>
        <w:t>T</w:t>
      </w:r>
      <w:r w:rsidRPr="0018588D">
        <w:rPr>
          <w:rFonts w:ascii="Arial" w:hAnsi="Arial" w:cs="Arial"/>
          <w:bCs w:val="0"/>
          <w:color w:val="auto"/>
          <w:sz w:val="24"/>
          <w:szCs w:val="24"/>
          <w:lang w:val="en-US"/>
        </w:rPr>
        <w:t xml:space="preserve"> values of RT-PCR positive samples by age group and admission diagnosis. </w:t>
      </w:r>
    </w:p>
    <w:p w:rsidR="007B3F51" w:rsidRDefault="007B3F51" w:rsidP="007B3F51">
      <w:pPr>
        <w:spacing w:line="480" w:lineRule="auto"/>
        <w:jc w:val="both"/>
        <w:rPr>
          <w:rFonts w:ascii="Arial" w:hAnsi="Arial" w:cs="Arial"/>
          <w:lang w:val="en-US"/>
        </w:rPr>
      </w:pPr>
      <w:r w:rsidRPr="0018588D">
        <w:rPr>
          <w:rFonts w:ascii="Arial" w:hAnsi="Arial" w:cs="Arial"/>
          <w:lang w:val="en-US"/>
        </w:rPr>
        <w:t>C</w:t>
      </w:r>
      <w:r w:rsidRPr="00DF3816">
        <w:rPr>
          <w:rFonts w:ascii="Arial" w:hAnsi="Arial" w:cs="Arial"/>
          <w:vertAlign w:val="subscript"/>
          <w:lang w:val="en-US"/>
        </w:rPr>
        <w:t>T</w:t>
      </w:r>
      <w:r w:rsidRPr="0018588D">
        <w:rPr>
          <w:rFonts w:ascii="Arial" w:hAnsi="Arial" w:cs="Arial"/>
          <w:lang w:val="en-US"/>
        </w:rPr>
        <w:t xml:space="preserve"> values were significantly increased in older children (P&lt;0.01, </w:t>
      </w:r>
      <w:proofErr w:type="spellStart"/>
      <w:r w:rsidRPr="0018588D">
        <w:rPr>
          <w:rFonts w:ascii="Arial" w:hAnsi="Arial" w:cs="Arial"/>
          <w:lang w:val="en-US"/>
        </w:rPr>
        <w:t>Kruskal</w:t>
      </w:r>
      <w:proofErr w:type="spellEnd"/>
      <w:r w:rsidRPr="0018588D">
        <w:rPr>
          <w:rFonts w:ascii="Arial" w:hAnsi="Arial" w:cs="Arial"/>
          <w:lang w:val="en-US"/>
        </w:rPr>
        <w:t xml:space="preserve">-Wallis test) and in children with non-respiratory admission diagnosis (P&lt;0.01, </w:t>
      </w:r>
      <w:proofErr w:type="spellStart"/>
      <w:r w:rsidRPr="0018588D">
        <w:rPr>
          <w:rFonts w:ascii="Arial" w:hAnsi="Arial" w:cs="Arial"/>
          <w:lang w:val="en-US"/>
        </w:rPr>
        <w:t>Kruskal</w:t>
      </w:r>
      <w:proofErr w:type="spellEnd"/>
      <w:r w:rsidRPr="0018588D">
        <w:rPr>
          <w:rFonts w:ascii="Arial" w:hAnsi="Arial" w:cs="Arial"/>
          <w:lang w:val="en-US"/>
        </w:rPr>
        <w:t>-Wallis test).</w:t>
      </w:r>
    </w:p>
    <w:tbl>
      <w:tblPr>
        <w:tblpPr w:leftFromText="141" w:rightFromText="141" w:vertAnchor="text" w:horzAnchor="margin" w:tblpY="23"/>
        <w:tblW w:w="4885" w:type="pct"/>
        <w:tblBorders>
          <w:insideH w:val="single" w:sz="4" w:space="0" w:color="auto"/>
          <w:insideV w:val="single" w:sz="4" w:space="0" w:color="auto"/>
        </w:tblBorders>
        <w:tblLayout w:type="fixed"/>
        <w:tblCellMar>
          <w:top w:w="85" w:type="dxa"/>
          <w:left w:w="70" w:type="dxa"/>
          <w:bottom w:w="85" w:type="dxa"/>
          <w:right w:w="70" w:type="dxa"/>
        </w:tblCellMar>
        <w:tblLook w:val="04A0" w:firstRow="1" w:lastRow="0" w:firstColumn="1" w:lastColumn="0" w:noHBand="0" w:noVBand="1"/>
      </w:tblPr>
      <w:tblGrid>
        <w:gridCol w:w="3472"/>
        <w:gridCol w:w="5528"/>
      </w:tblGrid>
      <w:tr w:rsidR="007B3F51" w:rsidRPr="007B3F51" w:rsidTr="007B3F51">
        <w:trPr>
          <w:trHeight w:val="397"/>
        </w:trPr>
        <w:tc>
          <w:tcPr>
            <w:tcW w:w="1929" w:type="pct"/>
            <w:shd w:val="clear" w:color="auto" w:fill="auto"/>
            <w:noWrap/>
            <w:vAlign w:val="bottom"/>
          </w:tcPr>
          <w:p w:rsidR="007B3F51" w:rsidRPr="009732FA" w:rsidRDefault="007B3F51" w:rsidP="007B3F51">
            <w:pPr>
              <w:spacing w:line="360" w:lineRule="auto"/>
              <w:contextualSpacing/>
              <w:rPr>
                <w:rFonts w:ascii="Arial" w:eastAsia="Times New Roman" w:hAnsi="Arial" w:cs="Arial"/>
                <w:b/>
                <w:bCs/>
                <w:color w:val="000000"/>
                <w:lang w:val="en-US"/>
              </w:rPr>
            </w:pPr>
          </w:p>
        </w:tc>
        <w:tc>
          <w:tcPr>
            <w:tcW w:w="3071" w:type="pct"/>
            <w:shd w:val="clear" w:color="auto" w:fill="auto"/>
            <w:noWrap/>
            <w:vAlign w:val="bottom"/>
          </w:tcPr>
          <w:p w:rsidR="007B3F51" w:rsidRPr="009732FA" w:rsidRDefault="007B3F51" w:rsidP="007B3F51">
            <w:pPr>
              <w:spacing w:line="360" w:lineRule="auto"/>
              <w:contextualSpacing/>
              <w:jc w:val="center"/>
              <w:rPr>
                <w:rFonts w:ascii="Arial" w:eastAsia="Times New Roman" w:hAnsi="Arial" w:cs="Arial"/>
                <w:color w:val="000000"/>
                <w:lang w:val="en-US"/>
              </w:rPr>
            </w:pPr>
            <w:r w:rsidRPr="009732FA">
              <w:rPr>
                <w:rFonts w:ascii="Arial" w:eastAsia="Times New Roman" w:hAnsi="Arial" w:cs="Arial"/>
                <w:color w:val="000000"/>
                <w:lang w:val="en-US"/>
              </w:rPr>
              <w:t>mean FTD21 C</w:t>
            </w:r>
            <w:r w:rsidRPr="009732FA">
              <w:rPr>
                <w:rFonts w:ascii="Arial" w:eastAsia="Times New Roman" w:hAnsi="Arial" w:cs="Arial"/>
                <w:color w:val="000000"/>
                <w:vertAlign w:val="subscript"/>
                <w:lang w:val="en-US"/>
              </w:rPr>
              <w:t>T</w:t>
            </w:r>
            <w:r w:rsidRPr="009732FA">
              <w:rPr>
                <w:rFonts w:ascii="Arial" w:eastAsia="Times New Roman" w:hAnsi="Arial" w:cs="Arial"/>
                <w:color w:val="000000"/>
                <w:lang w:val="en-US"/>
              </w:rPr>
              <w:t xml:space="preserve"> value (CI</w:t>
            </w:r>
            <w:r w:rsidRPr="009732FA">
              <w:rPr>
                <w:rFonts w:ascii="Arial" w:eastAsia="Times New Roman" w:hAnsi="Arial" w:cs="Arial"/>
                <w:color w:val="000000"/>
                <w:vertAlign w:val="subscript"/>
                <w:lang w:val="en-US"/>
              </w:rPr>
              <w:t>95</w:t>
            </w:r>
            <w:r w:rsidRPr="009732FA">
              <w:rPr>
                <w:rFonts w:ascii="Arial" w:eastAsia="Times New Roman" w:hAnsi="Arial" w:cs="Arial"/>
                <w:color w:val="000000"/>
                <w:lang w:val="en-US"/>
              </w:rPr>
              <w:t>)</w:t>
            </w:r>
            <w:r w:rsidRPr="009732FA">
              <w:rPr>
                <w:rFonts w:ascii="Arial" w:eastAsia="Times New Roman" w:hAnsi="Arial" w:cs="Arial"/>
                <w:color w:val="000000"/>
                <w:vertAlign w:val="subscript"/>
                <w:lang w:val="en-US"/>
              </w:rPr>
              <w:t xml:space="preserve"> </w:t>
            </w:r>
          </w:p>
        </w:tc>
      </w:tr>
      <w:tr w:rsidR="007B3F51" w:rsidRPr="00A44D13" w:rsidTr="007B3F51">
        <w:trPr>
          <w:trHeight w:val="397"/>
        </w:trPr>
        <w:tc>
          <w:tcPr>
            <w:tcW w:w="1929" w:type="pct"/>
            <w:shd w:val="clear" w:color="auto" w:fill="auto"/>
            <w:noWrap/>
            <w:vAlign w:val="bottom"/>
          </w:tcPr>
          <w:p w:rsidR="007B3F51" w:rsidRPr="009732FA" w:rsidRDefault="007B3F51" w:rsidP="007B3F51">
            <w:pPr>
              <w:spacing w:line="360" w:lineRule="auto"/>
              <w:contextualSpacing/>
              <w:rPr>
                <w:rFonts w:ascii="Arial" w:eastAsia="Times New Roman" w:hAnsi="Arial" w:cs="Arial"/>
                <w:b/>
                <w:bCs/>
                <w:color w:val="000000"/>
                <w:lang w:val="en-US"/>
              </w:rPr>
            </w:pPr>
            <w:r w:rsidRPr="009732FA">
              <w:rPr>
                <w:rFonts w:ascii="Arial" w:eastAsia="Times New Roman" w:hAnsi="Arial" w:cs="Arial"/>
                <w:b/>
                <w:bCs/>
                <w:color w:val="000000"/>
                <w:lang w:val="en-US"/>
              </w:rPr>
              <w:t>all RT-PCR positive samples</w:t>
            </w:r>
          </w:p>
        </w:tc>
        <w:tc>
          <w:tcPr>
            <w:tcW w:w="3071" w:type="pct"/>
            <w:shd w:val="clear" w:color="auto" w:fill="auto"/>
            <w:noWrap/>
            <w:vAlign w:val="bottom"/>
          </w:tcPr>
          <w:p w:rsidR="007B3F51" w:rsidRPr="00F51230" w:rsidRDefault="007B3F51" w:rsidP="007B3F51">
            <w:pPr>
              <w:spacing w:line="360" w:lineRule="auto"/>
              <w:contextualSpacing/>
              <w:jc w:val="center"/>
              <w:rPr>
                <w:rFonts w:ascii="Arial" w:eastAsia="Times New Roman" w:hAnsi="Arial" w:cs="Arial"/>
                <w:color w:val="000000"/>
                <w:lang w:val="en-US"/>
              </w:rPr>
            </w:pPr>
            <w:r w:rsidRPr="009732FA">
              <w:rPr>
                <w:rFonts w:ascii="Arial" w:eastAsia="Times New Roman" w:hAnsi="Arial" w:cs="Arial"/>
                <w:color w:val="000000"/>
                <w:lang w:val="en-US"/>
              </w:rPr>
              <w:t>18.6 (17.8 – 19.3)</w:t>
            </w:r>
          </w:p>
        </w:tc>
      </w:tr>
      <w:tr w:rsidR="007B3F51" w:rsidRPr="001B13EB" w:rsidTr="007B3F51">
        <w:trPr>
          <w:trHeight w:val="397"/>
        </w:trPr>
        <w:tc>
          <w:tcPr>
            <w:tcW w:w="1929" w:type="pct"/>
            <w:shd w:val="clear" w:color="auto" w:fill="auto"/>
            <w:noWrap/>
            <w:vAlign w:val="center"/>
            <w:hideMark/>
          </w:tcPr>
          <w:p w:rsidR="007B3F51" w:rsidRPr="00F51230" w:rsidRDefault="007B3F51" w:rsidP="007B3F51">
            <w:pPr>
              <w:spacing w:line="360" w:lineRule="auto"/>
              <w:contextualSpacing/>
              <w:rPr>
                <w:rFonts w:ascii="Arial" w:eastAsia="Times New Roman" w:hAnsi="Arial" w:cs="Arial"/>
                <w:color w:val="000000"/>
                <w:lang w:val="en-US"/>
              </w:rPr>
            </w:pPr>
            <w:r w:rsidRPr="00F51230">
              <w:rPr>
                <w:rFonts w:ascii="Arial" w:eastAsia="Times New Roman" w:hAnsi="Arial" w:cs="Arial"/>
                <w:b/>
                <w:bCs/>
                <w:color w:val="000000"/>
                <w:lang w:val="en-US"/>
              </w:rPr>
              <w:t>admission diagnosis</w:t>
            </w:r>
          </w:p>
          <w:p w:rsidR="007B3F51" w:rsidRPr="00F51230" w:rsidRDefault="007B3F51" w:rsidP="007B3F51">
            <w:pPr>
              <w:spacing w:line="360" w:lineRule="auto"/>
              <w:contextualSpacing/>
              <w:jc w:val="right"/>
              <w:rPr>
                <w:rFonts w:ascii="Arial" w:eastAsia="Times New Roman" w:hAnsi="Arial" w:cs="Arial"/>
                <w:color w:val="000000"/>
                <w:lang w:val="en-US"/>
              </w:rPr>
            </w:pPr>
            <w:r w:rsidRPr="00F51230">
              <w:rPr>
                <w:rFonts w:ascii="Arial" w:eastAsia="Times New Roman" w:hAnsi="Arial" w:cs="Arial"/>
                <w:color w:val="000000"/>
                <w:lang w:val="en-US"/>
              </w:rPr>
              <w:t>URTI</w:t>
            </w:r>
          </w:p>
          <w:p w:rsidR="007B3F51" w:rsidRPr="00F51230" w:rsidRDefault="007B3F51" w:rsidP="007B3F51">
            <w:pPr>
              <w:spacing w:line="360" w:lineRule="auto"/>
              <w:contextualSpacing/>
              <w:jc w:val="right"/>
              <w:rPr>
                <w:rFonts w:ascii="Arial" w:eastAsia="Times New Roman" w:hAnsi="Arial" w:cs="Arial"/>
                <w:color w:val="000000"/>
                <w:lang w:val="en-US"/>
              </w:rPr>
            </w:pPr>
            <w:r w:rsidRPr="00F51230">
              <w:rPr>
                <w:rFonts w:ascii="Arial" w:eastAsia="Times New Roman" w:hAnsi="Arial" w:cs="Arial"/>
                <w:color w:val="000000"/>
                <w:lang w:val="en-US"/>
              </w:rPr>
              <w:t>LRTI</w:t>
            </w:r>
          </w:p>
          <w:p w:rsidR="007B3F51" w:rsidRPr="00F51230" w:rsidRDefault="007B3F51" w:rsidP="007B3F51">
            <w:pPr>
              <w:spacing w:line="360" w:lineRule="auto"/>
              <w:contextualSpacing/>
              <w:jc w:val="right"/>
              <w:rPr>
                <w:rFonts w:ascii="Arial" w:eastAsia="Times New Roman" w:hAnsi="Arial" w:cs="Arial"/>
                <w:color w:val="000000"/>
                <w:lang w:val="en-US"/>
              </w:rPr>
            </w:pPr>
            <w:r w:rsidRPr="00F51230">
              <w:rPr>
                <w:rFonts w:ascii="Arial" w:eastAsia="Times New Roman" w:hAnsi="Arial" w:cs="Arial"/>
                <w:color w:val="000000"/>
                <w:lang w:val="en-US"/>
              </w:rPr>
              <w:t>non-respiratory</w:t>
            </w:r>
          </w:p>
        </w:tc>
        <w:tc>
          <w:tcPr>
            <w:tcW w:w="3071" w:type="pct"/>
            <w:shd w:val="clear" w:color="auto" w:fill="auto"/>
            <w:noWrap/>
            <w:vAlign w:val="bottom"/>
            <w:hideMark/>
          </w:tcPr>
          <w:p w:rsidR="007B3F51" w:rsidRPr="00F51230" w:rsidRDefault="007B3F51" w:rsidP="007B3F51">
            <w:pPr>
              <w:spacing w:line="360" w:lineRule="auto"/>
              <w:contextualSpacing/>
              <w:jc w:val="center"/>
              <w:rPr>
                <w:rFonts w:ascii="Arial" w:eastAsia="Times New Roman" w:hAnsi="Arial" w:cs="Arial"/>
                <w:color w:val="000000"/>
                <w:lang w:val="en-US"/>
              </w:rPr>
            </w:pPr>
            <w:r>
              <w:rPr>
                <w:rFonts w:ascii="Arial" w:eastAsia="Times New Roman" w:hAnsi="Arial" w:cs="Arial"/>
                <w:color w:val="000000"/>
                <w:lang w:val="en-US"/>
              </w:rPr>
              <w:t>20.0 (17.1 – 22.8)</w:t>
            </w:r>
          </w:p>
          <w:p w:rsidR="007B3F51" w:rsidRPr="00F51230" w:rsidRDefault="007B3F51" w:rsidP="007B3F51">
            <w:pPr>
              <w:spacing w:line="360" w:lineRule="auto"/>
              <w:contextualSpacing/>
              <w:jc w:val="center"/>
              <w:rPr>
                <w:rFonts w:ascii="Arial" w:eastAsia="Times New Roman" w:hAnsi="Arial" w:cs="Arial"/>
                <w:color w:val="000000"/>
                <w:lang w:val="en-US"/>
              </w:rPr>
            </w:pPr>
            <w:r>
              <w:rPr>
                <w:rFonts w:ascii="Arial" w:eastAsia="Times New Roman" w:hAnsi="Arial" w:cs="Arial"/>
                <w:color w:val="000000"/>
                <w:lang w:val="en-US"/>
              </w:rPr>
              <w:t>17.7 (17.0 – 18.5)</w:t>
            </w:r>
          </w:p>
          <w:p w:rsidR="007B3F51" w:rsidRPr="00F51230" w:rsidRDefault="007B3F51" w:rsidP="007B3F51">
            <w:pPr>
              <w:spacing w:line="360" w:lineRule="auto"/>
              <w:contextualSpacing/>
              <w:jc w:val="center"/>
              <w:rPr>
                <w:rFonts w:ascii="Arial" w:eastAsia="Times New Roman" w:hAnsi="Arial" w:cs="Arial"/>
                <w:color w:val="000000"/>
                <w:lang w:val="en-US"/>
              </w:rPr>
            </w:pPr>
            <w:r>
              <w:rPr>
                <w:rFonts w:ascii="Arial" w:eastAsia="Times New Roman" w:hAnsi="Arial" w:cs="Arial"/>
                <w:color w:val="000000"/>
                <w:lang w:val="en-US"/>
              </w:rPr>
              <w:t>21.1 (19.0 – 23.3)</w:t>
            </w:r>
          </w:p>
        </w:tc>
      </w:tr>
      <w:tr w:rsidR="007B3F51" w:rsidRPr="001B13EB" w:rsidTr="007B3F51">
        <w:trPr>
          <w:trHeight w:val="397"/>
        </w:trPr>
        <w:tc>
          <w:tcPr>
            <w:tcW w:w="1929" w:type="pct"/>
            <w:shd w:val="clear" w:color="auto" w:fill="auto"/>
            <w:noWrap/>
            <w:vAlign w:val="center"/>
            <w:hideMark/>
          </w:tcPr>
          <w:p w:rsidR="007B3F51" w:rsidRPr="00F51230" w:rsidRDefault="007B3F51" w:rsidP="007B3F51">
            <w:pPr>
              <w:spacing w:line="360" w:lineRule="auto"/>
              <w:contextualSpacing/>
              <w:rPr>
                <w:rFonts w:ascii="Arial" w:eastAsia="Times New Roman" w:hAnsi="Arial" w:cs="Arial"/>
                <w:color w:val="000000"/>
                <w:lang w:val="en-US"/>
              </w:rPr>
            </w:pPr>
            <w:r w:rsidRPr="00F51230">
              <w:rPr>
                <w:rFonts w:ascii="Arial" w:eastAsia="Times New Roman" w:hAnsi="Arial" w:cs="Arial"/>
                <w:b/>
                <w:bCs/>
                <w:color w:val="000000"/>
                <w:lang w:val="en-US"/>
              </w:rPr>
              <w:t>age group</w:t>
            </w:r>
          </w:p>
          <w:p w:rsidR="007B3F51" w:rsidRPr="00F51230" w:rsidRDefault="007B3F51" w:rsidP="007B3F51">
            <w:pPr>
              <w:spacing w:line="360" w:lineRule="auto"/>
              <w:contextualSpacing/>
              <w:jc w:val="right"/>
              <w:rPr>
                <w:rFonts w:ascii="Arial" w:eastAsia="Times New Roman" w:hAnsi="Arial" w:cs="Arial"/>
                <w:color w:val="000000"/>
                <w:lang w:val="en-US"/>
              </w:rPr>
            </w:pPr>
            <w:r w:rsidRPr="00F51230">
              <w:rPr>
                <w:rFonts w:ascii="Arial" w:eastAsia="Times New Roman" w:hAnsi="Arial" w:cs="Arial"/>
                <w:color w:val="000000"/>
                <w:lang w:val="en-US"/>
              </w:rPr>
              <w:t>0 - 5 months</w:t>
            </w:r>
          </w:p>
          <w:p w:rsidR="007B3F51" w:rsidRPr="00F51230" w:rsidRDefault="007B3F51" w:rsidP="007B3F51">
            <w:pPr>
              <w:spacing w:line="360" w:lineRule="auto"/>
              <w:contextualSpacing/>
              <w:jc w:val="right"/>
              <w:rPr>
                <w:rFonts w:ascii="Arial" w:eastAsia="Times New Roman" w:hAnsi="Arial" w:cs="Arial"/>
                <w:color w:val="000000"/>
                <w:lang w:val="en-US"/>
              </w:rPr>
            </w:pPr>
            <w:r w:rsidRPr="00F51230">
              <w:rPr>
                <w:rFonts w:ascii="Arial" w:eastAsia="Times New Roman" w:hAnsi="Arial" w:cs="Arial"/>
                <w:color w:val="000000"/>
                <w:lang w:val="en-US"/>
              </w:rPr>
              <w:t>6 - 11 months</w:t>
            </w:r>
          </w:p>
          <w:p w:rsidR="007B3F51" w:rsidRPr="00F51230" w:rsidRDefault="007B3F51" w:rsidP="007B3F51">
            <w:pPr>
              <w:spacing w:line="360" w:lineRule="auto"/>
              <w:contextualSpacing/>
              <w:jc w:val="right"/>
              <w:rPr>
                <w:rFonts w:ascii="Arial" w:eastAsia="Times New Roman" w:hAnsi="Arial" w:cs="Arial"/>
                <w:color w:val="000000"/>
                <w:lang w:val="en-US"/>
              </w:rPr>
            </w:pPr>
            <w:r w:rsidRPr="00F51230">
              <w:rPr>
                <w:rFonts w:ascii="Arial" w:eastAsia="Times New Roman" w:hAnsi="Arial" w:cs="Arial"/>
                <w:color w:val="000000"/>
                <w:lang w:val="en-US"/>
              </w:rPr>
              <w:t>12 - 23 months</w:t>
            </w:r>
          </w:p>
          <w:p w:rsidR="007B3F51" w:rsidRPr="00F51230" w:rsidRDefault="007B3F51" w:rsidP="007B3F51">
            <w:pPr>
              <w:spacing w:line="360" w:lineRule="auto"/>
              <w:contextualSpacing/>
              <w:jc w:val="right"/>
              <w:rPr>
                <w:rFonts w:ascii="Arial" w:eastAsia="Times New Roman" w:hAnsi="Arial" w:cs="Arial"/>
                <w:color w:val="000000"/>
                <w:lang w:val="en-US"/>
              </w:rPr>
            </w:pPr>
            <w:r w:rsidRPr="00F51230">
              <w:rPr>
                <w:rFonts w:ascii="Arial" w:eastAsia="Times New Roman" w:hAnsi="Arial" w:cs="Arial"/>
                <w:color w:val="000000"/>
                <w:lang w:val="en-US"/>
              </w:rPr>
              <w:t>≥ 2 years</w:t>
            </w:r>
          </w:p>
        </w:tc>
        <w:tc>
          <w:tcPr>
            <w:tcW w:w="3071" w:type="pct"/>
            <w:shd w:val="clear" w:color="auto" w:fill="auto"/>
            <w:noWrap/>
            <w:vAlign w:val="bottom"/>
            <w:hideMark/>
          </w:tcPr>
          <w:p w:rsidR="007B3F51" w:rsidRDefault="007B3F51" w:rsidP="007B3F51">
            <w:pPr>
              <w:spacing w:line="360" w:lineRule="auto"/>
              <w:contextualSpacing/>
              <w:jc w:val="center"/>
              <w:rPr>
                <w:rFonts w:ascii="Arial" w:eastAsia="Times New Roman" w:hAnsi="Arial" w:cs="Arial"/>
                <w:color w:val="000000"/>
                <w:lang w:val="en-US"/>
              </w:rPr>
            </w:pPr>
          </w:p>
          <w:p w:rsidR="007B3F51" w:rsidRPr="00F51230" w:rsidRDefault="007B3F51" w:rsidP="007B3F51">
            <w:pPr>
              <w:spacing w:line="360" w:lineRule="auto"/>
              <w:contextualSpacing/>
              <w:jc w:val="center"/>
              <w:rPr>
                <w:rFonts w:ascii="Arial" w:eastAsia="Times New Roman" w:hAnsi="Arial" w:cs="Arial"/>
                <w:color w:val="000000"/>
                <w:lang w:val="en-US"/>
              </w:rPr>
            </w:pPr>
            <w:r>
              <w:rPr>
                <w:rFonts w:ascii="Arial" w:eastAsia="Times New Roman" w:hAnsi="Arial" w:cs="Arial"/>
                <w:color w:val="000000"/>
                <w:lang w:val="en-US"/>
              </w:rPr>
              <w:t>17.1 (16.2 – 17.9)</w:t>
            </w:r>
          </w:p>
          <w:p w:rsidR="007B3F51" w:rsidRPr="00F51230" w:rsidRDefault="007B3F51" w:rsidP="007B3F51">
            <w:pPr>
              <w:spacing w:line="360" w:lineRule="auto"/>
              <w:contextualSpacing/>
              <w:jc w:val="center"/>
              <w:rPr>
                <w:rFonts w:ascii="Arial" w:eastAsia="Times New Roman" w:hAnsi="Arial" w:cs="Arial"/>
                <w:color w:val="000000"/>
                <w:lang w:val="en-US"/>
              </w:rPr>
            </w:pPr>
            <w:r>
              <w:rPr>
                <w:rFonts w:ascii="Arial" w:eastAsia="Times New Roman" w:hAnsi="Arial" w:cs="Arial"/>
                <w:color w:val="000000"/>
                <w:lang w:val="en-US"/>
              </w:rPr>
              <w:t>17.9 (16.4 – 19.5)</w:t>
            </w:r>
          </w:p>
          <w:p w:rsidR="007B3F51" w:rsidRPr="00F51230" w:rsidRDefault="007B3F51" w:rsidP="007B3F51">
            <w:pPr>
              <w:spacing w:line="360" w:lineRule="auto"/>
              <w:contextualSpacing/>
              <w:jc w:val="center"/>
              <w:rPr>
                <w:rFonts w:ascii="Arial" w:eastAsia="Times New Roman" w:hAnsi="Arial" w:cs="Arial"/>
                <w:color w:val="000000"/>
                <w:lang w:val="en-US"/>
              </w:rPr>
            </w:pPr>
            <w:r>
              <w:rPr>
                <w:rFonts w:ascii="Arial" w:eastAsia="Times New Roman" w:hAnsi="Arial" w:cs="Arial"/>
                <w:color w:val="000000"/>
                <w:lang w:val="en-US"/>
              </w:rPr>
              <w:t>20.2 (18.1 – 22.2)</w:t>
            </w:r>
          </w:p>
          <w:p w:rsidR="007B3F51" w:rsidRPr="00F51230" w:rsidRDefault="007B3F51" w:rsidP="007B3F51">
            <w:pPr>
              <w:spacing w:line="360" w:lineRule="auto"/>
              <w:contextualSpacing/>
              <w:jc w:val="center"/>
              <w:rPr>
                <w:rFonts w:ascii="Arial" w:eastAsia="Times New Roman" w:hAnsi="Arial" w:cs="Arial"/>
                <w:color w:val="000000"/>
                <w:lang w:val="en-US"/>
              </w:rPr>
            </w:pPr>
            <w:r>
              <w:rPr>
                <w:rFonts w:ascii="Arial" w:eastAsia="Times New Roman" w:hAnsi="Arial" w:cs="Arial"/>
                <w:color w:val="000000"/>
                <w:lang w:val="en-US"/>
              </w:rPr>
              <w:t>22.0 (19.7 – 24.2)</w:t>
            </w:r>
          </w:p>
        </w:tc>
      </w:tr>
    </w:tbl>
    <w:p w:rsidR="007B3F51" w:rsidRDefault="007B3F51" w:rsidP="007B3F51">
      <w:pPr>
        <w:spacing w:line="480" w:lineRule="auto"/>
        <w:jc w:val="both"/>
        <w:rPr>
          <w:rFonts w:ascii="Arial" w:hAnsi="Arial" w:cs="Arial"/>
          <w:lang w:val="en-US"/>
        </w:rPr>
      </w:pPr>
    </w:p>
    <w:p w:rsidR="007B3F51" w:rsidRDefault="007B3F51" w:rsidP="007B3F51">
      <w:pPr>
        <w:spacing w:line="480" w:lineRule="auto"/>
        <w:jc w:val="both"/>
        <w:rPr>
          <w:rFonts w:ascii="Arial" w:hAnsi="Arial" w:cs="Arial"/>
          <w:lang w:val="en-US"/>
        </w:rPr>
      </w:pPr>
    </w:p>
    <w:p w:rsidR="007B3F51" w:rsidRDefault="007B3F51" w:rsidP="007B3F51">
      <w:pPr>
        <w:spacing w:line="480" w:lineRule="auto"/>
        <w:jc w:val="both"/>
        <w:rPr>
          <w:rFonts w:ascii="Arial" w:hAnsi="Arial" w:cs="Arial"/>
          <w:lang w:val="en-US"/>
        </w:rPr>
      </w:pPr>
    </w:p>
    <w:p w:rsidR="007B3F51" w:rsidRDefault="007B3F51" w:rsidP="007B3F51">
      <w:pPr>
        <w:spacing w:line="480" w:lineRule="auto"/>
        <w:jc w:val="both"/>
        <w:rPr>
          <w:rFonts w:ascii="Arial" w:hAnsi="Arial" w:cs="Arial"/>
          <w:lang w:val="en-US"/>
        </w:rPr>
        <w:sectPr w:rsidR="007B3F51">
          <w:pgSz w:w="11906" w:h="16838"/>
          <w:pgMar w:top="1417" w:right="1417" w:bottom="1134" w:left="1417" w:header="708" w:footer="708" w:gutter="0"/>
          <w:cols w:space="708"/>
          <w:docGrid w:linePitch="360"/>
        </w:sectPr>
      </w:pPr>
    </w:p>
    <w:p w:rsidR="007B3F51" w:rsidRPr="0018588D" w:rsidRDefault="007B3F51" w:rsidP="007B3F51">
      <w:pPr>
        <w:spacing w:line="480" w:lineRule="auto"/>
        <w:jc w:val="both"/>
        <w:rPr>
          <w:rFonts w:ascii="Arial" w:hAnsi="Arial" w:cs="Arial"/>
          <w:b/>
          <w:lang w:val="en-US"/>
        </w:rPr>
      </w:pPr>
      <w:r w:rsidRPr="0018588D">
        <w:rPr>
          <w:rFonts w:ascii="Arial" w:hAnsi="Arial" w:cs="Arial"/>
          <w:b/>
          <w:lang w:val="en-US"/>
        </w:rPr>
        <w:lastRenderedPageBreak/>
        <w:t xml:space="preserve">Supplement </w:t>
      </w:r>
      <w:r>
        <w:rPr>
          <w:rFonts w:ascii="Arial" w:hAnsi="Arial" w:cs="Arial"/>
          <w:b/>
          <w:lang w:val="en-US"/>
        </w:rPr>
        <w:t>2</w:t>
      </w:r>
      <w:r w:rsidRPr="0018588D">
        <w:rPr>
          <w:rFonts w:ascii="Arial" w:hAnsi="Arial" w:cs="Arial"/>
          <w:b/>
          <w:lang w:val="en-US"/>
        </w:rPr>
        <w:t xml:space="preserve"> </w:t>
      </w:r>
      <w:r>
        <w:rPr>
          <w:rFonts w:ascii="Arial" w:hAnsi="Arial" w:cs="Arial"/>
          <w:b/>
          <w:lang w:val="en-US"/>
        </w:rPr>
        <w:t>C</w:t>
      </w:r>
      <w:r w:rsidRPr="0018588D">
        <w:rPr>
          <w:rFonts w:ascii="Arial" w:hAnsi="Arial" w:cs="Arial"/>
          <w:b/>
          <w:vertAlign w:val="subscript"/>
          <w:lang w:val="en-US"/>
        </w:rPr>
        <w:t>T</w:t>
      </w:r>
      <w:r>
        <w:rPr>
          <w:rFonts w:ascii="Arial" w:hAnsi="Arial" w:cs="Arial"/>
          <w:b/>
          <w:lang w:val="en-US"/>
        </w:rPr>
        <w:t xml:space="preserve"> value</w:t>
      </w:r>
      <w:r w:rsidRPr="0018588D">
        <w:rPr>
          <w:rFonts w:ascii="Arial" w:hAnsi="Arial" w:cs="Arial"/>
          <w:b/>
          <w:lang w:val="en-US"/>
        </w:rPr>
        <w:t xml:space="preserve">, age, and </w:t>
      </w:r>
      <w:proofErr w:type="spellStart"/>
      <w:r w:rsidRPr="0018588D">
        <w:rPr>
          <w:rFonts w:ascii="Arial" w:hAnsi="Arial" w:cs="Arial"/>
          <w:b/>
          <w:lang w:val="en-US"/>
        </w:rPr>
        <w:t>Alere</w:t>
      </w:r>
      <w:proofErr w:type="spellEnd"/>
      <w:r w:rsidRPr="0018588D">
        <w:rPr>
          <w:rFonts w:ascii="Arial" w:hAnsi="Arial" w:cs="Arial"/>
          <w:b/>
          <w:lang w:val="en-US"/>
        </w:rPr>
        <w:t xml:space="preserve"> </w:t>
      </w:r>
      <w:proofErr w:type="spellStart"/>
      <w:r w:rsidRPr="0018588D">
        <w:rPr>
          <w:rFonts w:ascii="Arial" w:hAnsi="Arial" w:cs="Arial"/>
          <w:b/>
          <w:lang w:val="en-US"/>
        </w:rPr>
        <w:t>i</w:t>
      </w:r>
      <w:proofErr w:type="spellEnd"/>
      <w:r w:rsidRPr="0018588D">
        <w:rPr>
          <w:rFonts w:ascii="Arial" w:hAnsi="Arial" w:cs="Arial"/>
          <w:b/>
          <w:lang w:val="en-US"/>
        </w:rPr>
        <w:t xml:space="preserve"> test outcome in children with URTI, LRTI and non-respiratory admission diagnosis. </w:t>
      </w:r>
    </w:p>
    <w:p w:rsidR="007B3F51" w:rsidRDefault="007B3F51" w:rsidP="007B3F51">
      <w:pPr>
        <w:spacing w:line="480" w:lineRule="auto"/>
        <w:jc w:val="both"/>
        <w:rPr>
          <w:rFonts w:ascii="Arial" w:hAnsi="Arial" w:cs="Arial"/>
          <w:lang w:val="en-US"/>
        </w:rPr>
      </w:pPr>
      <w:r>
        <w:rPr>
          <w:rFonts w:ascii="Arial" w:hAnsi="Arial" w:cs="Arial"/>
          <w:lang w:val="en-US"/>
        </w:rPr>
        <w:t>The scatter plot illustrates the FTD21 C</w:t>
      </w:r>
      <w:r w:rsidRPr="0018588D">
        <w:rPr>
          <w:rFonts w:ascii="Arial" w:hAnsi="Arial" w:cs="Arial"/>
          <w:vertAlign w:val="subscript"/>
          <w:lang w:val="en-US"/>
        </w:rPr>
        <w:t>T</w:t>
      </w:r>
      <w:r>
        <w:rPr>
          <w:rFonts w:ascii="Arial" w:hAnsi="Arial" w:cs="Arial"/>
          <w:vertAlign w:val="subscript"/>
          <w:lang w:val="en-US"/>
        </w:rPr>
        <w:t xml:space="preserve"> </w:t>
      </w:r>
      <w:r>
        <w:rPr>
          <w:rFonts w:ascii="Arial" w:hAnsi="Arial" w:cs="Arial"/>
          <w:lang w:val="en-US"/>
        </w:rPr>
        <w:t>v</w:t>
      </w:r>
      <w:r w:rsidRPr="00DF3816">
        <w:rPr>
          <w:rFonts w:ascii="Arial" w:hAnsi="Arial" w:cs="Arial"/>
          <w:lang w:val="en-US"/>
        </w:rPr>
        <w:t>alue</w:t>
      </w:r>
      <w:r>
        <w:rPr>
          <w:rFonts w:ascii="Arial" w:hAnsi="Arial" w:cs="Arial"/>
          <w:vertAlign w:val="subscript"/>
          <w:lang w:val="en-US"/>
        </w:rPr>
        <w:t xml:space="preserve">, </w:t>
      </w:r>
      <w:r>
        <w:rPr>
          <w:rFonts w:ascii="Arial" w:hAnsi="Arial" w:cs="Arial"/>
          <w:lang w:val="en-US"/>
        </w:rPr>
        <w:t xml:space="preserve">age, and </w:t>
      </w:r>
      <w:proofErr w:type="spellStart"/>
      <w:r>
        <w:rPr>
          <w:rFonts w:ascii="Arial" w:hAnsi="Arial" w:cs="Arial"/>
          <w:lang w:val="en-US"/>
        </w:rPr>
        <w:t>Alere</w:t>
      </w:r>
      <w:proofErr w:type="spellEnd"/>
      <w:r>
        <w:rPr>
          <w:rFonts w:ascii="Arial" w:hAnsi="Arial" w:cs="Arial"/>
          <w:lang w:val="en-US"/>
        </w:rPr>
        <w:t xml:space="preserve"> </w:t>
      </w:r>
      <w:proofErr w:type="spellStart"/>
      <w:r>
        <w:rPr>
          <w:rFonts w:ascii="Arial" w:hAnsi="Arial" w:cs="Arial"/>
          <w:lang w:val="en-US"/>
        </w:rPr>
        <w:t>i</w:t>
      </w:r>
      <w:proofErr w:type="spellEnd"/>
      <w:r>
        <w:rPr>
          <w:rFonts w:ascii="Arial" w:hAnsi="Arial" w:cs="Arial"/>
          <w:lang w:val="en-US"/>
        </w:rPr>
        <w:t xml:space="preserve"> test outcome in children hospitalized </w:t>
      </w:r>
      <w:r>
        <w:rPr>
          <w:rFonts w:ascii="Arial" w:hAnsi="Arial" w:cs="Arial"/>
          <w:lang w:val="en-US"/>
        </w:rPr>
        <w:br/>
        <w:t xml:space="preserve">A) for URTI; B) for LRTI and C) for non-respiratory reasons with concomitant </w:t>
      </w:r>
      <w:proofErr w:type="spellStart"/>
      <w:r>
        <w:rPr>
          <w:rFonts w:ascii="Arial" w:hAnsi="Arial" w:cs="Arial"/>
          <w:lang w:val="en-US"/>
        </w:rPr>
        <w:t>aRTI</w:t>
      </w:r>
      <w:proofErr w:type="spellEnd"/>
      <w:r>
        <w:rPr>
          <w:rFonts w:ascii="Arial" w:hAnsi="Arial" w:cs="Arial"/>
          <w:lang w:val="en-US"/>
        </w:rPr>
        <w:t xml:space="preserve">. </w:t>
      </w:r>
    </w:p>
    <w:p w:rsidR="007B3F51" w:rsidRDefault="007B3F51" w:rsidP="007B3F51">
      <w:pPr>
        <w:spacing w:line="480" w:lineRule="auto"/>
        <w:jc w:val="both"/>
        <w:rPr>
          <w:rFonts w:ascii="Arial" w:hAnsi="Arial" w:cs="Arial"/>
          <w:lang w:val="en-US"/>
        </w:rPr>
      </w:pPr>
      <w:r>
        <w:rPr>
          <w:rFonts w:ascii="Arial" w:hAnsi="Arial" w:cs="Arial"/>
          <w:lang w:val="en-US"/>
        </w:rPr>
        <w:t xml:space="preserve">Black: Sample with true positive </w:t>
      </w:r>
      <w:proofErr w:type="spellStart"/>
      <w:r>
        <w:rPr>
          <w:rFonts w:ascii="Arial" w:hAnsi="Arial" w:cs="Arial"/>
          <w:lang w:val="en-US"/>
        </w:rPr>
        <w:t>Alere</w:t>
      </w:r>
      <w:proofErr w:type="spellEnd"/>
      <w:r>
        <w:rPr>
          <w:rFonts w:ascii="Arial" w:hAnsi="Arial" w:cs="Arial"/>
          <w:lang w:val="en-US"/>
        </w:rPr>
        <w:t xml:space="preserve"> </w:t>
      </w:r>
      <w:proofErr w:type="spellStart"/>
      <w:r>
        <w:rPr>
          <w:rFonts w:ascii="Arial" w:hAnsi="Arial" w:cs="Arial"/>
          <w:lang w:val="en-US"/>
        </w:rPr>
        <w:t>i</w:t>
      </w:r>
      <w:proofErr w:type="spellEnd"/>
      <w:r>
        <w:rPr>
          <w:rFonts w:ascii="Arial" w:hAnsi="Arial" w:cs="Arial"/>
          <w:lang w:val="en-US"/>
        </w:rPr>
        <w:t xml:space="preserve"> test result</w:t>
      </w:r>
      <w:proofErr w:type="gramStart"/>
      <w:r>
        <w:rPr>
          <w:rFonts w:ascii="Arial" w:hAnsi="Arial" w:cs="Arial"/>
          <w:lang w:val="en-US"/>
        </w:rPr>
        <w:t>;  Red</w:t>
      </w:r>
      <w:proofErr w:type="gramEnd"/>
      <w:r>
        <w:rPr>
          <w:rFonts w:ascii="Arial" w:hAnsi="Arial" w:cs="Arial"/>
          <w:lang w:val="en-US"/>
        </w:rPr>
        <w:t xml:space="preserve">: Sample with false negative </w:t>
      </w:r>
      <w:proofErr w:type="spellStart"/>
      <w:r>
        <w:rPr>
          <w:rFonts w:ascii="Arial" w:hAnsi="Arial" w:cs="Arial"/>
          <w:lang w:val="en-US"/>
        </w:rPr>
        <w:t>Alere</w:t>
      </w:r>
      <w:proofErr w:type="spellEnd"/>
      <w:r>
        <w:rPr>
          <w:rFonts w:ascii="Arial" w:hAnsi="Arial" w:cs="Arial"/>
          <w:lang w:val="en-US"/>
        </w:rPr>
        <w:t xml:space="preserve"> </w:t>
      </w:r>
      <w:proofErr w:type="spellStart"/>
      <w:r>
        <w:rPr>
          <w:rFonts w:ascii="Arial" w:hAnsi="Arial" w:cs="Arial"/>
          <w:lang w:val="en-US"/>
        </w:rPr>
        <w:t>i</w:t>
      </w:r>
      <w:proofErr w:type="spellEnd"/>
      <w:r>
        <w:rPr>
          <w:rFonts w:ascii="Arial" w:hAnsi="Arial" w:cs="Arial"/>
          <w:lang w:val="en-US"/>
        </w:rPr>
        <w:t xml:space="preserve"> test result</w:t>
      </w:r>
    </w:p>
    <w:p w:rsidR="007B3F51" w:rsidRDefault="007B3F51" w:rsidP="007B3F51">
      <w:pPr>
        <w:spacing w:line="480" w:lineRule="auto"/>
        <w:jc w:val="both"/>
        <w:rPr>
          <w:rFonts w:ascii="Arial" w:hAnsi="Arial" w:cs="Arial"/>
          <w:lang w:val="en-US"/>
        </w:rPr>
      </w:pPr>
      <w:r>
        <w:rPr>
          <w:rFonts w:ascii="Arial" w:hAnsi="Arial" w:cs="Arial"/>
          <w:noProof/>
        </w:rPr>
        <w:drawing>
          <wp:inline distT="0" distB="0" distL="0" distR="0" wp14:anchorId="734C330D" wp14:editId="4D4F6BEA">
            <wp:extent cx="9423442" cy="3409950"/>
            <wp:effectExtent l="0" t="0" r="6350" b="0"/>
            <wp:docPr id="1" name="Grafik 1" descr="\\fsx21\HYG-DAT\Pädiatrische Infektiologie\Alere Studie prospektiv\Manuscript\Supplement 2.1 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x21\HYG-DAT\Pädiatrische Infektiologie\Alere Studie prospektiv\Manuscript\Supplement 2.1 Figure.t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28930" cy="3411936"/>
                    </a:xfrm>
                    <a:prstGeom prst="rect">
                      <a:avLst/>
                    </a:prstGeom>
                    <a:noFill/>
                    <a:ln>
                      <a:noFill/>
                    </a:ln>
                  </pic:spPr>
                </pic:pic>
              </a:graphicData>
            </a:graphic>
          </wp:inline>
        </w:drawing>
      </w:r>
    </w:p>
    <w:p w:rsidR="007B3F51" w:rsidRDefault="007B3F51" w:rsidP="007B3F51">
      <w:pPr>
        <w:spacing w:line="480" w:lineRule="auto"/>
        <w:jc w:val="both"/>
        <w:rPr>
          <w:rFonts w:ascii="Arial" w:hAnsi="Arial" w:cs="Arial"/>
          <w:lang w:val="en-US"/>
        </w:rPr>
      </w:pPr>
    </w:p>
    <w:p w:rsidR="007B3F51" w:rsidRDefault="007B3F51" w:rsidP="007B3F51">
      <w:pPr>
        <w:spacing w:line="480" w:lineRule="auto"/>
        <w:jc w:val="both"/>
        <w:rPr>
          <w:rFonts w:ascii="Arial" w:hAnsi="Arial" w:cs="Arial"/>
          <w:lang w:val="en-US"/>
        </w:rPr>
        <w:sectPr w:rsidR="007B3F51" w:rsidSect="007B3F51">
          <w:pgSz w:w="16838" w:h="11906" w:orient="landscape"/>
          <w:pgMar w:top="1417" w:right="1417" w:bottom="1417" w:left="1134" w:header="708" w:footer="708" w:gutter="0"/>
          <w:cols w:space="708"/>
          <w:docGrid w:linePitch="360"/>
        </w:sectPr>
      </w:pPr>
    </w:p>
    <w:p w:rsidR="007B3F51" w:rsidRDefault="007B3F51" w:rsidP="007B3F51">
      <w:pPr>
        <w:spacing w:line="480" w:lineRule="auto"/>
        <w:jc w:val="both"/>
        <w:rPr>
          <w:rFonts w:ascii="Arial" w:hAnsi="Arial" w:cs="Arial"/>
          <w:b/>
          <w:lang w:val="en-US"/>
        </w:rPr>
      </w:pPr>
      <w:r w:rsidRPr="000D7D15">
        <w:rPr>
          <w:rFonts w:ascii="Arial" w:hAnsi="Arial" w:cs="Arial"/>
          <w:b/>
          <w:lang w:val="en-US"/>
        </w:rPr>
        <w:lastRenderedPageBreak/>
        <w:t xml:space="preserve">Supplement </w:t>
      </w:r>
      <w:r>
        <w:rPr>
          <w:rFonts w:ascii="Arial" w:hAnsi="Arial" w:cs="Arial"/>
          <w:b/>
          <w:lang w:val="en-US"/>
        </w:rPr>
        <w:t>3</w:t>
      </w:r>
      <w:r w:rsidRPr="000D7D15">
        <w:rPr>
          <w:rFonts w:ascii="Arial" w:hAnsi="Arial" w:cs="Arial"/>
          <w:b/>
          <w:lang w:val="en-US"/>
        </w:rPr>
        <w:t xml:space="preserve"> RT-PCR reference testing</w:t>
      </w:r>
    </w:p>
    <w:p w:rsidR="007B3F51" w:rsidRPr="0018588D" w:rsidRDefault="007B3F51" w:rsidP="007B3F51">
      <w:pPr>
        <w:spacing w:line="480" w:lineRule="auto"/>
        <w:jc w:val="both"/>
        <w:rPr>
          <w:rFonts w:ascii="Arial" w:hAnsi="Arial" w:cs="Arial"/>
          <w:lang w:val="en-US"/>
        </w:rPr>
      </w:pPr>
      <w:r w:rsidRPr="0018588D">
        <w:rPr>
          <w:rFonts w:ascii="Arial" w:hAnsi="Arial" w:cs="Arial"/>
          <w:lang w:val="en-US"/>
        </w:rPr>
        <w:t xml:space="preserve">Initial FTD21 analysis was conducted on 518 NPS included in the analysis. In 37 cases (12 FTD21 negative and 25 FTD21 positive samples), the multiplex FTD21 outcome did not correspond to the </w:t>
      </w:r>
      <w:proofErr w:type="spellStart"/>
      <w:r w:rsidRPr="0018588D">
        <w:rPr>
          <w:rFonts w:ascii="Arial" w:hAnsi="Arial" w:cs="Arial"/>
          <w:lang w:val="en-US"/>
        </w:rPr>
        <w:t>Alere</w:t>
      </w:r>
      <w:proofErr w:type="spellEnd"/>
      <w:r w:rsidRPr="0018588D">
        <w:rPr>
          <w:rFonts w:ascii="Arial" w:hAnsi="Arial" w:cs="Arial"/>
          <w:lang w:val="en-US"/>
        </w:rPr>
        <w:t xml:space="preserve"> </w:t>
      </w:r>
      <w:proofErr w:type="spellStart"/>
      <w:r w:rsidRPr="0018588D">
        <w:rPr>
          <w:rFonts w:ascii="Arial" w:hAnsi="Arial" w:cs="Arial"/>
          <w:lang w:val="en-US"/>
        </w:rPr>
        <w:t>i</w:t>
      </w:r>
      <w:proofErr w:type="spellEnd"/>
      <w:r w:rsidRPr="0018588D">
        <w:rPr>
          <w:rFonts w:ascii="Arial" w:hAnsi="Arial" w:cs="Arial"/>
          <w:lang w:val="en-US"/>
        </w:rPr>
        <w:t xml:space="preserve"> RSV test results. Independent aliquots of these samples were analyzed by </w:t>
      </w:r>
      <w:proofErr w:type="spellStart"/>
      <w:r w:rsidRPr="0018588D">
        <w:rPr>
          <w:rFonts w:ascii="Arial" w:hAnsi="Arial" w:cs="Arial"/>
          <w:lang w:val="en-US"/>
        </w:rPr>
        <w:t>monoplex</w:t>
      </w:r>
      <w:proofErr w:type="spellEnd"/>
      <w:r w:rsidRPr="0018588D">
        <w:rPr>
          <w:rFonts w:ascii="Arial" w:hAnsi="Arial" w:cs="Arial"/>
          <w:lang w:val="en-US"/>
        </w:rPr>
        <w:t xml:space="preserve"> RT-PCR (</w:t>
      </w:r>
      <w:proofErr w:type="spellStart"/>
      <w:r>
        <w:rPr>
          <w:rFonts w:ascii="Arial" w:hAnsi="Arial" w:cs="Arial"/>
          <w:lang w:val="en-US"/>
        </w:rPr>
        <w:t>a</w:t>
      </w:r>
      <w:r w:rsidRPr="0018588D">
        <w:rPr>
          <w:rFonts w:ascii="Arial" w:hAnsi="Arial" w:cs="Arial"/>
          <w:lang w:val="en-US"/>
        </w:rPr>
        <w:t>ltona</w:t>
      </w:r>
      <w:proofErr w:type="spellEnd"/>
      <w:r w:rsidRPr="0018588D">
        <w:rPr>
          <w:rFonts w:ascii="Arial" w:hAnsi="Arial" w:cs="Arial"/>
          <w:lang w:val="en-US"/>
        </w:rPr>
        <w:t xml:space="preserve"> </w:t>
      </w:r>
      <w:proofErr w:type="spellStart"/>
      <w:r w:rsidRPr="0018588D">
        <w:rPr>
          <w:rFonts w:ascii="Arial" w:hAnsi="Arial" w:cs="Arial"/>
          <w:lang w:val="en-US"/>
        </w:rPr>
        <w:t>RealStar</w:t>
      </w:r>
      <w:proofErr w:type="spellEnd"/>
      <w:r w:rsidRPr="0018588D">
        <w:rPr>
          <w:rFonts w:ascii="Arial" w:hAnsi="Arial" w:cs="Arial"/>
          <w:lang w:val="en-US"/>
        </w:rPr>
        <w:t xml:space="preserve">).  The </w:t>
      </w:r>
      <w:proofErr w:type="spellStart"/>
      <w:r w:rsidRPr="0018588D">
        <w:rPr>
          <w:rFonts w:ascii="Arial" w:hAnsi="Arial" w:cs="Arial"/>
          <w:lang w:val="en-US"/>
        </w:rPr>
        <w:t>RealStar</w:t>
      </w:r>
      <w:proofErr w:type="spellEnd"/>
      <w:r w:rsidRPr="0018588D">
        <w:rPr>
          <w:rFonts w:ascii="Arial" w:hAnsi="Arial" w:cs="Arial"/>
          <w:lang w:val="en-US"/>
        </w:rPr>
        <w:t xml:space="preserve"> results confirmed the previous FTD21 result in 25/ 37 cases, including 11 and 15 samples which were considered false positive or false negative. In 12 samples, test results differed between the two RT-PCR assays. These samples were again tested by the FTD21 assay. This second FTD21 analysis corresponded to the </w:t>
      </w:r>
      <w:proofErr w:type="spellStart"/>
      <w:r>
        <w:rPr>
          <w:rFonts w:ascii="Arial" w:hAnsi="Arial" w:cs="Arial"/>
          <w:lang w:val="en-US"/>
        </w:rPr>
        <w:t>a</w:t>
      </w:r>
      <w:r w:rsidRPr="0018588D">
        <w:rPr>
          <w:rFonts w:ascii="Arial" w:hAnsi="Arial" w:cs="Arial"/>
          <w:lang w:val="en-US"/>
        </w:rPr>
        <w:t>ltona</w:t>
      </w:r>
      <w:proofErr w:type="spellEnd"/>
      <w:r w:rsidRPr="0018588D">
        <w:rPr>
          <w:rFonts w:ascii="Arial" w:hAnsi="Arial" w:cs="Arial"/>
          <w:lang w:val="en-US"/>
        </w:rPr>
        <w:t xml:space="preserve"> </w:t>
      </w:r>
      <w:proofErr w:type="spellStart"/>
      <w:r w:rsidRPr="0018588D">
        <w:rPr>
          <w:rFonts w:ascii="Arial" w:hAnsi="Arial" w:cs="Arial"/>
          <w:lang w:val="en-US"/>
        </w:rPr>
        <w:t>RealStar</w:t>
      </w:r>
      <w:proofErr w:type="spellEnd"/>
      <w:r w:rsidRPr="0018588D">
        <w:rPr>
          <w:rFonts w:ascii="Arial" w:hAnsi="Arial" w:cs="Arial"/>
          <w:lang w:val="en-US"/>
        </w:rPr>
        <w:t xml:space="preserve"> result in 10 NPS (1 true positive </w:t>
      </w:r>
      <w:proofErr w:type="gramStart"/>
      <w:r w:rsidRPr="0018588D">
        <w:rPr>
          <w:rFonts w:ascii="Arial" w:hAnsi="Arial" w:cs="Arial"/>
          <w:lang w:val="en-US"/>
        </w:rPr>
        <w:t>samples</w:t>
      </w:r>
      <w:proofErr w:type="gramEnd"/>
      <w:r w:rsidRPr="0018588D">
        <w:rPr>
          <w:rFonts w:ascii="Arial" w:hAnsi="Arial" w:cs="Arial"/>
          <w:lang w:val="en-US"/>
        </w:rPr>
        <w:t xml:space="preserve">, 9 true negative samples). </w:t>
      </w:r>
    </w:p>
    <w:p w:rsidR="007B3F51" w:rsidRDefault="007B3F51" w:rsidP="007B3F51">
      <w:pPr>
        <w:spacing w:line="480" w:lineRule="auto"/>
        <w:jc w:val="both"/>
        <w:rPr>
          <w:rFonts w:ascii="Arial" w:hAnsi="Arial" w:cs="Arial"/>
          <w:lang w:val="en-US"/>
        </w:rPr>
      </w:pPr>
      <w:r>
        <w:rPr>
          <w:rFonts w:ascii="Arial" w:hAnsi="Arial" w:cs="Arial"/>
          <w:lang w:val="en-US"/>
        </w:rPr>
        <w:t>In one sample, r</w:t>
      </w:r>
      <w:r w:rsidRPr="00721198">
        <w:rPr>
          <w:rFonts w:ascii="Arial" w:hAnsi="Arial" w:cs="Arial"/>
          <w:lang w:val="en-US"/>
        </w:rPr>
        <w:t xml:space="preserve">epeated FTD analysis was not possible due to insufficient sample volume. </w:t>
      </w:r>
      <w:r>
        <w:rPr>
          <w:rFonts w:ascii="Arial" w:hAnsi="Arial" w:cs="Arial"/>
          <w:lang w:val="en-US"/>
        </w:rPr>
        <w:t xml:space="preserve">We conservatively </w:t>
      </w:r>
      <w:r w:rsidRPr="00721198">
        <w:rPr>
          <w:rFonts w:ascii="Arial" w:hAnsi="Arial" w:cs="Arial"/>
          <w:lang w:val="en-US"/>
        </w:rPr>
        <w:t xml:space="preserve">considered </w:t>
      </w:r>
      <w:r>
        <w:rPr>
          <w:rFonts w:ascii="Arial" w:hAnsi="Arial" w:cs="Arial"/>
          <w:lang w:val="en-US"/>
        </w:rPr>
        <w:t>this sample to be “</w:t>
      </w:r>
      <w:r w:rsidRPr="00721198">
        <w:rPr>
          <w:rFonts w:ascii="Arial" w:hAnsi="Arial" w:cs="Arial"/>
          <w:lang w:val="en-US"/>
        </w:rPr>
        <w:t>false negative</w:t>
      </w:r>
      <w:r>
        <w:rPr>
          <w:rFonts w:ascii="Arial" w:hAnsi="Arial" w:cs="Arial"/>
          <w:lang w:val="en-US"/>
        </w:rPr>
        <w:t>”</w:t>
      </w:r>
      <w:r w:rsidRPr="00721198">
        <w:rPr>
          <w:rFonts w:ascii="Arial" w:hAnsi="Arial" w:cs="Arial"/>
          <w:lang w:val="en-US"/>
        </w:rPr>
        <w:t>.</w:t>
      </w:r>
    </w:p>
    <w:p w:rsidR="007B3F51" w:rsidRDefault="007B3F51" w:rsidP="007B3F51">
      <w:pPr>
        <w:spacing w:line="480" w:lineRule="auto"/>
        <w:jc w:val="both"/>
        <w:rPr>
          <w:rFonts w:ascii="Arial" w:hAnsi="Arial" w:cs="Arial"/>
          <w:lang w:val="en-US"/>
        </w:rPr>
      </w:pPr>
    </w:p>
    <w:p w:rsidR="00550EBD" w:rsidRDefault="007B3F51">
      <w:r w:rsidRPr="00721198">
        <w:rPr>
          <w:rFonts w:ascii="Arial" w:hAnsi="Arial" w:cs="Arial"/>
          <w:noProof/>
        </w:rPr>
        <w:drawing>
          <wp:anchor distT="0" distB="0" distL="114300" distR="114300" simplePos="0" relativeHeight="251658240" behindDoc="1" locked="0" layoutInCell="1" allowOverlap="1">
            <wp:simplePos x="0" y="0"/>
            <wp:positionH relativeFrom="column">
              <wp:posOffset>-899795</wp:posOffset>
            </wp:positionH>
            <wp:positionV relativeFrom="paragraph">
              <wp:posOffset>-635</wp:posOffset>
            </wp:positionV>
            <wp:extent cx="7503795" cy="3914775"/>
            <wp:effectExtent l="0" t="0" r="1905" b="9525"/>
            <wp:wrapTight wrapText="bothSides">
              <wp:wrapPolygon edited="0">
                <wp:start x="3948" y="0"/>
                <wp:lineTo x="3948" y="3364"/>
                <wp:lineTo x="3619" y="5045"/>
                <wp:lineTo x="2248" y="5991"/>
                <wp:lineTo x="1810" y="6412"/>
                <wp:lineTo x="1810" y="9985"/>
                <wp:lineTo x="1974" y="10091"/>
                <wp:lineTo x="3674" y="10091"/>
                <wp:lineTo x="1974" y="10826"/>
                <wp:lineTo x="1535" y="11142"/>
                <wp:lineTo x="1535" y="11772"/>
                <wp:lineTo x="0" y="12088"/>
                <wp:lineTo x="0" y="15872"/>
                <wp:lineTo x="3784" y="16818"/>
                <wp:lineTo x="2248" y="17764"/>
                <wp:lineTo x="1919" y="18079"/>
                <wp:lineTo x="1919" y="21547"/>
                <wp:lineTo x="19851" y="21547"/>
                <wp:lineTo x="19960" y="18184"/>
                <wp:lineTo x="19631" y="17869"/>
                <wp:lineTo x="18041" y="16818"/>
                <wp:lineTo x="21551" y="15872"/>
                <wp:lineTo x="21551" y="12088"/>
                <wp:lineTo x="20015" y="11772"/>
                <wp:lineTo x="20125" y="11247"/>
                <wp:lineTo x="19686" y="10931"/>
                <wp:lineTo x="17767" y="10091"/>
                <wp:lineTo x="19412" y="10091"/>
                <wp:lineTo x="19686" y="9880"/>
                <wp:lineTo x="19631" y="6412"/>
                <wp:lineTo x="19193" y="5991"/>
                <wp:lineTo x="17767" y="5045"/>
                <wp:lineTo x="17273" y="3364"/>
                <wp:lineTo x="17273" y="0"/>
                <wp:lineTo x="3948"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 RT-PCR testing Alere Studi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03795" cy="3914775"/>
                    </a:xfrm>
                    <a:prstGeom prst="rect">
                      <a:avLst/>
                    </a:prstGeom>
                  </pic:spPr>
                </pic:pic>
              </a:graphicData>
            </a:graphic>
            <wp14:sizeRelH relativeFrom="margin">
              <wp14:pctWidth>0</wp14:pctWidth>
            </wp14:sizeRelH>
            <wp14:sizeRelV relativeFrom="margin">
              <wp14:pctHeight>0</wp14:pctHeight>
            </wp14:sizeRelV>
          </wp:anchor>
        </w:drawing>
      </w:r>
    </w:p>
    <w:sectPr w:rsidR="00550EB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F51"/>
    <w:rsid w:val="00012125"/>
    <w:rsid w:val="00133A01"/>
    <w:rsid w:val="00137960"/>
    <w:rsid w:val="00451926"/>
    <w:rsid w:val="00550EBD"/>
    <w:rsid w:val="007B3F51"/>
    <w:rsid w:val="00AA3998"/>
    <w:rsid w:val="00B2198E"/>
    <w:rsid w:val="00B37D72"/>
    <w:rsid w:val="00E075CE"/>
    <w:rsid w:val="00EA51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B3F51"/>
    <w:pPr>
      <w:spacing w:after="0" w:line="240" w:lineRule="auto"/>
    </w:pPr>
    <w:rPr>
      <w:rFonts w:ascii="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unhideWhenUsed/>
    <w:qFormat/>
    <w:rsid w:val="007B3F51"/>
    <w:pPr>
      <w:spacing w:after="200"/>
    </w:pPr>
    <w:rPr>
      <w:b/>
      <w:bCs/>
      <w:color w:val="4F81BD" w:themeColor="accent1"/>
      <w:sz w:val="18"/>
      <w:szCs w:val="18"/>
    </w:rPr>
  </w:style>
  <w:style w:type="paragraph" w:styleId="Sprechblasentext">
    <w:name w:val="Balloon Text"/>
    <w:basedOn w:val="Standard"/>
    <w:link w:val="SprechblasentextZchn"/>
    <w:uiPriority w:val="99"/>
    <w:semiHidden/>
    <w:unhideWhenUsed/>
    <w:rsid w:val="007B3F5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B3F51"/>
    <w:rPr>
      <w:rFonts w:ascii="Tahoma" w:hAnsi="Tahoma" w:cs="Tahoma"/>
      <w:sz w:val="16"/>
      <w:szCs w:val="16"/>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B3F51"/>
    <w:pPr>
      <w:spacing w:after="0" w:line="240" w:lineRule="auto"/>
    </w:pPr>
    <w:rPr>
      <w:rFonts w:ascii="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unhideWhenUsed/>
    <w:qFormat/>
    <w:rsid w:val="007B3F51"/>
    <w:pPr>
      <w:spacing w:after="200"/>
    </w:pPr>
    <w:rPr>
      <w:b/>
      <w:bCs/>
      <w:color w:val="4F81BD" w:themeColor="accent1"/>
      <w:sz w:val="18"/>
      <w:szCs w:val="18"/>
    </w:rPr>
  </w:style>
  <w:style w:type="paragraph" w:styleId="Sprechblasentext">
    <w:name w:val="Balloon Text"/>
    <w:basedOn w:val="Standard"/>
    <w:link w:val="SprechblasentextZchn"/>
    <w:uiPriority w:val="99"/>
    <w:semiHidden/>
    <w:unhideWhenUsed/>
    <w:rsid w:val="007B3F5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B3F51"/>
    <w:rPr>
      <w:rFonts w:ascii="Tahoma" w:hAnsi="Tahoma" w:cs="Tahoma"/>
      <w:sz w:val="16"/>
      <w:szCs w:val="1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94A2694A</Template>
  <TotalTime>0</TotalTime>
  <Pages>3</Pages>
  <Words>268</Words>
  <Characters>1692</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Universitätsklinikum Heidelberg</Company>
  <LinksUpToDate>false</LinksUpToDate>
  <CharactersWithSpaces>1957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Pfeil, Johannes</dc:creator>
  <cp:lastModifiedBy>Pfeil, Johannes</cp:lastModifiedBy>
  <cp:revision>2</cp:revision>
  <dcterms:created xsi:type="dcterms:W3CDTF">2017-08-22T16:16:00Z</dcterms:created>
  <dcterms:modified xsi:type="dcterms:W3CDTF">2017-08-22T16:16:00Z</dcterms:modified>
</cp:coreProperties>
</file>