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1B93" w:rsidRPr="0050545D" w:rsidRDefault="0050545D" w:rsidP="0050545D">
      <w:pPr>
        <w:jc w:val="center"/>
        <w:rPr>
          <w:bCs/>
          <w:sz w:val="32"/>
        </w:rPr>
      </w:pPr>
      <w:r w:rsidRPr="0050545D">
        <w:rPr>
          <w:sz w:val="32"/>
        </w:rPr>
        <w:t>An age-structured model of Hepatitis A Transmission and Vaccination</w:t>
      </w:r>
      <w:r w:rsidRPr="0050545D">
        <w:rPr>
          <w:bCs/>
          <w:sz w:val="32"/>
        </w:rPr>
        <w:t xml:space="preserve"> in Jordan</w:t>
      </w:r>
    </w:p>
    <w:p w:rsidR="0050545D" w:rsidRDefault="0050545D" w:rsidP="0050545D">
      <w:pPr>
        <w:jc w:val="center"/>
        <w:rPr>
          <w:sz w:val="32"/>
        </w:rPr>
      </w:pPr>
      <w:r w:rsidRPr="0050545D">
        <w:rPr>
          <w:sz w:val="32"/>
        </w:rPr>
        <w:t>Technical Supplement</w:t>
      </w:r>
    </w:p>
    <w:p w:rsidR="0050545D" w:rsidRDefault="0050545D" w:rsidP="0050545D">
      <w:pPr>
        <w:pStyle w:val="BodyText"/>
        <w:spacing w:line="480" w:lineRule="auto"/>
        <w:jc w:val="center"/>
        <w:rPr>
          <w:rFonts w:ascii="Times New Roman" w:hAnsi="Times New Roman" w:cs="Times New Roman"/>
        </w:rPr>
      </w:pPr>
      <w:r>
        <w:rPr>
          <w:rFonts w:ascii="Times New Roman" w:hAnsi="Times New Roman" w:cs="Times New Roman"/>
        </w:rPr>
        <w:t xml:space="preserve">Accompanying manuscript: </w:t>
      </w:r>
    </w:p>
    <w:p w:rsidR="0050545D" w:rsidRPr="0050545D" w:rsidRDefault="0050545D" w:rsidP="0050545D">
      <w:pPr>
        <w:jc w:val="center"/>
      </w:pPr>
      <w:r w:rsidRPr="0050545D">
        <w:t>“Public Health Impact and Cost Effectiveness of Routine Childhood Vaccin</w:t>
      </w:r>
      <w:r w:rsidR="006D2F67">
        <w:t>ation for Hepatitis A in Jordan:</w:t>
      </w:r>
      <w:r w:rsidRPr="0050545D">
        <w:t xml:space="preserve"> A Dynamic Model Approach”</w:t>
      </w:r>
    </w:p>
    <w:p w:rsidR="00C06D7F" w:rsidRDefault="00C06D7F" w:rsidP="00C06D7F">
      <w:pPr>
        <w:pStyle w:val="Heading1"/>
      </w:pPr>
      <w:r>
        <w:t>Introduction</w:t>
      </w:r>
    </w:p>
    <w:p w:rsidR="00C06D7F" w:rsidRDefault="00C06D7F" w:rsidP="00650F06">
      <w:r>
        <w:t>The age-structured model is divided into two major components. The first part is a description of the demographic aspects of the model. This component of the model is intended to mimic the current age structure of the Jordan population. The second part consists of the epidemiologic model that describes infection transmission in this age-structured population.</w:t>
      </w:r>
    </w:p>
    <w:p w:rsidR="00D76490" w:rsidRDefault="00C06D7F" w:rsidP="00C06D7F">
      <w:pPr>
        <w:pStyle w:val="Heading1"/>
      </w:pPr>
      <w:r>
        <w:t>Demographic Model</w:t>
      </w:r>
    </w:p>
    <w:p w:rsidR="00C06D7F" w:rsidRDefault="00C06D7F" w:rsidP="00AD3622">
      <w:r>
        <w:t>The demographic model defines the demographic characteristics of the population simulated and describes how persons enter, age, and exit the model. It is similar to the initial-boundary-value problem for age-dependent population growth described in more detail in Hethcote 1997</w:t>
      </w:r>
      <w:r w:rsidR="00E01B93">
        <w:fldChar w:fldCharType="begin" w:fldLock="1"/>
      </w:r>
      <w:r w:rsidR="00E01B93">
        <w:instrText>ADDIN CSL_CITATION { "citationItems" : [ { "id" : "ITEM-1", "itemData" : { "abstract" : "The vaccination program for pertussis (whooping cough) in the United States consists of giving multiple doses of pertussis vaccine to young children. A demographic model with a steady-state age distribution is used as a basis for building an epidemiologic model for the transmission of pertussis. This age-structured model includes vaccination of infants and children for pertussis with waning of both infection-acquired and vaccine-induced immunity. Computer simulations of the mathematical model between 1940 and 2040 show the changes that took place during the implementation phase of the U.S. program and predict only minor future changes in the age distribution and incidence of pertussis if the vaccination program is maintained at the 1995 level. The sensitivities of these results to changes in demographic and epidemiologic parameters, vaccine efficacy, duration of protection, and levels of vaccination coverage are investigated.", "author" : [ { "dropping-particle" : "", "family" : "Hethcote", "given" : "H W", "non-dropping-particle" : "", "parse-names" : false, "suffix" : "" } ], "container-title" : "Math Biosci", "id" : "ITEM-1", "issue" : "2", "issued" : { "date-parts" : [ [ "1997" ] ] }, "page" : "89-136", "title" : "An age-structured model for pertussis transmission", "type" : "article-journal", "volume" : "145" }, "uris" : [ "http://www.mendeley.com/documents/?uuid=84d7fa38-1627-46d2-b637-2711e245d4db" ] } ], "mendeley" : { "formattedCitation" : "[1]", "plainTextFormattedCitation" : "[1]", "previouslyFormattedCitation" : "[1]" }, "properties" : { "noteIndex" : 0 }, "schema" : "https://github.com/citation-style-language/schema/raw/master/csl-citation.json" }</w:instrText>
      </w:r>
      <w:r w:rsidR="00E01B93">
        <w:fldChar w:fldCharType="separate"/>
      </w:r>
      <w:r w:rsidR="00E01B93" w:rsidRPr="00E01B93">
        <w:rPr>
          <w:noProof/>
        </w:rPr>
        <w:t>[1]</w:t>
      </w:r>
      <w:r w:rsidR="00E01B93">
        <w:fldChar w:fldCharType="end"/>
      </w:r>
      <w:r>
        <w:t xml:space="preserve">. The population is divided into </w:t>
      </w:r>
      <w:r>
        <w:rPr>
          <w:i/>
          <w:iCs/>
        </w:rPr>
        <w:t>n</w:t>
      </w:r>
      <w:r>
        <w:t xml:space="preserve"> age groups defined by the age intervals [</w:t>
      </w:r>
      <w:r>
        <w:rPr>
          <w:i/>
          <w:iCs/>
        </w:rPr>
        <w:t>a</w:t>
      </w:r>
      <w:r>
        <w:rPr>
          <w:i/>
          <w:iCs/>
          <w:vertAlign w:val="subscript"/>
        </w:rPr>
        <w:t>i</w:t>
      </w:r>
      <w:r>
        <w:rPr>
          <w:vertAlign w:val="subscript"/>
        </w:rPr>
        <w:t>–1</w:t>
      </w:r>
      <w:r>
        <w:t xml:space="preserve">, </w:t>
      </w:r>
      <w:r>
        <w:rPr>
          <w:i/>
          <w:iCs/>
        </w:rPr>
        <w:t>a</w:t>
      </w:r>
      <w:r>
        <w:rPr>
          <w:i/>
          <w:iCs/>
          <w:vertAlign w:val="subscript"/>
        </w:rPr>
        <w:t>i</w:t>
      </w:r>
      <w:r>
        <w:t xml:space="preserve">], where </w:t>
      </w:r>
      <w:r>
        <w:rPr>
          <w:i/>
          <w:iCs/>
        </w:rPr>
        <w:t>a</w:t>
      </w:r>
      <w:r>
        <w:rPr>
          <w:vertAlign w:val="subscript"/>
        </w:rPr>
        <w:t>1</w:t>
      </w:r>
      <w:r>
        <w:sym w:font="Symbol" w:char="F03C"/>
      </w:r>
      <w:r>
        <w:rPr>
          <w:i/>
          <w:iCs/>
        </w:rPr>
        <w:t xml:space="preserve"> a</w:t>
      </w:r>
      <w:r>
        <w:rPr>
          <w:vertAlign w:val="subscript"/>
        </w:rPr>
        <w:t>2</w:t>
      </w:r>
      <w:r>
        <w:t xml:space="preserve"> </w:t>
      </w:r>
      <w:r>
        <w:sym w:font="Symbol" w:char="F03C"/>
      </w:r>
      <w:r>
        <w:t xml:space="preserve"> </w:t>
      </w:r>
      <w:r>
        <w:sym w:font="Symbol" w:char="F0BC"/>
      </w:r>
      <w:r>
        <w:sym w:font="Symbol" w:char="F03C"/>
      </w:r>
      <w:r>
        <w:t xml:space="preserve"> </w:t>
      </w:r>
      <w:r>
        <w:rPr>
          <w:i/>
          <w:iCs/>
        </w:rPr>
        <w:t>a</w:t>
      </w:r>
      <w:r>
        <w:rPr>
          <w:i/>
          <w:iCs/>
          <w:vertAlign w:val="subscript"/>
        </w:rPr>
        <w:t>n</w:t>
      </w:r>
      <w:r>
        <w:t xml:space="preserve"> = </w:t>
      </w:r>
      <w:r>
        <w:sym w:font="Symbol" w:char="F0A5"/>
      </w:r>
      <w:r>
        <w:t xml:space="preserve">. The number of individuals </w:t>
      </w:r>
      <w:r>
        <w:rPr>
          <w:i/>
          <w:iCs/>
        </w:rPr>
        <w:t>N</w:t>
      </w:r>
      <w:r>
        <w:rPr>
          <w:i/>
          <w:iCs/>
          <w:vertAlign w:val="subscript"/>
        </w:rPr>
        <w:t>i</w:t>
      </w:r>
      <w:r>
        <w:t>(</w:t>
      </w:r>
      <w:r>
        <w:rPr>
          <w:i/>
          <w:iCs/>
        </w:rPr>
        <w:t>t</w:t>
      </w:r>
      <w:r>
        <w:t xml:space="preserve">) at time </w:t>
      </w:r>
      <w:r>
        <w:rPr>
          <w:i/>
          <w:iCs/>
        </w:rPr>
        <w:t>t</w:t>
      </w:r>
      <w:r>
        <w:t xml:space="preserve"> in the age interval [</w:t>
      </w:r>
      <w:r>
        <w:rPr>
          <w:i/>
          <w:iCs/>
        </w:rPr>
        <w:t>a</w:t>
      </w:r>
      <w:r>
        <w:rPr>
          <w:i/>
          <w:iCs/>
          <w:vertAlign w:val="subscript"/>
        </w:rPr>
        <w:t>i</w:t>
      </w:r>
      <w:r>
        <w:rPr>
          <w:vertAlign w:val="subscript"/>
        </w:rPr>
        <w:t>–1</w:t>
      </w:r>
      <w:r>
        <w:t xml:space="preserve">, </w:t>
      </w:r>
      <w:r>
        <w:rPr>
          <w:i/>
          <w:iCs/>
        </w:rPr>
        <w:t>a</w:t>
      </w:r>
      <w:r>
        <w:rPr>
          <w:i/>
          <w:iCs/>
          <w:vertAlign w:val="subscript"/>
        </w:rPr>
        <w:t>i</w:t>
      </w:r>
      <w:r>
        <w:t xml:space="preserve">] is the integral of the age distribution function from  </w:t>
      </w:r>
      <w:r>
        <w:rPr>
          <w:i/>
          <w:iCs/>
        </w:rPr>
        <w:t>a</w:t>
      </w:r>
      <w:r>
        <w:rPr>
          <w:i/>
          <w:iCs/>
          <w:vertAlign w:val="subscript"/>
        </w:rPr>
        <w:t>i</w:t>
      </w:r>
      <w:r>
        <w:rPr>
          <w:vertAlign w:val="subscript"/>
        </w:rPr>
        <w:t>–1</w:t>
      </w:r>
      <w:r>
        <w:t xml:space="preserve"> to </w:t>
      </w:r>
      <w:r>
        <w:rPr>
          <w:i/>
          <w:iCs/>
        </w:rPr>
        <w:t>a</w:t>
      </w:r>
      <w:r>
        <w:rPr>
          <w:i/>
          <w:iCs/>
          <w:vertAlign w:val="subscript"/>
        </w:rPr>
        <w:t>i</w:t>
      </w:r>
      <w:r>
        <w:t xml:space="preserve">. Assuming that the population distribution has reached a steady state with zero growth or decay, </w:t>
      </w:r>
      <w:r>
        <w:rPr>
          <w:noProof/>
        </w:rPr>
        <w:t xml:space="preserve">Hethcote </w:t>
      </w:r>
      <w:r>
        <w:t xml:space="preserve">derived a system of </w:t>
      </w:r>
      <w:r>
        <w:rPr>
          <w:i/>
          <w:iCs/>
        </w:rPr>
        <w:t>n</w:t>
      </w:r>
      <w:r>
        <w:t xml:space="preserve"> ordinary differential equations (ODEs) for the sizes of the </w:t>
      </w:r>
      <w:r>
        <w:rPr>
          <w:i/>
          <w:iCs/>
        </w:rPr>
        <w:t>n</w:t>
      </w:r>
      <w:r>
        <w:t xml:space="preserve"> age groups.</w:t>
      </w:r>
    </w:p>
    <w:p w:rsidR="00C06D7F" w:rsidRDefault="00C06D7F" w:rsidP="00AD3622">
      <w:r>
        <w:lastRenderedPageBreak/>
        <w:t>The simple demographic model used here divides the population into 101 age (</w:t>
      </w:r>
      <w:r>
        <w:rPr>
          <w:i/>
          <w:iCs/>
        </w:rPr>
        <w:t>i</w:t>
      </w:r>
      <w:r>
        <w:t xml:space="preserve"> = 0,1,…,100) groups (0 to &lt;1, 1, 2, …, 99, and 100 years or older). New additions to the population enter at rate </w:t>
      </w:r>
      <w:r>
        <w:rPr>
          <w:iCs/>
        </w:rPr>
        <w:sym w:font="Symbol" w:char="F04C"/>
      </w:r>
      <w:r>
        <w:t xml:space="preserve">. Persons are transferred between successive age groups at an age-specific per capita rate </w:t>
      </w:r>
      <w:r>
        <w:rPr>
          <w:i/>
          <w:iCs/>
        </w:rPr>
        <w:t>d</w:t>
      </w:r>
      <w:r>
        <w:rPr>
          <w:i/>
          <w:iCs/>
          <w:vertAlign w:val="subscript"/>
        </w:rPr>
        <w:t>i</w:t>
      </w:r>
      <w:r>
        <w:rPr>
          <w:i/>
          <w:iCs/>
        </w:rPr>
        <w:t xml:space="preserve"> </w:t>
      </w:r>
      <w:r>
        <w:t xml:space="preserve">per year. The transfer rate </w:t>
      </w:r>
      <w:r>
        <w:rPr>
          <w:i/>
          <w:iCs/>
        </w:rPr>
        <w:t>d</w:t>
      </w:r>
      <w:r>
        <w:rPr>
          <w:i/>
          <w:iCs/>
          <w:vertAlign w:val="subscript"/>
        </w:rPr>
        <w:t>i</w:t>
      </w:r>
      <w:r>
        <w:t xml:space="preserve"> is given by</w:t>
      </w:r>
    </w:p>
    <w:p w:rsidR="00650F06" w:rsidRDefault="00DE10EC" w:rsidP="00AD3622">
      <m:oMathPara>
        <m:oMath>
          <m:sSub>
            <m:sSubPr>
              <m:ctrlPr>
                <w:rPr>
                  <w:rFonts w:ascii="Cambria Math" w:hAnsi="Cambria Math"/>
                  <w:i/>
                </w:rPr>
              </m:ctrlPr>
            </m:sSubPr>
            <m:e>
              <m:r>
                <w:rPr>
                  <w:rFonts w:ascii="Cambria Math" w:hAnsi="Cambria Math"/>
                </w:rPr>
                <m:t>d</m:t>
              </m:r>
            </m:e>
            <m:sub>
              <m:r>
                <w:rPr>
                  <w:rFonts w:ascii="Cambria Math" w:hAnsi="Cambria Math"/>
                </w:rPr>
                <m:t>i</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μ</m:t>
                  </m:r>
                </m:e>
                <m:sub>
                  <m:r>
                    <w:rPr>
                      <w:rFonts w:ascii="Cambria Math" w:hAnsi="Cambria Math"/>
                    </w:rPr>
                    <m:t>i</m:t>
                  </m:r>
                </m:sub>
              </m:sSub>
            </m:num>
            <m:den>
              <m:sSup>
                <m:sSupPr>
                  <m:ctrlPr>
                    <w:rPr>
                      <w:rFonts w:ascii="Cambria Math" w:hAnsi="Cambria Math"/>
                      <w:i/>
                    </w:rPr>
                  </m:ctrlPr>
                </m:sSupPr>
                <m:e>
                  <m:r>
                    <w:rPr>
                      <w:rFonts w:ascii="Cambria Math" w:hAnsi="Cambria Math"/>
                    </w:rPr>
                    <m:t>e</m:t>
                  </m:r>
                </m:e>
                <m:sup>
                  <m:d>
                    <m:dPr>
                      <m:ctrlPr>
                        <w:rPr>
                          <w:rFonts w:ascii="Cambria Math" w:hAnsi="Cambria Math"/>
                          <w:i/>
                        </w:rPr>
                      </m:ctrlPr>
                    </m:dPr>
                    <m:e>
                      <m:sSub>
                        <m:sSubPr>
                          <m:ctrlPr>
                            <w:rPr>
                              <w:rFonts w:ascii="Cambria Math" w:hAnsi="Cambria Math"/>
                              <w:i/>
                            </w:rPr>
                          </m:ctrlPr>
                        </m:sSubPr>
                        <m:e>
                          <m:r>
                            <w:rPr>
                              <w:rFonts w:ascii="Cambria Math" w:hAnsi="Cambria Math"/>
                            </w:rPr>
                            <m:t>a</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i-1</m:t>
                          </m:r>
                        </m:sub>
                      </m:sSub>
                    </m:e>
                  </m:d>
                  <m:sSub>
                    <m:sSubPr>
                      <m:ctrlPr>
                        <w:rPr>
                          <w:rFonts w:ascii="Cambria Math" w:hAnsi="Cambria Math"/>
                          <w:i/>
                        </w:rPr>
                      </m:ctrlPr>
                    </m:sSubPr>
                    <m:e>
                      <m:r>
                        <w:rPr>
                          <w:rFonts w:ascii="Cambria Math" w:hAnsi="Cambria Math"/>
                        </w:rPr>
                        <m:t>μ</m:t>
                      </m:r>
                    </m:e>
                    <m:sub>
                      <m:r>
                        <w:rPr>
                          <w:rFonts w:ascii="Cambria Math" w:hAnsi="Cambria Math"/>
                        </w:rPr>
                        <m:t>i</m:t>
                      </m:r>
                    </m:sub>
                  </m:sSub>
                </m:sup>
              </m:sSup>
              <m:r>
                <w:rPr>
                  <w:rFonts w:ascii="Cambria Math" w:hAnsi="Cambria Math"/>
                </w:rPr>
                <m:t>-1</m:t>
              </m:r>
            </m:den>
          </m:f>
        </m:oMath>
      </m:oMathPara>
    </w:p>
    <w:p w:rsidR="00C06D7F" w:rsidRDefault="00C06D7F" w:rsidP="00AD3622">
      <w:pPr>
        <w:jc w:val="center"/>
      </w:pPr>
    </w:p>
    <w:p w:rsidR="00C06D7F" w:rsidRDefault="00C06D7F" w:rsidP="00AD3622">
      <w:r>
        <w:t>The demographic model is given by the following system of 101 ODEs:</w:t>
      </w:r>
    </w:p>
    <w:p w:rsidR="0039280E" w:rsidRPr="0039280E" w:rsidRDefault="00DE10EC" w:rsidP="00AD3622">
      <w:pPr>
        <w:rPr>
          <w:rFonts w:eastAsiaTheme="minorEastAsia"/>
        </w:rPr>
      </w:pPr>
      <m:oMathPara>
        <m:oMathParaPr>
          <m:jc m:val="center"/>
        </m:oMathParaPr>
        <m:oMath>
          <m:f>
            <m:fPr>
              <m:ctrlPr>
                <w:rPr>
                  <w:rFonts w:ascii="Cambria Math" w:hAnsi="Cambria Math"/>
                  <w:i/>
                </w:rPr>
              </m:ctrlPr>
            </m:fPr>
            <m:num>
              <m:r>
                <w:rPr>
                  <w:rFonts w:ascii="Cambria Math" w:hAnsi="Cambria Math"/>
                </w:rPr>
                <m:t>d</m:t>
              </m:r>
              <m:sSub>
                <m:sSubPr>
                  <m:ctrlPr>
                    <w:rPr>
                      <w:rFonts w:ascii="Cambria Math" w:hAnsi="Cambria Math"/>
                      <w:i/>
                    </w:rPr>
                  </m:ctrlPr>
                </m:sSubPr>
                <m:e>
                  <m:r>
                    <w:rPr>
                      <w:rFonts w:ascii="Cambria Math" w:hAnsi="Cambria Math"/>
                    </w:rPr>
                    <m:t>N</m:t>
                  </m:r>
                </m:e>
                <m:sub>
                  <m:r>
                    <w:rPr>
                      <w:rFonts w:ascii="Cambria Math" w:hAnsi="Cambria Math"/>
                    </w:rPr>
                    <m:t>0</m:t>
                  </m:r>
                </m:sub>
              </m:sSub>
              <m:ctrlPr>
                <w:rPr>
                  <w:rFonts w:ascii="Cambria Math" w:eastAsiaTheme="minorEastAsia" w:hAnsi="Cambria Math"/>
                  <w:i/>
                </w:rPr>
              </m:ctrlPr>
            </m:num>
            <m:den>
              <m:r>
                <w:rPr>
                  <w:rFonts w:ascii="Cambria Math" w:hAnsi="Cambria Math"/>
                </w:rPr>
                <m:t>dt</m:t>
              </m:r>
            </m:den>
          </m:f>
          <m:r>
            <w:rPr>
              <w:rFonts w:ascii="Cambria Math" w:hAnsi="Cambria Math"/>
            </w:rPr>
            <m:t>=</m:t>
          </m:r>
          <m:r>
            <m:rPr>
              <m:sty m:val="p"/>
            </m:rPr>
            <w:rPr>
              <w:rFonts w:ascii="Cambria Math" w:hAnsi="Cambria Math"/>
            </w:rPr>
            <m:t>Λ</m:t>
          </m:r>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μ</m:t>
                  </m:r>
                </m:e>
                <m:sub>
                  <m:r>
                    <w:rPr>
                      <w:rFonts w:ascii="Cambria Math" w:hAnsi="Cambria Math"/>
                    </w:rPr>
                    <m:t>0</m:t>
                  </m:r>
                </m:sub>
              </m:sSub>
              <m:r>
                <w:rPr>
                  <w:rFonts w:ascii="Cambria Math" w:hAnsi="Cambria Math"/>
                </w:rPr>
                <m:t>+</m:t>
              </m:r>
              <m:sSub>
                <m:sSubPr>
                  <m:ctrlPr>
                    <w:rPr>
                      <w:rFonts w:ascii="Cambria Math" w:hAnsi="Cambria Math"/>
                      <w:i/>
                    </w:rPr>
                  </m:ctrlPr>
                </m:sSubPr>
                <m:e>
                  <m:r>
                    <w:rPr>
                      <w:rFonts w:ascii="Cambria Math" w:hAnsi="Cambria Math"/>
                    </w:rPr>
                    <m:t>d</m:t>
                  </m:r>
                </m:e>
                <m:sub>
                  <m:r>
                    <w:rPr>
                      <w:rFonts w:ascii="Cambria Math" w:hAnsi="Cambria Math"/>
                    </w:rPr>
                    <m:t>0</m:t>
                  </m:r>
                </m:sub>
              </m:sSub>
            </m:e>
          </m:d>
          <m:sSub>
            <m:sSubPr>
              <m:ctrlPr>
                <w:rPr>
                  <w:rFonts w:ascii="Cambria Math" w:hAnsi="Cambria Math"/>
                  <w:i/>
                </w:rPr>
              </m:ctrlPr>
            </m:sSubPr>
            <m:e>
              <m:r>
                <w:rPr>
                  <w:rFonts w:ascii="Cambria Math" w:hAnsi="Cambria Math"/>
                </w:rPr>
                <m:t>N</m:t>
              </m:r>
            </m:e>
            <m:sub>
              <m:r>
                <w:rPr>
                  <w:rFonts w:ascii="Cambria Math" w:hAnsi="Cambria Math"/>
                </w:rPr>
                <m:t>0</m:t>
              </m:r>
            </m:sub>
          </m:sSub>
          <m:r>
            <w:rPr>
              <w:rFonts w:ascii="Cambria Math" w:hAnsi="Cambria Math"/>
            </w:rPr>
            <m:t xml:space="preserve">       </m:t>
          </m:r>
        </m:oMath>
      </m:oMathPara>
    </w:p>
    <w:p w:rsidR="0039280E" w:rsidRPr="0039280E" w:rsidRDefault="00DE10EC" w:rsidP="00AD3622">
      <w:pPr>
        <w:rPr>
          <w:rFonts w:eastAsiaTheme="minorEastAsia"/>
        </w:rPr>
      </w:pPr>
      <m:oMathPara>
        <m:oMath>
          <m:f>
            <m:fPr>
              <m:ctrlPr>
                <w:rPr>
                  <w:rFonts w:ascii="Cambria Math" w:hAnsi="Cambria Math"/>
                  <w:i/>
                </w:rPr>
              </m:ctrlPr>
            </m:fPr>
            <m:num>
              <m:r>
                <w:rPr>
                  <w:rFonts w:ascii="Cambria Math" w:hAnsi="Cambria Math"/>
                </w:rPr>
                <m:t>d</m:t>
              </m:r>
              <m:sSub>
                <m:sSubPr>
                  <m:ctrlPr>
                    <w:rPr>
                      <w:rFonts w:ascii="Cambria Math" w:hAnsi="Cambria Math"/>
                      <w:i/>
                    </w:rPr>
                  </m:ctrlPr>
                </m:sSubPr>
                <m:e>
                  <m:r>
                    <w:rPr>
                      <w:rFonts w:ascii="Cambria Math" w:hAnsi="Cambria Math"/>
                    </w:rPr>
                    <m:t>N</m:t>
                  </m:r>
                </m:e>
                <m:sub>
                  <m:r>
                    <w:rPr>
                      <w:rFonts w:ascii="Cambria Math" w:hAnsi="Cambria Math"/>
                    </w:rPr>
                    <m:t>i</m:t>
                  </m:r>
                </m:sub>
              </m:sSub>
              <m:ctrlPr>
                <w:rPr>
                  <w:rFonts w:ascii="Cambria Math" w:eastAsiaTheme="minorEastAsia" w:hAnsi="Cambria Math"/>
                  <w:i/>
                </w:rPr>
              </m:ctrlPr>
            </m:num>
            <m:den>
              <m:r>
                <w:rPr>
                  <w:rFonts w:ascii="Cambria Math" w:hAnsi="Cambria Math"/>
                </w:rPr>
                <m:t>dt</m:t>
              </m:r>
            </m:den>
          </m:f>
          <m:r>
            <w:rPr>
              <w:rFonts w:ascii="Cambria Math" w:hAnsi="Cambria Math"/>
            </w:rPr>
            <m:t>=</m:t>
          </m:r>
          <m:sSub>
            <m:sSubPr>
              <m:ctrlPr>
                <w:rPr>
                  <w:rFonts w:ascii="Cambria Math" w:hAnsi="Cambria Math"/>
                </w:rPr>
              </m:ctrlPr>
            </m:sSubPr>
            <m:e>
              <m:r>
                <w:rPr>
                  <w:rFonts w:ascii="Cambria Math" w:hAnsi="Cambria Math"/>
                </w:rPr>
                <m:t>d</m:t>
              </m:r>
              <m:ctrlPr>
                <w:rPr>
                  <w:rFonts w:ascii="Cambria Math" w:hAnsi="Cambria Math"/>
                  <w:i/>
                </w:rPr>
              </m:ctrlPr>
            </m:e>
            <m:sub>
              <m:r>
                <w:rPr>
                  <w:rFonts w:ascii="Cambria Math" w:hAnsi="Cambria Math"/>
                </w:rPr>
                <m:t>i-1</m:t>
              </m:r>
            </m:sub>
          </m:sSub>
          <m:sSub>
            <m:sSubPr>
              <m:ctrlPr>
                <w:rPr>
                  <w:rFonts w:ascii="Cambria Math" w:hAnsi="Cambria Math"/>
                  <w:i/>
                </w:rPr>
              </m:ctrlPr>
            </m:sSubPr>
            <m:e>
              <m:r>
                <w:rPr>
                  <w:rFonts w:ascii="Cambria Math" w:hAnsi="Cambria Math"/>
                </w:rPr>
                <m:t>N</m:t>
              </m:r>
            </m:e>
            <m:sub>
              <m:r>
                <w:rPr>
                  <w:rFonts w:ascii="Cambria Math" w:hAnsi="Cambria Math"/>
                </w:rPr>
                <m:t>i-1</m:t>
              </m:r>
            </m:sub>
          </m:sSub>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μ</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d</m:t>
                  </m:r>
                </m:e>
                <m:sub>
                  <m:r>
                    <w:rPr>
                      <w:rFonts w:ascii="Cambria Math" w:hAnsi="Cambria Math"/>
                    </w:rPr>
                    <m:t>i</m:t>
                  </m:r>
                </m:sub>
              </m:sSub>
            </m:e>
          </m:d>
          <m:sSub>
            <m:sSubPr>
              <m:ctrlPr>
                <w:rPr>
                  <w:rFonts w:ascii="Cambria Math" w:hAnsi="Cambria Math"/>
                  <w:i/>
                </w:rPr>
              </m:ctrlPr>
            </m:sSubPr>
            <m:e>
              <m:r>
                <w:rPr>
                  <w:rFonts w:ascii="Cambria Math" w:hAnsi="Cambria Math"/>
                </w:rPr>
                <m:t>N</m:t>
              </m:r>
            </m:e>
            <m:sub>
              <m:r>
                <w:rPr>
                  <w:rFonts w:ascii="Cambria Math" w:hAnsi="Cambria Math"/>
                </w:rPr>
                <m:t xml:space="preserve">i </m:t>
              </m:r>
            </m:sub>
          </m:sSub>
        </m:oMath>
      </m:oMathPara>
    </w:p>
    <w:p w:rsidR="00C06D7F" w:rsidRDefault="0039280E" w:rsidP="00AD3622">
      <w:r>
        <w:rPr>
          <w:rFonts w:eastAsiaTheme="minorEastAsia"/>
        </w:rPr>
        <w:t xml:space="preserve"> </w:t>
      </w:r>
      <w:r w:rsidR="00C06D7F">
        <w:t xml:space="preserve"> </w:t>
      </w:r>
      <w:r w:rsidR="00C06D7F">
        <w:rPr>
          <w:i/>
          <w:iCs/>
        </w:rPr>
        <w:t>i</w:t>
      </w:r>
      <w:r w:rsidR="00C06D7F">
        <w:t xml:space="preserve"> </w:t>
      </w:r>
      <w:r w:rsidR="00C06D7F">
        <w:sym w:font="Symbol" w:char="F0B3"/>
      </w:r>
      <w:r w:rsidR="00C06D7F">
        <w:t xml:space="preserve"> 1, where </w:t>
      </w:r>
      <w:r w:rsidR="00C06D7F">
        <w:rPr>
          <w:i/>
          <w:iCs/>
        </w:rPr>
        <w:t>d</w:t>
      </w:r>
      <w:r w:rsidR="00C06D7F">
        <w:rPr>
          <w:iCs/>
          <w:vertAlign w:val="subscript"/>
        </w:rPr>
        <w:t>100</w:t>
      </w:r>
      <w:r w:rsidR="00C06D7F">
        <w:t xml:space="preserve"> = 0.</w:t>
      </w:r>
    </w:p>
    <w:p w:rsidR="00231227" w:rsidRDefault="00231227" w:rsidP="00AD3622"/>
    <w:p w:rsidR="00231227" w:rsidRDefault="00231227" w:rsidP="00AD3622">
      <w:r>
        <w:t xml:space="preserve">We set the population size in the model to </w:t>
      </w:r>
      <w:r w:rsidR="0039280E">
        <w:t>1</w:t>
      </w:r>
      <w:r>
        <w:t xml:space="preserve">. Death rates were obtained from the WHO database </w:t>
      </w:r>
      <w:r w:rsidR="004D228D">
        <w:t xml:space="preserve">Life Tables </w:t>
      </w:r>
      <w:r>
        <w:t>for age-specific mortality rates a</w:t>
      </w:r>
      <w:r w:rsidR="006A04AB">
        <w:t>cross both genders</w:t>
      </w:r>
      <w:r w:rsidR="006A04AB">
        <w:fldChar w:fldCharType="begin" w:fldLock="1"/>
      </w:r>
      <w:r w:rsidR="0041376C">
        <w:instrText>ADDIN CSL_CITATION { "citationItems" : [ { "id" : "ITEM-1", "itemData" : { "URL" : "http://apps.who.int/gho/data/?theme=main&amp;vid=60830", "accessed" : { "date-parts" : [ [ "2015", "11", "11" ] ] }, "author" : [ { "dropping-particle" : "", "family" : "World Health Organization", "given" : "", "non-dropping-particle" : "", "parse-names" : false, "suffix" : "" } ], "id" : "ITEM-1", "issued" : { "date-parts" : [ [ "2015", "9" ] ] }, "publisher" : "World Health organization", "title" : "Global Health Observatory: Life Tables by Country Jordan", "type" : "webpage" }, "uris" : [ "http://www.mendeley.com/documents/?uuid=8cd8bfc5-88af-415d-b3ce-dd954b8fc57d" ] } ], "mendeley" : { "formattedCitation" : "[2]", "plainTextFormattedCitation" : "[2]", "previouslyFormattedCitation" : "[2]" }, "properties" : { "noteIndex" : 0 }, "schema" : "https://github.com/citation-style-language/schema/raw/master/csl-citation.json" }</w:instrText>
      </w:r>
      <w:r w:rsidR="006A04AB">
        <w:fldChar w:fldCharType="separate"/>
      </w:r>
      <w:r w:rsidR="006A04AB" w:rsidRPr="006A04AB">
        <w:rPr>
          <w:noProof/>
        </w:rPr>
        <w:t>[2]</w:t>
      </w:r>
      <w:r w:rsidR="006A04AB">
        <w:fldChar w:fldCharType="end"/>
      </w:r>
      <w:r w:rsidR="006A04AB">
        <w:t xml:space="preserve">. </w:t>
      </w:r>
      <w:r w:rsidR="004D228D">
        <w:t xml:space="preserve">The life table data was presented in age groups ranging from one year to five years.  We fit the data to obtain one year increments. </w:t>
      </w:r>
      <w:r>
        <w:t xml:space="preserve"> Other dem</w:t>
      </w:r>
      <w:r w:rsidR="004D228D">
        <w:t xml:space="preserve">ographic data were obtained from </w:t>
      </w:r>
      <w:r w:rsidR="00351C4A">
        <w:t>United States Census International Database</w:t>
      </w:r>
      <w:r>
        <w:t xml:space="preserve">. </w:t>
      </w:r>
      <w:r w:rsidR="008C024D">
        <w:t xml:space="preserve"> </w:t>
      </w:r>
      <w:r>
        <w:t xml:space="preserve">For example, the </w:t>
      </w:r>
      <w:r w:rsidR="00351C4A">
        <w:t xml:space="preserve">Jordan </w:t>
      </w:r>
      <w:r>
        <w:t xml:space="preserve">population in </w:t>
      </w:r>
      <w:r w:rsidR="00351C4A">
        <w:t xml:space="preserve">2015 was </w:t>
      </w:r>
      <w:r w:rsidR="00E036BF">
        <w:t>a</w:t>
      </w:r>
      <w:r>
        <w:t xml:space="preserve">ssumed to be </w:t>
      </w:r>
      <w:r w:rsidR="00351C4A">
        <w:t>8,118,000</w:t>
      </w:r>
      <w:r w:rsidR="006A04AB">
        <w:fldChar w:fldCharType="begin" w:fldLock="1"/>
      </w:r>
      <w:r w:rsidR="0041376C">
        <w:instrText>ADDIN CSL_CITATION { "citationItems" : [ { "id" : "ITEM-1", "itemData" : { "URL" : "http://www.census.gov/population/international/data/idb/region.php?N= Results &amp;T=13&amp;A=separate&amp;RT=0&amp;Y=2010,2011,2012,2013,2014,2015&amp;R=-1&amp;C=JO", "accessed" : { "date-parts" : [ [ "2015", "9", "24" ] ] }, "author" : [ { "dropping-particle" : "", "family" : "United States Census Bureau", "given" : "", "non-dropping-particle" : "", "parse-names" : false, "suffix" : "" } ], "id" : "ITEM-1", "issued" : { "date-parts" : [ [ "2015", "9" ] ] }, "publisher" : "United States Census Bureau", "title" : "International Database: Demographics: Jordan", "type" : "webpage" }, "uris" : [ "http://www.mendeley.com/documents/?uuid=ace974ca-4a51-455a-8b46-9ed765cb1a42" ] } ], "mendeley" : { "formattedCitation" : "[3]", "plainTextFormattedCitation" : "[3]", "previouslyFormattedCitation" : "[3]" }, "properties" : { "noteIndex" : 0 }, "schema" : "https://github.com/citation-style-language/schema/raw/master/csl-citation.json" }</w:instrText>
      </w:r>
      <w:r w:rsidR="006A04AB">
        <w:fldChar w:fldCharType="separate"/>
      </w:r>
      <w:r w:rsidR="006A04AB" w:rsidRPr="006A04AB">
        <w:rPr>
          <w:noProof/>
        </w:rPr>
        <w:t>[3]</w:t>
      </w:r>
      <w:r w:rsidR="006A04AB">
        <w:fldChar w:fldCharType="end"/>
      </w:r>
      <w:r>
        <w:rPr>
          <w:noProof/>
        </w:rPr>
        <w:t>.</w:t>
      </w:r>
    </w:p>
    <w:p w:rsidR="00231227" w:rsidRDefault="00231227" w:rsidP="00AD3622">
      <w:r>
        <w:t xml:space="preserve">The assumption of stationary population structure and size gives the equilibrium relations </w:t>
      </w:r>
      <w:r>
        <w:rPr>
          <w:position w:val="-12"/>
        </w:rPr>
        <w:object w:dxaOrig="1635" w:dyaOrig="375" w14:anchorId="4D7AD7B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2.5pt;height:18pt" o:ole="">
            <v:imagedata r:id="rId9" o:title=""/>
          </v:shape>
          <o:OLEObject Type="Embed" ProgID="Equation.3" ShapeID="_x0000_i1025" DrawAspect="Content" ObjectID="_1580737735" r:id="rId10"/>
        </w:object>
      </w:r>
      <w:r>
        <w:t>and</w:t>
      </w:r>
      <w:r w:rsidR="003C7E7A">
        <w:rPr>
          <w:position w:val="-12"/>
        </w:rPr>
        <w:object w:dxaOrig="2120" w:dyaOrig="380" w14:anchorId="7CB38A7B">
          <v:shape id="_x0000_i1026" type="#_x0000_t75" style="width:105pt;height:18pt" o:ole="">
            <v:imagedata r:id="rId11" o:title=""/>
          </v:shape>
          <o:OLEObject Type="Embed" ProgID="Equation.3" ShapeID="_x0000_i1026" DrawAspect="Content" ObjectID="_1580737736" r:id="rId12"/>
        </w:object>
      </w:r>
      <w:r>
        <w:t>. Thus, we need to choose the initial size of age groups as</w:t>
      </w:r>
    </w:p>
    <w:p w:rsidR="0039280E" w:rsidRDefault="00DE10EC" w:rsidP="00AD3622">
      <m:oMathPara>
        <m:oMath>
          <m:sSub>
            <m:sSubPr>
              <m:ctrlPr>
                <w:rPr>
                  <w:rFonts w:ascii="Cambria Math" w:hAnsi="Cambria Math"/>
                  <w:i/>
                </w:rPr>
              </m:ctrlPr>
            </m:sSubPr>
            <m:e>
              <m:r>
                <w:rPr>
                  <w:rFonts w:ascii="Cambria Math" w:hAnsi="Cambria Math"/>
                </w:rPr>
                <m:t>N</m:t>
              </m:r>
            </m:e>
            <m:sub>
              <m:r>
                <w:rPr>
                  <w:rFonts w:ascii="Cambria Math" w:hAnsi="Cambria Math"/>
                </w:rPr>
                <m:t>i</m:t>
              </m:r>
            </m:sub>
          </m:sSub>
          <m:d>
            <m:dPr>
              <m:ctrlPr>
                <w:rPr>
                  <w:rFonts w:ascii="Cambria Math" w:hAnsi="Cambria Math"/>
                  <w:i/>
                </w:rPr>
              </m:ctrlPr>
            </m:dPr>
            <m:e>
              <m:r>
                <w:rPr>
                  <w:rFonts w:ascii="Cambria Math" w:hAnsi="Cambria Math"/>
                </w:rPr>
                <m:t>0</m:t>
              </m:r>
            </m:e>
          </m:d>
          <m:r>
            <w:rPr>
              <w:rFonts w:ascii="Cambria Math" w:hAnsi="Cambria Math"/>
            </w:rPr>
            <m:t>=</m:t>
          </m:r>
          <m:sSubSup>
            <m:sSubSupPr>
              <m:ctrlPr>
                <w:rPr>
                  <w:rFonts w:ascii="Cambria Math" w:hAnsi="Cambria Math"/>
                  <w:i/>
                </w:rPr>
              </m:ctrlPr>
            </m:sSubSupPr>
            <m:e>
              <m:r>
                <w:rPr>
                  <w:rFonts w:ascii="Cambria Math" w:hAnsi="Cambria Math"/>
                </w:rPr>
                <m:t>N</m:t>
              </m:r>
            </m:e>
            <m:sub>
              <m:r>
                <w:rPr>
                  <w:rFonts w:ascii="Cambria Math" w:hAnsi="Cambria Math"/>
                </w:rPr>
                <m:t>i</m:t>
              </m:r>
            </m:sub>
            <m:sup>
              <m:r>
                <w:rPr>
                  <w:rFonts w:ascii="Cambria Math" w:hAnsi="Cambria Math"/>
                </w:rPr>
                <m:t>*</m:t>
              </m:r>
            </m:sup>
          </m:sSubSup>
          <m:r>
            <w:rPr>
              <w:rFonts w:ascii="Cambria Math" w:hAnsi="Cambria Math"/>
            </w:rPr>
            <m:t>=</m:t>
          </m:r>
          <m:r>
            <m:rPr>
              <m:sty m:val="p"/>
            </m:rPr>
            <w:rPr>
              <w:rFonts w:ascii="Cambria Math" w:hAnsi="Cambria Math"/>
            </w:rPr>
            <m:t>Λ</m:t>
          </m:r>
          <m:nary>
            <m:naryPr>
              <m:chr m:val="∏"/>
              <m:limLoc m:val="undOvr"/>
              <m:ctrlPr>
                <w:rPr>
                  <w:rFonts w:ascii="Cambria Math" w:hAnsi="Cambria Math"/>
                  <w:i/>
                </w:rPr>
              </m:ctrlPr>
            </m:naryPr>
            <m:sub>
              <m:r>
                <w:rPr>
                  <w:rFonts w:ascii="Cambria Math" w:hAnsi="Cambria Math"/>
                </w:rPr>
                <m:t>j=0</m:t>
              </m:r>
            </m:sub>
            <m:sup>
              <m:r>
                <w:rPr>
                  <w:rFonts w:ascii="Cambria Math" w:hAnsi="Cambria Math"/>
                </w:rPr>
                <m:t>i</m:t>
              </m:r>
            </m:sup>
            <m:e>
              <m:f>
                <m:fPr>
                  <m:ctrlPr>
                    <w:rPr>
                      <w:rFonts w:ascii="Cambria Math" w:hAnsi="Cambria Math"/>
                      <w:i/>
                    </w:rPr>
                  </m:ctrlPr>
                </m:fPr>
                <m:num>
                  <m:sSub>
                    <m:sSubPr>
                      <m:ctrlPr>
                        <w:rPr>
                          <w:rFonts w:ascii="Cambria Math" w:hAnsi="Cambria Math"/>
                          <w:i/>
                        </w:rPr>
                      </m:ctrlPr>
                    </m:sSubPr>
                    <m:e>
                      <m:r>
                        <w:rPr>
                          <w:rFonts w:ascii="Cambria Math" w:hAnsi="Cambria Math"/>
                        </w:rPr>
                        <m:t>d</m:t>
                      </m:r>
                    </m:e>
                    <m:sub>
                      <m:r>
                        <w:rPr>
                          <w:rFonts w:ascii="Cambria Math" w:hAnsi="Cambria Math"/>
                        </w:rPr>
                        <m:t>j-1</m:t>
                      </m:r>
                    </m:sub>
                  </m:sSub>
                </m:num>
                <m:den>
                  <m:sSub>
                    <m:sSubPr>
                      <m:ctrlPr>
                        <w:rPr>
                          <w:rFonts w:ascii="Cambria Math" w:hAnsi="Cambria Math"/>
                          <w:i/>
                        </w:rPr>
                      </m:ctrlPr>
                    </m:sSubPr>
                    <m:e>
                      <m:r>
                        <w:rPr>
                          <w:rFonts w:ascii="Cambria Math" w:hAnsi="Cambria Math"/>
                        </w:rPr>
                        <m:t>d</m:t>
                      </m:r>
                    </m:e>
                    <m:sub>
                      <m:r>
                        <w:rPr>
                          <w:rFonts w:ascii="Cambria Math" w:hAnsi="Cambria Math"/>
                        </w:rPr>
                        <m:t>j</m:t>
                      </m:r>
                    </m:sub>
                  </m:sSub>
                  <m:r>
                    <w:rPr>
                      <w:rFonts w:ascii="Cambria Math" w:hAnsi="Cambria Math"/>
                    </w:rPr>
                    <m:t>+</m:t>
                  </m:r>
                  <m:sSub>
                    <m:sSubPr>
                      <m:ctrlPr>
                        <w:rPr>
                          <w:rFonts w:ascii="Cambria Math" w:hAnsi="Cambria Math"/>
                          <w:i/>
                        </w:rPr>
                      </m:ctrlPr>
                    </m:sSubPr>
                    <m:e>
                      <m:r>
                        <w:rPr>
                          <w:rFonts w:ascii="Cambria Math" w:hAnsi="Cambria Math"/>
                        </w:rPr>
                        <m:t>μ</m:t>
                      </m:r>
                    </m:e>
                    <m:sub>
                      <m:r>
                        <w:rPr>
                          <w:rFonts w:ascii="Cambria Math" w:hAnsi="Cambria Math"/>
                        </w:rPr>
                        <m:t>j</m:t>
                      </m:r>
                    </m:sub>
                  </m:sSub>
                </m:den>
              </m:f>
            </m:e>
          </m:nary>
        </m:oMath>
      </m:oMathPara>
    </w:p>
    <w:p w:rsidR="00231227" w:rsidRDefault="00231227" w:rsidP="00AD3622">
      <w:r>
        <w:t xml:space="preserve">where </w:t>
      </w:r>
      <w:r>
        <w:rPr>
          <w:i/>
        </w:rPr>
        <w:t>d</w:t>
      </w:r>
      <w:r>
        <w:rPr>
          <w:vertAlign w:val="subscript"/>
        </w:rPr>
        <w:t>–1</w:t>
      </w:r>
      <w:r>
        <w:rPr>
          <w:vertAlign w:val="superscript"/>
        </w:rPr>
        <w:t xml:space="preserve"> </w:t>
      </w:r>
      <w:r>
        <w:t xml:space="preserve">= 1. To make the size of the population equal to 1, we need to set </w:t>
      </w:r>
      <w:r>
        <w:sym w:font="Symbol" w:char="F04C"/>
      </w:r>
      <w:r>
        <w:t xml:space="preserve"> as</w:t>
      </w:r>
    </w:p>
    <w:p w:rsidR="00231227" w:rsidRDefault="0041376C" w:rsidP="00AD3622">
      <m:oMathPara>
        <m:oMath>
          <m:r>
            <m:rPr>
              <m:sty m:val="p"/>
            </m:rPr>
            <w:rPr>
              <w:rFonts w:ascii="Cambria Math" w:hAnsi="Cambria Math"/>
            </w:rPr>
            <m:t>Λ</m:t>
          </m:r>
          <m:r>
            <w:rPr>
              <w:rFonts w:ascii="Cambria Math" w:hAnsi="Cambria Math"/>
            </w:rPr>
            <m:t>=(</m:t>
          </m:r>
          <m:sSub>
            <m:sSubPr>
              <m:ctrlPr>
                <w:rPr>
                  <w:rFonts w:ascii="Cambria Math" w:hAnsi="Cambria Math"/>
                  <w:i/>
                </w:rPr>
              </m:ctrlPr>
            </m:sSubPr>
            <m:e>
              <m:r>
                <w:rPr>
                  <w:rFonts w:ascii="Cambria Math" w:hAnsi="Cambria Math"/>
                </w:rPr>
                <m:t>μ</m:t>
              </m:r>
            </m:e>
            <m:sub>
              <m:r>
                <w:rPr>
                  <w:rFonts w:ascii="Cambria Math" w:hAnsi="Cambria Math"/>
                </w:rPr>
                <m:t>0</m:t>
              </m:r>
            </m:sub>
          </m:sSub>
          <m:r>
            <w:rPr>
              <w:rFonts w:ascii="Cambria Math" w:hAnsi="Cambria Math"/>
            </w:rPr>
            <m:t>+</m:t>
          </m:r>
          <m:sSub>
            <m:sSubPr>
              <m:ctrlPr>
                <w:rPr>
                  <w:rFonts w:ascii="Cambria Math" w:hAnsi="Cambria Math"/>
                  <w:i/>
                </w:rPr>
              </m:ctrlPr>
            </m:sSubPr>
            <m:e>
              <m:r>
                <w:rPr>
                  <w:rFonts w:ascii="Cambria Math" w:hAnsi="Cambria Math"/>
                </w:rPr>
                <m:t>d</m:t>
              </m:r>
            </m:e>
            <m:sub>
              <m:r>
                <w:rPr>
                  <w:rFonts w:ascii="Cambria Math" w:hAnsi="Cambria Math"/>
                </w:rPr>
                <m:t>0</m:t>
              </m:r>
            </m:sub>
          </m:sSub>
          <m:r>
            <w:rPr>
              <w:rFonts w:ascii="Cambria Math" w:hAnsi="Cambria Math"/>
            </w:rPr>
            <m:t>)</m:t>
          </m:r>
          <m:sSup>
            <m:sSupPr>
              <m:ctrlPr>
                <w:rPr>
                  <w:rFonts w:ascii="Cambria Math" w:hAnsi="Cambria Math"/>
                  <w:i/>
                </w:rPr>
              </m:ctrlPr>
            </m:sSupPr>
            <m:e>
              <m:d>
                <m:dPr>
                  <m:ctrlPr>
                    <w:rPr>
                      <w:rFonts w:ascii="Cambria Math" w:hAnsi="Cambria Math"/>
                      <w:i/>
                    </w:rPr>
                  </m:ctrlPr>
                </m:dPr>
                <m:e>
                  <m:r>
                    <w:rPr>
                      <w:rFonts w:ascii="Cambria Math" w:hAnsi="Cambria Math"/>
                    </w:rPr>
                    <m:t>1+</m:t>
                  </m:r>
                  <m:nary>
                    <m:naryPr>
                      <m:chr m:val="∑"/>
                      <m:limLoc m:val="undOvr"/>
                      <m:ctrlPr>
                        <w:rPr>
                          <w:rFonts w:ascii="Cambria Math" w:hAnsi="Cambria Math"/>
                          <w:i/>
                        </w:rPr>
                      </m:ctrlPr>
                    </m:naryPr>
                    <m:sub>
                      <m:r>
                        <w:rPr>
                          <w:rFonts w:ascii="Cambria Math" w:hAnsi="Cambria Math"/>
                        </w:rPr>
                        <m:t>i=1</m:t>
                      </m:r>
                    </m:sub>
                    <m:sup>
                      <m:r>
                        <w:rPr>
                          <w:rFonts w:ascii="Cambria Math" w:hAnsi="Cambria Math"/>
                        </w:rPr>
                        <m:t>100</m:t>
                      </m:r>
                    </m:sup>
                    <m:e>
                      <m:nary>
                        <m:naryPr>
                          <m:chr m:val="∏"/>
                          <m:limLoc m:val="undOvr"/>
                          <m:ctrlPr>
                            <w:rPr>
                              <w:rFonts w:ascii="Cambria Math" w:hAnsi="Cambria Math"/>
                              <w:i/>
                            </w:rPr>
                          </m:ctrlPr>
                        </m:naryPr>
                        <m:sub>
                          <m:r>
                            <w:rPr>
                              <w:rFonts w:ascii="Cambria Math" w:hAnsi="Cambria Math"/>
                            </w:rPr>
                            <m:t>j=1</m:t>
                          </m:r>
                        </m:sub>
                        <m:sup>
                          <m:r>
                            <w:rPr>
                              <w:rFonts w:ascii="Cambria Math" w:hAnsi="Cambria Math"/>
                            </w:rPr>
                            <m:t>i</m:t>
                          </m:r>
                        </m:sup>
                        <m:e>
                          <m:f>
                            <m:fPr>
                              <m:ctrlPr>
                                <w:rPr>
                                  <w:rFonts w:ascii="Cambria Math" w:hAnsi="Cambria Math"/>
                                  <w:i/>
                                </w:rPr>
                              </m:ctrlPr>
                            </m:fPr>
                            <m:num>
                              <m:sSub>
                                <m:sSubPr>
                                  <m:ctrlPr>
                                    <w:rPr>
                                      <w:rFonts w:ascii="Cambria Math" w:hAnsi="Cambria Math"/>
                                      <w:i/>
                                    </w:rPr>
                                  </m:ctrlPr>
                                </m:sSubPr>
                                <m:e>
                                  <m:r>
                                    <w:rPr>
                                      <w:rFonts w:ascii="Cambria Math" w:hAnsi="Cambria Math"/>
                                    </w:rPr>
                                    <m:t>d</m:t>
                                  </m:r>
                                </m:e>
                                <m:sub>
                                  <m:r>
                                    <w:rPr>
                                      <w:rFonts w:ascii="Cambria Math" w:hAnsi="Cambria Math"/>
                                    </w:rPr>
                                    <m:t>j-1</m:t>
                                  </m:r>
                                </m:sub>
                              </m:sSub>
                            </m:num>
                            <m:den>
                              <m:sSub>
                                <m:sSubPr>
                                  <m:ctrlPr>
                                    <w:rPr>
                                      <w:rFonts w:ascii="Cambria Math" w:hAnsi="Cambria Math"/>
                                      <w:i/>
                                    </w:rPr>
                                  </m:ctrlPr>
                                </m:sSubPr>
                                <m:e>
                                  <m:r>
                                    <w:rPr>
                                      <w:rFonts w:ascii="Cambria Math" w:hAnsi="Cambria Math"/>
                                    </w:rPr>
                                    <m:t>d</m:t>
                                  </m:r>
                                </m:e>
                                <m:sub>
                                  <m:r>
                                    <w:rPr>
                                      <w:rFonts w:ascii="Cambria Math" w:hAnsi="Cambria Math"/>
                                    </w:rPr>
                                    <m:t>j</m:t>
                                  </m:r>
                                </m:sub>
                              </m:sSub>
                              <m:r>
                                <w:rPr>
                                  <w:rFonts w:ascii="Cambria Math" w:hAnsi="Cambria Math"/>
                                </w:rPr>
                                <m:t>+</m:t>
                              </m:r>
                              <m:sSub>
                                <m:sSubPr>
                                  <m:ctrlPr>
                                    <w:rPr>
                                      <w:rFonts w:ascii="Cambria Math" w:hAnsi="Cambria Math"/>
                                      <w:i/>
                                    </w:rPr>
                                  </m:ctrlPr>
                                </m:sSubPr>
                                <m:e>
                                  <m:r>
                                    <w:rPr>
                                      <w:rFonts w:ascii="Cambria Math" w:hAnsi="Cambria Math"/>
                                    </w:rPr>
                                    <m:t>μ</m:t>
                                  </m:r>
                                </m:e>
                                <m:sub>
                                  <m:r>
                                    <w:rPr>
                                      <w:rFonts w:ascii="Cambria Math" w:hAnsi="Cambria Math"/>
                                    </w:rPr>
                                    <m:t>j</m:t>
                                  </m:r>
                                </m:sub>
                              </m:sSub>
                            </m:den>
                          </m:f>
                        </m:e>
                      </m:nary>
                    </m:e>
                  </m:nary>
                </m:e>
              </m:d>
            </m:e>
            <m:sup>
              <m:r>
                <w:rPr>
                  <w:rFonts w:ascii="Cambria Math" w:hAnsi="Cambria Math"/>
                </w:rPr>
                <m:t>-1</m:t>
              </m:r>
            </m:sup>
          </m:sSup>
        </m:oMath>
      </m:oMathPara>
    </w:p>
    <w:p w:rsidR="008C024D" w:rsidRDefault="008C024D" w:rsidP="00AD3622">
      <w:pPr>
        <w:pStyle w:val="Heading1"/>
      </w:pPr>
      <w:r>
        <w:t>The epidemiologic model</w:t>
      </w:r>
    </w:p>
    <w:p w:rsidR="00CD05B0" w:rsidRDefault="008C024D" w:rsidP="00AD3622">
      <w:r>
        <w:t>The age-structured epidemiologic model describing the transmission dynamics of hepatitis A virus infections follows an MSEIR (maternal-susceptible-exposed-infectious-recovered) compartmental structure</w:t>
      </w:r>
      <w:r w:rsidR="0041376C">
        <w:fldChar w:fldCharType="begin" w:fldLock="1"/>
      </w:r>
      <w:r w:rsidR="00022FAF">
        <w:instrText>ADDIN CSL_CITATION { "citationItems" : [ { "id" : "ITEM-1", "itemData" : { "author" : [ { "dropping-particle" : "", "family" : "Hethcote", "given" : "Herbert W", "non-dropping-particle" : "", "parse-names" : false, "suffix" : "" } ], "container-title" : "SIAM Review", "id" : "ITEM-1", "issue" : "4", "issued" : { "date-parts" : [ [ "2000" ] ] }, "page" : "599-653", "title" : "The Mathematics of Infectious Diseases", "type" : "article-journal", "volume" : "42" }, "uris" : [ "http://www.mendeley.com/documents/?uuid=0e43b0ea-33c4-420e-858a-e6b0c4d6ec90" ] } ], "mendeley" : { "formattedCitation" : "[4]", "plainTextFormattedCitation" : "[4]", "previouslyFormattedCitation" : "[4]" }, "properties" : { "noteIndex" : 0 }, "schema" : "https://github.com/citation-style-language/schema/raw/master/csl-citation.json" }</w:instrText>
      </w:r>
      <w:r w:rsidR="0041376C">
        <w:fldChar w:fldCharType="separate"/>
      </w:r>
      <w:r w:rsidR="0041376C" w:rsidRPr="0041376C">
        <w:rPr>
          <w:noProof/>
        </w:rPr>
        <w:t>[4]</w:t>
      </w:r>
      <w:r w:rsidR="0041376C">
        <w:fldChar w:fldCharType="end"/>
      </w:r>
      <w:r>
        <w:t xml:space="preserve">  (</w:t>
      </w:r>
      <w:r w:rsidR="00CD05B0">
        <w:fldChar w:fldCharType="begin"/>
      </w:r>
      <w:r w:rsidR="00CD05B0">
        <w:instrText xml:space="preserve"> REF _Ref430687623 \h </w:instrText>
      </w:r>
      <w:r w:rsidR="00AD3622">
        <w:instrText xml:space="preserve"> \* MERGEFORMAT </w:instrText>
      </w:r>
      <w:r w:rsidR="00CD05B0">
        <w:fldChar w:fldCharType="separate"/>
      </w:r>
      <w:r w:rsidR="00722964" w:rsidRPr="00722964">
        <w:t>Figure S1</w:t>
      </w:r>
      <w:r w:rsidR="00CD05B0">
        <w:fldChar w:fldCharType="end"/>
      </w:r>
      <w:r>
        <w:t xml:space="preserve">). The model assumes that all infants are born in the </w:t>
      </w:r>
      <w:r>
        <w:rPr>
          <w:i/>
          <w:iCs/>
        </w:rPr>
        <w:t xml:space="preserve">M </w:t>
      </w:r>
      <w:r>
        <w:t xml:space="preserve">class and are protected by maternal antibodies. After the maternal antibodies wanes, the infants move to the susceptible class </w:t>
      </w:r>
      <w:r>
        <w:rPr>
          <w:i/>
          <w:iCs/>
        </w:rPr>
        <w:t>S</w:t>
      </w:r>
      <w:r>
        <w:t xml:space="preserve"> at rate</w:t>
      </w:r>
      <w:r w:rsidR="00CD05B0">
        <w:t xml:space="preserve"> </w:t>
      </w:r>
      <w:r>
        <w:rPr>
          <w:i/>
          <w:iCs/>
        </w:rPr>
        <w:sym w:font="Symbol" w:char="F078"/>
      </w:r>
      <w:r>
        <w:t xml:space="preserve">. A fraction of susceptible persons are exposed to infection at an age-specific and time-dependent rate </w:t>
      </w:r>
      <w:r>
        <w:rPr>
          <w:i/>
          <w:iCs/>
        </w:rPr>
        <w:sym w:font="Symbol" w:char="F06C"/>
      </w:r>
      <w:r>
        <w:t xml:space="preserve"> (per capita force of infection) and enter the exposed compartment. The rate at which persons of a given age class, at a given time are exposed </w:t>
      </w:r>
      <w:r w:rsidR="00CD05B0">
        <w:t xml:space="preserve">to </w:t>
      </w:r>
      <w:r>
        <w:t>infection depends on the number of contacts, the fraction of infected contacts, the transmission probability per contact, and the nature of mixing between different age groups. The contact pattern is governed by a conditional probability mixing matrix. Each cell in the mixing matrix represents the probability of a person of a given age class having adequate contact with a person in an</w:t>
      </w:r>
      <w:r w:rsidR="00142603">
        <w:t xml:space="preserve">other age class. </w:t>
      </w:r>
    </w:p>
    <w:p w:rsidR="008C024D" w:rsidRDefault="008C024D" w:rsidP="00AD3622">
      <w:r>
        <w:t xml:space="preserve">After a latent period, exposed persons can become infectious at </w:t>
      </w:r>
      <w:r w:rsidR="00142603">
        <w:t>rate</w:t>
      </w:r>
      <w:r>
        <w:rPr>
          <w:i/>
          <w:iCs/>
        </w:rPr>
        <w:sym w:font="Symbol" w:char="F064"/>
      </w:r>
      <w:r>
        <w:t xml:space="preserve">. Infection can be either symptomatic according to the age-specific probability </w:t>
      </w:r>
      <w:r>
        <w:rPr>
          <w:i/>
          <w:iCs/>
        </w:rPr>
        <w:sym w:font="Symbol" w:char="F061"/>
      </w:r>
      <w:r>
        <w:rPr>
          <w:i/>
          <w:iCs/>
          <w:vertAlign w:val="subscript"/>
        </w:rPr>
        <w:t>j</w:t>
      </w:r>
      <w:r>
        <w:t xml:space="preserve"> </w:t>
      </w:r>
      <w:r w:rsidR="00CD05B0">
        <w:t xml:space="preserve">or </w:t>
      </w:r>
      <w:r>
        <w:t>remain asymptomatic with probability 1–</w:t>
      </w:r>
      <w:r>
        <w:rPr>
          <w:i/>
          <w:iCs/>
        </w:rPr>
        <w:sym w:font="Symbol" w:char="F061"/>
      </w:r>
      <w:r>
        <w:rPr>
          <w:i/>
          <w:iCs/>
          <w:vertAlign w:val="subscript"/>
        </w:rPr>
        <w:t>j</w:t>
      </w:r>
      <w:r>
        <w:t xml:space="preserve">. Patients with symptoms are hospitalized (with probability </w:t>
      </w:r>
      <w:r>
        <w:rPr>
          <w:i/>
          <w:iCs/>
        </w:rPr>
        <w:sym w:font="Symbol" w:char="F065"/>
      </w:r>
      <w:r>
        <w:rPr>
          <w:i/>
          <w:iCs/>
          <w:vertAlign w:val="subscript"/>
        </w:rPr>
        <w:t xml:space="preserve"> j</w:t>
      </w:r>
      <w:r>
        <w:t xml:space="preserve">), can become fulminant (with probability </w:t>
      </w:r>
      <w:r>
        <w:rPr>
          <w:i/>
          <w:iCs/>
        </w:rPr>
        <w:sym w:font="Symbol" w:char="F068"/>
      </w:r>
      <w:r>
        <w:rPr>
          <w:i/>
          <w:iCs/>
          <w:vertAlign w:val="subscript"/>
        </w:rPr>
        <w:t>j</w:t>
      </w:r>
      <w:r>
        <w:t xml:space="preserve">), may require a liver transplantation (with probability </w:t>
      </w:r>
      <w:r>
        <w:rPr>
          <w:i/>
          <w:iCs/>
        </w:rPr>
        <w:sym w:font="Symbol" w:char="F06E"/>
      </w:r>
      <w:r>
        <w:rPr>
          <w:i/>
          <w:iCs/>
          <w:vertAlign w:val="subscript"/>
        </w:rPr>
        <w:t xml:space="preserve"> j</w:t>
      </w:r>
      <w:r>
        <w:t xml:space="preserve">), die from Hepatitis A virus infection (with probability </w:t>
      </w:r>
      <w:r>
        <w:rPr>
          <w:i/>
          <w:iCs/>
        </w:rPr>
        <w:sym w:font="Symbol" w:char="F056"/>
      </w:r>
      <w:r>
        <w:rPr>
          <w:i/>
          <w:iCs/>
          <w:vertAlign w:val="subscript"/>
        </w:rPr>
        <w:t>j</w:t>
      </w:r>
      <w:r>
        <w:t>), or treated as outpatient (with probability 1–</w:t>
      </w:r>
      <w:r>
        <w:rPr>
          <w:i/>
          <w:iCs/>
        </w:rPr>
        <w:sym w:font="Symbol" w:char="F065"/>
      </w:r>
      <w:r>
        <w:rPr>
          <w:i/>
          <w:iCs/>
          <w:vertAlign w:val="subscript"/>
        </w:rPr>
        <w:t xml:space="preserve"> j</w:t>
      </w:r>
      <w:r>
        <w:t>–</w:t>
      </w:r>
      <w:r>
        <w:rPr>
          <w:i/>
          <w:iCs/>
        </w:rPr>
        <w:sym w:font="Symbol" w:char="F068"/>
      </w:r>
      <w:r>
        <w:rPr>
          <w:i/>
          <w:iCs/>
          <w:vertAlign w:val="subscript"/>
        </w:rPr>
        <w:t xml:space="preserve"> j</w:t>
      </w:r>
      <w:r>
        <w:t>–</w:t>
      </w:r>
      <w:r>
        <w:rPr>
          <w:i/>
          <w:iCs/>
        </w:rPr>
        <w:sym w:font="Symbol" w:char="F06E"/>
      </w:r>
      <w:r>
        <w:rPr>
          <w:i/>
          <w:iCs/>
          <w:vertAlign w:val="subscript"/>
        </w:rPr>
        <w:t xml:space="preserve"> j</w:t>
      </w:r>
      <w:r>
        <w:t>–</w:t>
      </w:r>
      <w:r>
        <w:rPr>
          <w:i/>
          <w:iCs/>
        </w:rPr>
        <w:sym w:font="Symbol" w:char="F056"/>
      </w:r>
      <w:r>
        <w:rPr>
          <w:i/>
          <w:iCs/>
          <w:vertAlign w:val="subscript"/>
        </w:rPr>
        <w:t>j</w:t>
      </w:r>
      <w:r>
        <w:t xml:space="preserve">). To account for differential </w:t>
      </w:r>
      <w:r>
        <w:lastRenderedPageBreak/>
        <w:t xml:space="preserve">mortality, costs, and quality of life during the period immediately following transplantations, we subdivided this health state into two: first year and subsequent years. Infected persons can clear their infection (at rate </w:t>
      </w:r>
      <w:r>
        <w:rPr>
          <w:i/>
          <w:iCs/>
        </w:rPr>
        <w:sym w:font="Symbol" w:char="F073"/>
      </w:r>
      <w:r>
        <w:rPr>
          <w:i/>
          <w:iCs/>
          <w:vertAlign w:val="subscript"/>
        </w:rPr>
        <w:t xml:space="preserve"> j</w:t>
      </w:r>
      <w:r>
        <w:t>) and move to the recovered compartment with lifelong immunity. The recovery rate depends on the infectious class.</w:t>
      </w:r>
    </w:p>
    <w:p w:rsidR="008C024D" w:rsidRDefault="008C024D" w:rsidP="00AD3622"/>
    <w:p w:rsidR="008C024D" w:rsidRDefault="008C024D" w:rsidP="00AD3622">
      <w:r>
        <w:t xml:space="preserve">Vaccinated persons leave the susceptible compartment (at a given age-specific vaccination rate </w:t>
      </w:r>
      <w:r>
        <w:rPr>
          <w:i/>
          <w:iCs/>
        </w:rPr>
        <w:sym w:font="Symbol" w:char="F066"/>
      </w:r>
      <w:r>
        <w:rPr>
          <w:i/>
          <w:iCs/>
          <w:vertAlign w:val="subscript"/>
        </w:rPr>
        <w:t>j</w:t>
      </w:r>
      <w:r>
        <w:t xml:space="preserve">) and enter the vaccinated compartment and remain there until they die or their immunity wanes (at </w:t>
      </w:r>
      <w:r w:rsidR="00142603">
        <w:t>rate</w:t>
      </w:r>
      <w:r>
        <w:rPr>
          <w:i/>
          <w:iCs/>
        </w:rPr>
        <w:sym w:font="Symbol" w:char="F067"/>
      </w:r>
      <w:r>
        <w:t>). The model</w:t>
      </w:r>
      <w:r w:rsidR="00142603">
        <w:t xml:space="preserve"> assumes that only a fraction, </w:t>
      </w:r>
      <w:r>
        <w:sym w:font="Symbol" w:char="F06A"/>
      </w:r>
      <w:r w:rsidR="00142603">
        <w:t>,</w:t>
      </w:r>
      <w:r>
        <w:t xml:space="preserve"> of infants receiving the first dose will go on to receive the second dose. Efficacy is assumed to be </w:t>
      </w:r>
      <w:r>
        <w:rPr>
          <w:i/>
          <w:iCs/>
        </w:rPr>
        <w:sym w:font="Symbol" w:char="F079"/>
      </w:r>
      <w:r>
        <w:rPr>
          <w:vertAlign w:val="subscript"/>
        </w:rPr>
        <w:t>1</w:t>
      </w:r>
      <w:r>
        <w:t xml:space="preserve"> and </w:t>
      </w:r>
      <w:r>
        <w:rPr>
          <w:i/>
          <w:iCs/>
        </w:rPr>
        <w:sym w:font="Symbol" w:char="F079"/>
      </w:r>
      <w:r>
        <w:rPr>
          <w:vertAlign w:val="subscript"/>
        </w:rPr>
        <w:t>2</w:t>
      </w:r>
      <w:r>
        <w:t xml:space="preserve"> for the first-dose only and complete two-dose series, respectively.</w:t>
      </w:r>
    </w:p>
    <w:p w:rsidR="00CD05B0" w:rsidRDefault="00CD05B0" w:rsidP="00AD3622">
      <w:r>
        <w:t>The model consists of the following ODEs:</w:t>
      </w:r>
    </w:p>
    <w:p w:rsidR="00CD05B0" w:rsidRDefault="00B15263" w:rsidP="00CD05B0">
      <w:pPr>
        <w:pStyle w:val="BodyText"/>
        <w:spacing w:line="480" w:lineRule="auto"/>
        <w:jc w:val="center"/>
        <w:rPr>
          <w:rFonts w:ascii="Times New Roman" w:hAnsi="Times New Roman" w:cs="Times New Roman"/>
        </w:rPr>
      </w:pPr>
      <w:r w:rsidRPr="00DB0EB8">
        <w:rPr>
          <w:rFonts w:ascii="Times New Roman" w:hAnsi="Times New Roman" w:cs="Times New Roman"/>
          <w:position w:val="-246"/>
        </w:rPr>
        <w:object w:dxaOrig="7240" w:dyaOrig="10160" w14:anchorId="0CC6FAA1">
          <v:shape id="_x0000_i1027" type="#_x0000_t75" style="width:362.25pt;height:507.75pt" o:ole="">
            <v:imagedata r:id="rId13" o:title=""/>
          </v:shape>
          <o:OLEObject Type="Embed" ProgID="Equation.3" ShapeID="_x0000_i1027" DrawAspect="Content" ObjectID="_1580737737" r:id="rId14"/>
        </w:object>
      </w:r>
    </w:p>
    <w:p w:rsidR="00420A71" w:rsidRDefault="00B15263" w:rsidP="00AD3622">
      <w:pPr>
        <w:pStyle w:val="NoSpacing"/>
      </w:pPr>
      <w:r>
        <w:t xml:space="preserve">With </w:t>
      </w:r>
      <m:oMath>
        <m:r>
          <w:rPr>
            <w:rFonts w:ascii="Cambria Math" w:hAnsi="Cambria Math"/>
          </w:rPr>
          <m:t>i=1,  2, . . ., 100</m:t>
        </m:r>
      </m:oMath>
      <w:r w:rsidR="00DC5AE7">
        <w:t xml:space="preserve">.  The definition of parameters and variables are given in </w:t>
      </w:r>
      <w:r w:rsidR="00420A71">
        <w:fldChar w:fldCharType="begin"/>
      </w:r>
      <w:r w:rsidR="00420A71">
        <w:instrText xml:space="preserve"> REF _Ref430781892 \h </w:instrText>
      </w:r>
      <w:r w:rsidR="00AD3622">
        <w:instrText xml:space="preserve"> \* MERGEFORMAT </w:instrText>
      </w:r>
      <w:r w:rsidR="00420A71">
        <w:fldChar w:fldCharType="separate"/>
      </w:r>
      <w:r w:rsidR="00722964">
        <w:t>Table S1</w:t>
      </w:r>
      <w:r w:rsidR="00420A71">
        <w:fldChar w:fldCharType="end"/>
      </w:r>
      <w:r w:rsidR="00420A71">
        <w:t>.</w:t>
      </w:r>
    </w:p>
    <w:p w:rsidR="00AD3622" w:rsidRDefault="00AD3622" w:rsidP="00AD3622">
      <w:pPr>
        <w:pStyle w:val="NoSpacing"/>
      </w:pPr>
    </w:p>
    <w:p w:rsidR="00AD3622" w:rsidRDefault="00AD3622">
      <w:pPr>
        <w:spacing w:line="276" w:lineRule="auto"/>
      </w:pPr>
      <w:r>
        <w:br w:type="page"/>
      </w:r>
    </w:p>
    <w:p w:rsidR="00AD3622" w:rsidRDefault="00AD3622" w:rsidP="00AD3622">
      <w:pPr>
        <w:pStyle w:val="NoSpacing"/>
      </w:pPr>
    </w:p>
    <w:p w:rsidR="00420A71" w:rsidRDefault="00420A71" w:rsidP="00420A71">
      <w:pPr>
        <w:pStyle w:val="Caption"/>
        <w:keepNext/>
      </w:pPr>
      <w:bookmarkStart w:id="0" w:name="_Ref430781892"/>
      <w:r>
        <w:t xml:space="preserve">Table </w:t>
      </w:r>
      <w:r w:rsidR="00490897">
        <w:t>S</w:t>
      </w:r>
      <w:r w:rsidR="00DE10EC">
        <w:fldChar w:fldCharType="begin"/>
      </w:r>
      <w:r w:rsidR="00DE10EC">
        <w:instrText xml:space="preserve"> SEQ Table \* ARABIC </w:instrText>
      </w:r>
      <w:r w:rsidR="00DE10EC">
        <w:fldChar w:fldCharType="separate"/>
      </w:r>
      <w:r w:rsidR="00722964">
        <w:rPr>
          <w:noProof/>
        </w:rPr>
        <w:t>1</w:t>
      </w:r>
      <w:r w:rsidR="00DE10EC">
        <w:rPr>
          <w:noProof/>
        </w:rPr>
        <w:fldChar w:fldCharType="end"/>
      </w:r>
      <w:bookmarkEnd w:id="0"/>
      <w:r w:rsidR="00AD3622">
        <w:rPr>
          <w:noProof/>
        </w:rPr>
        <w:t>:  Definition of model variables and parameters</w:t>
      </w:r>
    </w:p>
    <w:tbl>
      <w:tblPr>
        <w:tblStyle w:val="LightShading"/>
        <w:tblW w:w="9735" w:type="dxa"/>
        <w:tblInd w:w="0" w:type="dxa"/>
        <w:tblLayout w:type="fixed"/>
        <w:tblLook w:val="04A0" w:firstRow="1" w:lastRow="0" w:firstColumn="1" w:lastColumn="0" w:noHBand="0" w:noVBand="1"/>
      </w:tblPr>
      <w:tblGrid>
        <w:gridCol w:w="1548"/>
        <w:gridCol w:w="8187"/>
      </w:tblGrid>
      <w:tr w:rsidR="00DC5AE7" w:rsidTr="00420A7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48" w:type="dxa"/>
            <w:vAlign w:val="center"/>
            <w:hideMark/>
          </w:tcPr>
          <w:p w:rsidR="00DC5AE7" w:rsidRDefault="00DC5AE7" w:rsidP="00AD3622">
            <w:pPr>
              <w:pStyle w:val="NoSpacing"/>
              <w:rPr>
                <w:rFonts w:eastAsia="Batang"/>
                <w:lang w:eastAsia="ko-KR"/>
              </w:rPr>
            </w:pPr>
            <w:r>
              <w:t>Symbol</w:t>
            </w:r>
          </w:p>
        </w:tc>
        <w:tc>
          <w:tcPr>
            <w:tcW w:w="8187" w:type="dxa"/>
            <w:vAlign w:val="center"/>
            <w:hideMark/>
          </w:tcPr>
          <w:p w:rsidR="00DC5AE7" w:rsidRDefault="00DC5AE7" w:rsidP="00AD3622">
            <w:pPr>
              <w:pStyle w:val="NoSpacing"/>
              <w:cnfStyle w:val="100000000000" w:firstRow="1" w:lastRow="0" w:firstColumn="0" w:lastColumn="0" w:oddVBand="0" w:evenVBand="0" w:oddHBand="0" w:evenHBand="0" w:firstRowFirstColumn="0" w:firstRowLastColumn="0" w:lastRowFirstColumn="0" w:lastRowLastColumn="0"/>
              <w:rPr>
                <w:rFonts w:eastAsia="Batang"/>
                <w:lang w:eastAsia="ko-KR"/>
              </w:rPr>
            </w:pPr>
            <w:r>
              <w:t>Definition</w:t>
            </w:r>
          </w:p>
        </w:tc>
      </w:tr>
      <w:tr w:rsidR="00DC5AE7" w:rsidTr="00420A71">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1548" w:type="dxa"/>
            <w:tcBorders>
              <w:top w:val="nil"/>
              <w:bottom w:val="nil"/>
            </w:tcBorders>
            <w:vAlign w:val="center"/>
            <w:hideMark/>
          </w:tcPr>
          <w:p w:rsidR="00DC5AE7" w:rsidRDefault="00DC5AE7" w:rsidP="00AD3622">
            <w:pPr>
              <w:pStyle w:val="NoSpacing"/>
              <w:rPr>
                <w:rFonts w:eastAsia="Batang"/>
                <w:lang w:eastAsia="ko-KR"/>
              </w:rPr>
            </w:pPr>
            <w:r>
              <w:t>Variables</w:t>
            </w:r>
          </w:p>
        </w:tc>
        <w:tc>
          <w:tcPr>
            <w:tcW w:w="8187" w:type="dxa"/>
            <w:tcBorders>
              <w:top w:val="nil"/>
              <w:bottom w:val="nil"/>
            </w:tcBorders>
            <w:vAlign w:val="center"/>
          </w:tcPr>
          <w:p w:rsidR="00DC5AE7" w:rsidRDefault="00DC5AE7" w:rsidP="00AD3622">
            <w:pPr>
              <w:pStyle w:val="NoSpacing"/>
              <w:cnfStyle w:val="000000100000" w:firstRow="0" w:lastRow="0" w:firstColumn="0" w:lastColumn="0" w:oddVBand="0" w:evenVBand="0" w:oddHBand="1" w:evenHBand="0" w:firstRowFirstColumn="0" w:firstRowLastColumn="0" w:lastRowFirstColumn="0" w:lastRowLastColumn="0"/>
              <w:rPr>
                <w:rFonts w:eastAsia="Batang"/>
                <w:lang w:eastAsia="ko-KR"/>
              </w:rPr>
            </w:pPr>
          </w:p>
        </w:tc>
      </w:tr>
      <w:tr w:rsidR="00DC5AE7" w:rsidTr="00420A71">
        <w:trPr>
          <w:trHeight w:val="360"/>
        </w:trPr>
        <w:tc>
          <w:tcPr>
            <w:cnfStyle w:val="001000000000" w:firstRow="0" w:lastRow="0" w:firstColumn="1" w:lastColumn="0" w:oddVBand="0" w:evenVBand="0" w:oddHBand="0" w:evenHBand="0" w:firstRowFirstColumn="0" w:firstRowLastColumn="0" w:lastRowFirstColumn="0" w:lastRowLastColumn="0"/>
            <w:tcW w:w="1548" w:type="dxa"/>
            <w:tcBorders>
              <w:top w:val="nil"/>
              <w:left w:val="nil"/>
              <w:bottom w:val="nil"/>
              <w:right w:val="nil"/>
            </w:tcBorders>
            <w:vAlign w:val="center"/>
            <w:hideMark/>
          </w:tcPr>
          <w:p w:rsidR="00DC5AE7" w:rsidRDefault="00DC5AE7" w:rsidP="00AD3622">
            <w:pPr>
              <w:pStyle w:val="NoSpacing"/>
              <w:rPr>
                <w:rFonts w:eastAsia="Batang"/>
                <w:b w:val="0"/>
                <w:bCs w:val="0"/>
                <w:lang w:eastAsia="ko-KR"/>
              </w:rPr>
            </w:pPr>
            <w:r>
              <w:rPr>
                <w:b w:val="0"/>
                <w:bCs w:val="0"/>
                <w:i/>
                <w:iCs/>
              </w:rPr>
              <w:t>N</w:t>
            </w:r>
            <w:r>
              <w:rPr>
                <w:b w:val="0"/>
                <w:bCs w:val="0"/>
                <w:i/>
                <w:iCs/>
                <w:vertAlign w:val="subscript"/>
              </w:rPr>
              <w:t>i</w:t>
            </w:r>
          </w:p>
        </w:tc>
        <w:tc>
          <w:tcPr>
            <w:tcW w:w="8187" w:type="dxa"/>
            <w:tcBorders>
              <w:top w:val="nil"/>
              <w:left w:val="nil"/>
              <w:bottom w:val="nil"/>
              <w:right w:val="nil"/>
            </w:tcBorders>
            <w:vAlign w:val="center"/>
            <w:hideMark/>
          </w:tcPr>
          <w:p w:rsidR="00DC5AE7" w:rsidRDefault="00DC5AE7" w:rsidP="00AD3622">
            <w:pPr>
              <w:pStyle w:val="NoSpacing"/>
              <w:cnfStyle w:val="000000000000" w:firstRow="0" w:lastRow="0" w:firstColumn="0" w:lastColumn="0" w:oddVBand="0" w:evenVBand="0" w:oddHBand="0" w:evenHBand="0" w:firstRowFirstColumn="0" w:firstRowLastColumn="0" w:lastRowFirstColumn="0" w:lastRowLastColumn="0"/>
              <w:rPr>
                <w:rFonts w:eastAsia="Batang"/>
                <w:i/>
                <w:iCs/>
                <w:lang w:eastAsia="ko-KR"/>
              </w:rPr>
            </w:pPr>
            <w:r>
              <w:t xml:space="preserve">Number of persons in age group </w:t>
            </w:r>
            <w:r>
              <w:rPr>
                <w:i/>
                <w:iCs/>
              </w:rPr>
              <w:t>i</w:t>
            </w:r>
          </w:p>
        </w:tc>
      </w:tr>
      <w:tr w:rsidR="00DC5AE7" w:rsidTr="00420A71">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1548" w:type="dxa"/>
            <w:tcBorders>
              <w:top w:val="nil"/>
              <w:bottom w:val="nil"/>
            </w:tcBorders>
            <w:vAlign w:val="center"/>
            <w:hideMark/>
          </w:tcPr>
          <w:p w:rsidR="00DC5AE7" w:rsidRDefault="00DC5AE7" w:rsidP="00AD3622">
            <w:pPr>
              <w:pStyle w:val="NoSpacing"/>
              <w:rPr>
                <w:rFonts w:eastAsia="Batang"/>
                <w:b w:val="0"/>
                <w:bCs w:val="0"/>
                <w:lang w:eastAsia="ko-KR"/>
              </w:rPr>
            </w:pPr>
            <w:r>
              <w:rPr>
                <w:b w:val="0"/>
                <w:bCs w:val="0"/>
                <w:i/>
                <w:iCs/>
              </w:rPr>
              <w:t>M</w:t>
            </w:r>
            <w:r>
              <w:rPr>
                <w:b w:val="0"/>
                <w:bCs w:val="0"/>
                <w:i/>
                <w:iCs/>
                <w:vertAlign w:val="subscript"/>
              </w:rPr>
              <w:t>i</w:t>
            </w:r>
          </w:p>
        </w:tc>
        <w:tc>
          <w:tcPr>
            <w:tcW w:w="8187" w:type="dxa"/>
            <w:tcBorders>
              <w:top w:val="nil"/>
              <w:bottom w:val="nil"/>
            </w:tcBorders>
            <w:vAlign w:val="center"/>
            <w:hideMark/>
          </w:tcPr>
          <w:p w:rsidR="00DC5AE7" w:rsidRDefault="00DC5AE7" w:rsidP="00AD3622">
            <w:pPr>
              <w:pStyle w:val="NoSpacing"/>
              <w:cnfStyle w:val="000000100000" w:firstRow="0" w:lastRow="0" w:firstColumn="0" w:lastColumn="0" w:oddVBand="0" w:evenVBand="0" w:oddHBand="1" w:evenHBand="0" w:firstRowFirstColumn="0" w:firstRowLastColumn="0" w:lastRowFirstColumn="0" w:lastRowLastColumn="0"/>
              <w:rPr>
                <w:rFonts w:eastAsia="Batang"/>
                <w:lang w:eastAsia="ko-KR"/>
              </w:rPr>
            </w:pPr>
            <w:r>
              <w:t xml:space="preserve">Number of persons in age group </w:t>
            </w:r>
            <w:r>
              <w:rPr>
                <w:i/>
                <w:iCs/>
              </w:rPr>
              <w:t>i</w:t>
            </w:r>
            <w:r>
              <w:t xml:space="preserve"> with maternal antibodies</w:t>
            </w:r>
          </w:p>
        </w:tc>
      </w:tr>
      <w:tr w:rsidR="00DC5AE7" w:rsidTr="00420A71">
        <w:trPr>
          <w:trHeight w:val="360"/>
        </w:trPr>
        <w:tc>
          <w:tcPr>
            <w:cnfStyle w:val="001000000000" w:firstRow="0" w:lastRow="0" w:firstColumn="1" w:lastColumn="0" w:oddVBand="0" w:evenVBand="0" w:oddHBand="0" w:evenHBand="0" w:firstRowFirstColumn="0" w:firstRowLastColumn="0" w:lastRowFirstColumn="0" w:lastRowLastColumn="0"/>
            <w:tcW w:w="1548" w:type="dxa"/>
            <w:tcBorders>
              <w:top w:val="nil"/>
              <w:left w:val="nil"/>
              <w:bottom w:val="nil"/>
              <w:right w:val="nil"/>
            </w:tcBorders>
            <w:vAlign w:val="center"/>
            <w:hideMark/>
          </w:tcPr>
          <w:p w:rsidR="00DC5AE7" w:rsidRDefault="00DC5AE7" w:rsidP="00AD3622">
            <w:pPr>
              <w:pStyle w:val="NoSpacing"/>
              <w:rPr>
                <w:rFonts w:eastAsia="Batang"/>
                <w:b w:val="0"/>
                <w:bCs w:val="0"/>
                <w:lang w:eastAsia="ko-KR"/>
              </w:rPr>
            </w:pPr>
            <w:r>
              <w:rPr>
                <w:b w:val="0"/>
                <w:bCs w:val="0"/>
                <w:i/>
                <w:iCs/>
              </w:rPr>
              <w:t>V</w:t>
            </w:r>
            <w:r>
              <w:rPr>
                <w:b w:val="0"/>
                <w:bCs w:val="0"/>
                <w:vertAlign w:val="subscript"/>
              </w:rPr>
              <w:t>1</w:t>
            </w:r>
            <w:r>
              <w:rPr>
                <w:b w:val="0"/>
                <w:bCs w:val="0"/>
                <w:i/>
                <w:iCs/>
                <w:vertAlign w:val="subscript"/>
              </w:rPr>
              <w:t>,i</w:t>
            </w:r>
          </w:p>
        </w:tc>
        <w:tc>
          <w:tcPr>
            <w:tcW w:w="8187" w:type="dxa"/>
            <w:tcBorders>
              <w:top w:val="nil"/>
              <w:left w:val="nil"/>
              <w:bottom w:val="nil"/>
              <w:right w:val="nil"/>
            </w:tcBorders>
            <w:vAlign w:val="center"/>
            <w:hideMark/>
          </w:tcPr>
          <w:p w:rsidR="00DC5AE7" w:rsidRDefault="00DC5AE7" w:rsidP="00AD3622">
            <w:pPr>
              <w:pStyle w:val="NoSpacing"/>
              <w:cnfStyle w:val="000000000000" w:firstRow="0" w:lastRow="0" w:firstColumn="0" w:lastColumn="0" w:oddVBand="0" w:evenVBand="0" w:oddHBand="0" w:evenHBand="0" w:firstRowFirstColumn="0" w:firstRowLastColumn="0" w:lastRowFirstColumn="0" w:lastRowLastColumn="0"/>
              <w:rPr>
                <w:rFonts w:eastAsia="Batang"/>
                <w:lang w:eastAsia="ko-KR"/>
              </w:rPr>
            </w:pPr>
            <w:r>
              <w:t xml:space="preserve">Number of persons in age group </w:t>
            </w:r>
            <w:r>
              <w:rPr>
                <w:i/>
                <w:iCs/>
              </w:rPr>
              <w:t>i</w:t>
            </w:r>
            <w:r>
              <w:t xml:space="preserve"> receiving 1 dose of the vaccine</w:t>
            </w:r>
          </w:p>
        </w:tc>
      </w:tr>
      <w:tr w:rsidR="00DC5AE7" w:rsidTr="00420A71">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1548" w:type="dxa"/>
            <w:tcBorders>
              <w:top w:val="nil"/>
              <w:bottom w:val="nil"/>
            </w:tcBorders>
            <w:vAlign w:val="center"/>
            <w:hideMark/>
          </w:tcPr>
          <w:p w:rsidR="00DC5AE7" w:rsidRDefault="00DC5AE7" w:rsidP="00AD3622">
            <w:pPr>
              <w:pStyle w:val="NoSpacing"/>
              <w:rPr>
                <w:rFonts w:eastAsia="Batang"/>
                <w:b w:val="0"/>
                <w:bCs w:val="0"/>
                <w:lang w:eastAsia="ko-KR"/>
              </w:rPr>
            </w:pPr>
            <w:r>
              <w:rPr>
                <w:b w:val="0"/>
                <w:bCs w:val="0"/>
                <w:i/>
                <w:iCs/>
              </w:rPr>
              <w:t>V</w:t>
            </w:r>
            <w:r>
              <w:rPr>
                <w:b w:val="0"/>
                <w:bCs w:val="0"/>
                <w:vertAlign w:val="subscript"/>
              </w:rPr>
              <w:t>2</w:t>
            </w:r>
            <w:r>
              <w:rPr>
                <w:b w:val="0"/>
                <w:bCs w:val="0"/>
                <w:i/>
                <w:iCs/>
                <w:vertAlign w:val="subscript"/>
              </w:rPr>
              <w:t>,i</w:t>
            </w:r>
          </w:p>
        </w:tc>
        <w:tc>
          <w:tcPr>
            <w:tcW w:w="8187" w:type="dxa"/>
            <w:tcBorders>
              <w:top w:val="nil"/>
              <w:bottom w:val="nil"/>
            </w:tcBorders>
            <w:vAlign w:val="center"/>
            <w:hideMark/>
          </w:tcPr>
          <w:p w:rsidR="00DC5AE7" w:rsidRDefault="00DC5AE7" w:rsidP="00AD3622">
            <w:pPr>
              <w:pStyle w:val="NoSpacing"/>
              <w:cnfStyle w:val="000000100000" w:firstRow="0" w:lastRow="0" w:firstColumn="0" w:lastColumn="0" w:oddVBand="0" w:evenVBand="0" w:oddHBand="1" w:evenHBand="0" w:firstRowFirstColumn="0" w:firstRowLastColumn="0" w:lastRowFirstColumn="0" w:lastRowLastColumn="0"/>
              <w:rPr>
                <w:rFonts w:eastAsia="Batang"/>
                <w:lang w:eastAsia="ko-KR"/>
              </w:rPr>
            </w:pPr>
            <w:r>
              <w:t xml:space="preserve">Number of persons in age group </w:t>
            </w:r>
            <w:r>
              <w:rPr>
                <w:i/>
                <w:iCs/>
              </w:rPr>
              <w:t>i</w:t>
            </w:r>
            <w:r>
              <w:t xml:space="preserve"> receiving 2 doses of the vaccine</w:t>
            </w:r>
          </w:p>
        </w:tc>
      </w:tr>
      <w:tr w:rsidR="00DC5AE7" w:rsidTr="00420A71">
        <w:trPr>
          <w:trHeight w:val="360"/>
        </w:trPr>
        <w:tc>
          <w:tcPr>
            <w:cnfStyle w:val="001000000000" w:firstRow="0" w:lastRow="0" w:firstColumn="1" w:lastColumn="0" w:oddVBand="0" w:evenVBand="0" w:oddHBand="0" w:evenHBand="0" w:firstRowFirstColumn="0" w:firstRowLastColumn="0" w:lastRowFirstColumn="0" w:lastRowLastColumn="0"/>
            <w:tcW w:w="1548" w:type="dxa"/>
            <w:tcBorders>
              <w:top w:val="nil"/>
              <w:left w:val="nil"/>
              <w:bottom w:val="nil"/>
              <w:right w:val="nil"/>
            </w:tcBorders>
            <w:vAlign w:val="center"/>
            <w:hideMark/>
          </w:tcPr>
          <w:p w:rsidR="00DC5AE7" w:rsidRDefault="00DC5AE7" w:rsidP="00AD3622">
            <w:pPr>
              <w:pStyle w:val="NoSpacing"/>
              <w:rPr>
                <w:rFonts w:eastAsia="Batang"/>
                <w:b w:val="0"/>
                <w:bCs w:val="0"/>
                <w:lang w:eastAsia="ko-KR"/>
              </w:rPr>
            </w:pPr>
            <w:r>
              <w:rPr>
                <w:b w:val="0"/>
                <w:bCs w:val="0"/>
                <w:i/>
                <w:iCs/>
              </w:rPr>
              <w:t>S</w:t>
            </w:r>
            <w:r>
              <w:rPr>
                <w:b w:val="0"/>
                <w:bCs w:val="0"/>
                <w:i/>
                <w:iCs/>
                <w:vertAlign w:val="subscript"/>
              </w:rPr>
              <w:t>i</w:t>
            </w:r>
          </w:p>
        </w:tc>
        <w:tc>
          <w:tcPr>
            <w:tcW w:w="8187" w:type="dxa"/>
            <w:tcBorders>
              <w:top w:val="nil"/>
              <w:left w:val="nil"/>
              <w:bottom w:val="nil"/>
              <w:right w:val="nil"/>
            </w:tcBorders>
            <w:vAlign w:val="center"/>
            <w:hideMark/>
          </w:tcPr>
          <w:p w:rsidR="00DC5AE7" w:rsidRDefault="00DC5AE7" w:rsidP="00AD3622">
            <w:pPr>
              <w:pStyle w:val="NoSpacing"/>
              <w:cnfStyle w:val="000000000000" w:firstRow="0" w:lastRow="0" w:firstColumn="0" w:lastColumn="0" w:oddVBand="0" w:evenVBand="0" w:oddHBand="0" w:evenHBand="0" w:firstRowFirstColumn="0" w:firstRowLastColumn="0" w:lastRowFirstColumn="0" w:lastRowLastColumn="0"/>
              <w:rPr>
                <w:rFonts w:eastAsia="Batang"/>
                <w:i/>
                <w:iCs/>
                <w:lang w:eastAsia="ko-KR"/>
              </w:rPr>
            </w:pPr>
            <w:r>
              <w:t xml:space="preserve">Number of persons in age group </w:t>
            </w:r>
            <w:r>
              <w:rPr>
                <w:i/>
                <w:iCs/>
              </w:rPr>
              <w:t>i</w:t>
            </w:r>
            <w:r>
              <w:t xml:space="preserve"> in the susceptible compartment</w:t>
            </w:r>
          </w:p>
        </w:tc>
      </w:tr>
      <w:tr w:rsidR="00DC5AE7" w:rsidTr="00420A71">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1548" w:type="dxa"/>
            <w:tcBorders>
              <w:top w:val="nil"/>
              <w:bottom w:val="nil"/>
            </w:tcBorders>
            <w:vAlign w:val="center"/>
            <w:hideMark/>
          </w:tcPr>
          <w:p w:rsidR="00DC5AE7" w:rsidRDefault="00DC5AE7" w:rsidP="00AD3622">
            <w:pPr>
              <w:pStyle w:val="NoSpacing"/>
              <w:rPr>
                <w:rFonts w:eastAsia="Batang"/>
                <w:b w:val="0"/>
                <w:bCs w:val="0"/>
                <w:lang w:eastAsia="ko-KR"/>
              </w:rPr>
            </w:pPr>
            <w:r>
              <w:rPr>
                <w:b w:val="0"/>
                <w:bCs w:val="0"/>
                <w:i/>
                <w:iCs/>
              </w:rPr>
              <w:t>E</w:t>
            </w:r>
            <w:r>
              <w:rPr>
                <w:b w:val="0"/>
                <w:bCs w:val="0"/>
                <w:i/>
                <w:iCs/>
                <w:vertAlign w:val="subscript"/>
              </w:rPr>
              <w:t>i</w:t>
            </w:r>
          </w:p>
        </w:tc>
        <w:tc>
          <w:tcPr>
            <w:tcW w:w="8187" w:type="dxa"/>
            <w:tcBorders>
              <w:top w:val="nil"/>
              <w:bottom w:val="nil"/>
            </w:tcBorders>
            <w:vAlign w:val="center"/>
            <w:hideMark/>
          </w:tcPr>
          <w:p w:rsidR="00DC5AE7" w:rsidRDefault="00DC5AE7" w:rsidP="00AD3622">
            <w:pPr>
              <w:pStyle w:val="NoSpacing"/>
              <w:cnfStyle w:val="000000100000" w:firstRow="0" w:lastRow="0" w:firstColumn="0" w:lastColumn="0" w:oddVBand="0" w:evenVBand="0" w:oddHBand="1" w:evenHBand="0" w:firstRowFirstColumn="0" w:firstRowLastColumn="0" w:lastRowFirstColumn="0" w:lastRowLastColumn="0"/>
              <w:rPr>
                <w:rFonts w:eastAsia="Batang"/>
                <w:lang w:eastAsia="ko-KR"/>
              </w:rPr>
            </w:pPr>
            <w:r>
              <w:t xml:space="preserve">Number of persons in age group </w:t>
            </w:r>
            <w:r>
              <w:rPr>
                <w:i/>
                <w:iCs/>
              </w:rPr>
              <w:t>i</w:t>
            </w:r>
            <w:r>
              <w:t xml:space="preserve"> in the exposed compartment</w:t>
            </w:r>
          </w:p>
        </w:tc>
      </w:tr>
      <w:tr w:rsidR="00DC5AE7" w:rsidTr="00420A71">
        <w:trPr>
          <w:trHeight w:val="360"/>
        </w:trPr>
        <w:tc>
          <w:tcPr>
            <w:cnfStyle w:val="001000000000" w:firstRow="0" w:lastRow="0" w:firstColumn="1" w:lastColumn="0" w:oddVBand="0" w:evenVBand="0" w:oddHBand="0" w:evenHBand="0" w:firstRowFirstColumn="0" w:firstRowLastColumn="0" w:lastRowFirstColumn="0" w:lastRowLastColumn="0"/>
            <w:tcW w:w="1548" w:type="dxa"/>
            <w:tcBorders>
              <w:top w:val="nil"/>
              <w:left w:val="nil"/>
              <w:bottom w:val="nil"/>
              <w:right w:val="nil"/>
            </w:tcBorders>
            <w:vAlign w:val="center"/>
            <w:hideMark/>
          </w:tcPr>
          <w:p w:rsidR="00DC5AE7" w:rsidRDefault="00DC5AE7" w:rsidP="00AD3622">
            <w:pPr>
              <w:pStyle w:val="NoSpacing"/>
              <w:rPr>
                <w:rFonts w:eastAsia="Batang"/>
                <w:b w:val="0"/>
                <w:bCs w:val="0"/>
                <w:lang w:eastAsia="ko-KR"/>
              </w:rPr>
            </w:pPr>
            <w:r>
              <w:rPr>
                <w:b w:val="0"/>
                <w:bCs w:val="0"/>
                <w:i/>
                <w:iCs/>
              </w:rPr>
              <w:t>I</w:t>
            </w:r>
            <w:r>
              <w:rPr>
                <w:b w:val="0"/>
                <w:bCs w:val="0"/>
                <w:i/>
                <w:iCs/>
                <w:vertAlign w:val="subscript"/>
              </w:rPr>
              <w:t>i</w:t>
            </w:r>
          </w:p>
        </w:tc>
        <w:tc>
          <w:tcPr>
            <w:tcW w:w="8187" w:type="dxa"/>
            <w:tcBorders>
              <w:top w:val="nil"/>
              <w:left w:val="nil"/>
              <w:bottom w:val="nil"/>
              <w:right w:val="nil"/>
            </w:tcBorders>
            <w:vAlign w:val="center"/>
            <w:hideMark/>
          </w:tcPr>
          <w:p w:rsidR="00DC5AE7" w:rsidRDefault="00DC5AE7" w:rsidP="00AD3622">
            <w:pPr>
              <w:pStyle w:val="NoSpacing"/>
              <w:cnfStyle w:val="000000000000" w:firstRow="0" w:lastRow="0" w:firstColumn="0" w:lastColumn="0" w:oddVBand="0" w:evenVBand="0" w:oddHBand="0" w:evenHBand="0" w:firstRowFirstColumn="0" w:firstRowLastColumn="0" w:lastRowFirstColumn="0" w:lastRowLastColumn="0"/>
              <w:rPr>
                <w:rFonts w:eastAsia="Batang"/>
                <w:i/>
                <w:iCs/>
                <w:lang w:eastAsia="ko-KR"/>
              </w:rPr>
            </w:pPr>
            <w:r>
              <w:t xml:space="preserve">Number of persons in age group </w:t>
            </w:r>
            <w:r>
              <w:rPr>
                <w:i/>
                <w:iCs/>
              </w:rPr>
              <w:t>i</w:t>
            </w:r>
            <w:r>
              <w:t xml:space="preserve"> in the asymptomatically infected compartment</w:t>
            </w:r>
          </w:p>
        </w:tc>
      </w:tr>
      <w:tr w:rsidR="00DC5AE7" w:rsidTr="00420A71">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1548" w:type="dxa"/>
            <w:tcBorders>
              <w:top w:val="nil"/>
              <w:bottom w:val="nil"/>
            </w:tcBorders>
            <w:vAlign w:val="center"/>
            <w:hideMark/>
          </w:tcPr>
          <w:p w:rsidR="00DC5AE7" w:rsidRDefault="00DC5AE7" w:rsidP="00AD3622">
            <w:pPr>
              <w:pStyle w:val="NoSpacing"/>
              <w:rPr>
                <w:rFonts w:eastAsia="Batang"/>
                <w:b w:val="0"/>
                <w:bCs w:val="0"/>
                <w:lang w:eastAsia="ko-KR"/>
              </w:rPr>
            </w:pPr>
            <w:r>
              <w:rPr>
                <w:b w:val="0"/>
                <w:bCs w:val="0"/>
                <w:i/>
                <w:iCs/>
              </w:rPr>
              <w:t>H</w:t>
            </w:r>
            <w:r>
              <w:rPr>
                <w:b w:val="0"/>
                <w:bCs w:val="0"/>
                <w:i/>
                <w:iCs/>
                <w:vertAlign w:val="subscript"/>
              </w:rPr>
              <w:t>i</w:t>
            </w:r>
          </w:p>
        </w:tc>
        <w:tc>
          <w:tcPr>
            <w:tcW w:w="8187" w:type="dxa"/>
            <w:tcBorders>
              <w:top w:val="nil"/>
              <w:bottom w:val="nil"/>
            </w:tcBorders>
            <w:vAlign w:val="center"/>
            <w:hideMark/>
          </w:tcPr>
          <w:p w:rsidR="00DC5AE7" w:rsidRDefault="00DC5AE7" w:rsidP="00AD3622">
            <w:pPr>
              <w:pStyle w:val="NoSpacing"/>
              <w:cnfStyle w:val="000000100000" w:firstRow="0" w:lastRow="0" w:firstColumn="0" w:lastColumn="0" w:oddVBand="0" w:evenVBand="0" w:oddHBand="1" w:evenHBand="0" w:firstRowFirstColumn="0" w:firstRowLastColumn="0" w:lastRowFirstColumn="0" w:lastRowLastColumn="0"/>
              <w:rPr>
                <w:rFonts w:eastAsia="Batang"/>
                <w:i/>
                <w:iCs/>
                <w:lang w:eastAsia="ko-KR"/>
              </w:rPr>
            </w:pPr>
            <w:r>
              <w:t xml:space="preserve">Number of persons in age group </w:t>
            </w:r>
            <w:r>
              <w:rPr>
                <w:i/>
                <w:iCs/>
              </w:rPr>
              <w:t>i</w:t>
            </w:r>
            <w:r>
              <w:t xml:space="preserve"> with symptomatic infections hospitalized</w:t>
            </w:r>
          </w:p>
        </w:tc>
      </w:tr>
      <w:tr w:rsidR="00DC5AE7" w:rsidTr="00420A71">
        <w:trPr>
          <w:trHeight w:val="360"/>
        </w:trPr>
        <w:tc>
          <w:tcPr>
            <w:cnfStyle w:val="001000000000" w:firstRow="0" w:lastRow="0" w:firstColumn="1" w:lastColumn="0" w:oddVBand="0" w:evenVBand="0" w:oddHBand="0" w:evenHBand="0" w:firstRowFirstColumn="0" w:firstRowLastColumn="0" w:lastRowFirstColumn="0" w:lastRowLastColumn="0"/>
            <w:tcW w:w="1548" w:type="dxa"/>
            <w:tcBorders>
              <w:top w:val="nil"/>
              <w:left w:val="nil"/>
              <w:bottom w:val="nil"/>
              <w:right w:val="nil"/>
            </w:tcBorders>
            <w:vAlign w:val="center"/>
            <w:hideMark/>
          </w:tcPr>
          <w:p w:rsidR="00DC5AE7" w:rsidRDefault="00DC5AE7" w:rsidP="00AD3622">
            <w:pPr>
              <w:pStyle w:val="NoSpacing"/>
              <w:rPr>
                <w:rFonts w:eastAsia="Batang"/>
                <w:b w:val="0"/>
                <w:bCs w:val="0"/>
                <w:lang w:eastAsia="ko-KR"/>
              </w:rPr>
            </w:pPr>
            <w:r>
              <w:rPr>
                <w:b w:val="0"/>
                <w:bCs w:val="0"/>
                <w:i/>
                <w:iCs/>
              </w:rPr>
              <w:t>F</w:t>
            </w:r>
            <w:r>
              <w:rPr>
                <w:b w:val="0"/>
                <w:bCs w:val="0"/>
                <w:i/>
                <w:iCs/>
                <w:vertAlign w:val="subscript"/>
              </w:rPr>
              <w:t>i</w:t>
            </w:r>
          </w:p>
        </w:tc>
        <w:tc>
          <w:tcPr>
            <w:tcW w:w="8187" w:type="dxa"/>
            <w:tcBorders>
              <w:top w:val="nil"/>
              <w:left w:val="nil"/>
              <w:bottom w:val="nil"/>
              <w:right w:val="nil"/>
            </w:tcBorders>
            <w:vAlign w:val="center"/>
            <w:hideMark/>
          </w:tcPr>
          <w:p w:rsidR="00DC5AE7" w:rsidRDefault="00DC5AE7" w:rsidP="00AD3622">
            <w:pPr>
              <w:pStyle w:val="NoSpacing"/>
              <w:cnfStyle w:val="000000000000" w:firstRow="0" w:lastRow="0" w:firstColumn="0" w:lastColumn="0" w:oddVBand="0" w:evenVBand="0" w:oddHBand="0" w:evenHBand="0" w:firstRowFirstColumn="0" w:firstRowLastColumn="0" w:lastRowFirstColumn="0" w:lastRowLastColumn="0"/>
              <w:rPr>
                <w:rFonts w:eastAsia="Batang"/>
                <w:lang w:eastAsia="ko-KR"/>
              </w:rPr>
            </w:pPr>
            <w:r>
              <w:t xml:space="preserve">Number of persons in age group </w:t>
            </w:r>
            <w:r>
              <w:rPr>
                <w:i/>
                <w:iCs/>
              </w:rPr>
              <w:t>i</w:t>
            </w:r>
            <w:r>
              <w:t xml:space="preserve"> with fulminant disease</w:t>
            </w:r>
          </w:p>
        </w:tc>
      </w:tr>
      <w:tr w:rsidR="00DC5AE7" w:rsidTr="00420A71">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1548" w:type="dxa"/>
            <w:tcBorders>
              <w:top w:val="nil"/>
              <w:bottom w:val="nil"/>
            </w:tcBorders>
            <w:vAlign w:val="center"/>
            <w:hideMark/>
          </w:tcPr>
          <w:p w:rsidR="00DC5AE7" w:rsidRDefault="00DC5AE7" w:rsidP="00AD3622">
            <w:pPr>
              <w:pStyle w:val="NoSpacing"/>
              <w:rPr>
                <w:rFonts w:eastAsia="Batang"/>
                <w:b w:val="0"/>
                <w:bCs w:val="0"/>
                <w:lang w:eastAsia="ko-KR"/>
              </w:rPr>
            </w:pPr>
            <w:r>
              <w:rPr>
                <w:b w:val="0"/>
                <w:bCs w:val="0"/>
                <w:i/>
                <w:iCs/>
              </w:rPr>
              <w:t>O</w:t>
            </w:r>
            <w:r>
              <w:rPr>
                <w:b w:val="0"/>
                <w:bCs w:val="0"/>
                <w:i/>
                <w:iCs/>
                <w:vertAlign w:val="subscript"/>
              </w:rPr>
              <w:t>i</w:t>
            </w:r>
          </w:p>
        </w:tc>
        <w:tc>
          <w:tcPr>
            <w:tcW w:w="8187" w:type="dxa"/>
            <w:tcBorders>
              <w:top w:val="nil"/>
              <w:bottom w:val="nil"/>
            </w:tcBorders>
            <w:vAlign w:val="center"/>
            <w:hideMark/>
          </w:tcPr>
          <w:p w:rsidR="00DC5AE7" w:rsidRDefault="00DC5AE7" w:rsidP="00AD3622">
            <w:pPr>
              <w:pStyle w:val="NoSpacing"/>
              <w:cnfStyle w:val="000000100000" w:firstRow="0" w:lastRow="0" w:firstColumn="0" w:lastColumn="0" w:oddVBand="0" w:evenVBand="0" w:oddHBand="1" w:evenHBand="0" w:firstRowFirstColumn="0" w:firstRowLastColumn="0" w:lastRowFirstColumn="0" w:lastRowLastColumn="0"/>
              <w:rPr>
                <w:rFonts w:eastAsia="Batang"/>
                <w:i/>
                <w:iCs/>
                <w:lang w:eastAsia="ko-KR"/>
              </w:rPr>
            </w:pPr>
            <w:r>
              <w:t xml:space="preserve">Number of persons in age group </w:t>
            </w:r>
            <w:r>
              <w:rPr>
                <w:i/>
                <w:iCs/>
              </w:rPr>
              <w:t>i</w:t>
            </w:r>
            <w:r>
              <w:t xml:space="preserve"> with symptomatic infections treated as outpatient</w:t>
            </w:r>
          </w:p>
        </w:tc>
      </w:tr>
      <w:tr w:rsidR="00DC5AE7" w:rsidTr="00420A71">
        <w:trPr>
          <w:trHeight w:val="360"/>
        </w:trPr>
        <w:tc>
          <w:tcPr>
            <w:cnfStyle w:val="001000000000" w:firstRow="0" w:lastRow="0" w:firstColumn="1" w:lastColumn="0" w:oddVBand="0" w:evenVBand="0" w:oddHBand="0" w:evenHBand="0" w:firstRowFirstColumn="0" w:firstRowLastColumn="0" w:lastRowFirstColumn="0" w:lastRowLastColumn="0"/>
            <w:tcW w:w="1548" w:type="dxa"/>
            <w:tcBorders>
              <w:top w:val="nil"/>
              <w:left w:val="nil"/>
              <w:bottom w:val="nil"/>
              <w:right w:val="nil"/>
            </w:tcBorders>
            <w:vAlign w:val="center"/>
            <w:hideMark/>
          </w:tcPr>
          <w:p w:rsidR="00DC5AE7" w:rsidRDefault="00DC5AE7" w:rsidP="00AD3622">
            <w:pPr>
              <w:pStyle w:val="NoSpacing"/>
              <w:rPr>
                <w:rFonts w:eastAsia="Batang"/>
                <w:b w:val="0"/>
                <w:bCs w:val="0"/>
                <w:lang w:eastAsia="ko-KR"/>
              </w:rPr>
            </w:pPr>
            <w:r>
              <w:rPr>
                <w:b w:val="0"/>
                <w:bCs w:val="0"/>
                <w:i/>
                <w:iCs/>
              </w:rPr>
              <w:t>L</w:t>
            </w:r>
            <w:r>
              <w:rPr>
                <w:b w:val="0"/>
                <w:bCs w:val="0"/>
                <w:vertAlign w:val="subscript"/>
              </w:rPr>
              <w:t>1</w:t>
            </w:r>
            <w:r>
              <w:rPr>
                <w:b w:val="0"/>
                <w:bCs w:val="0"/>
                <w:i/>
                <w:iCs/>
                <w:vertAlign w:val="subscript"/>
              </w:rPr>
              <w:t>,i</w:t>
            </w:r>
          </w:p>
        </w:tc>
        <w:tc>
          <w:tcPr>
            <w:tcW w:w="8187" w:type="dxa"/>
            <w:tcBorders>
              <w:top w:val="nil"/>
              <w:left w:val="nil"/>
              <w:bottom w:val="nil"/>
              <w:right w:val="nil"/>
            </w:tcBorders>
            <w:vAlign w:val="center"/>
            <w:hideMark/>
          </w:tcPr>
          <w:p w:rsidR="00DC5AE7" w:rsidRDefault="00DC5AE7" w:rsidP="00AD3622">
            <w:pPr>
              <w:pStyle w:val="NoSpacing"/>
              <w:cnfStyle w:val="000000000000" w:firstRow="0" w:lastRow="0" w:firstColumn="0" w:lastColumn="0" w:oddVBand="0" w:evenVBand="0" w:oddHBand="0" w:evenHBand="0" w:firstRowFirstColumn="0" w:firstRowLastColumn="0" w:lastRowFirstColumn="0" w:lastRowLastColumn="0"/>
              <w:rPr>
                <w:rFonts w:eastAsia="Batang"/>
                <w:lang w:eastAsia="ko-KR"/>
              </w:rPr>
            </w:pPr>
            <w:r>
              <w:t xml:space="preserve">Number of persons in age group </w:t>
            </w:r>
            <w:r>
              <w:rPr>
                <w:i/>
                <w:iCs/>
              </w:rPr>
              <w:t>i</w:t>
            </w:r>
            <w:r>
              <w:t xml:space="preserve"> who had liver transplant in the last year</w:t>
            </w:r>
          </w:p>
        </w:tc>
      </w:tr>
      <w:tr w:rsidR="00DC5AE7" w:rsidTr="00420A71">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1548" w:type="dxa"/>
            <w:tcBorders>
              <w:top w:val="nil"/>
              <w:bottom w:val="nil"/>
            </w:tcBorders>
            <w:vAlign w:val="center"/>
            <w:hideMark/>
          </w:tcPr>
          <w:p w:rsidR="00DC5AE7" w:rsidRDefault="00DC5AE7" w:rsidP="00AD3622">
            <w:pPr>
              <w:pStyle w:val="NoSpacing"/>
              <w:rPr>
                <w:rFonts w:eastAsia="Batang"/>
                <w:b w:val="0"/>
                <w:bCs w:val="0"/>
                <w:lang w:eastAsia="ko-KR"/>
              </w:rPr>
            </w:pPr>
            <w:r>
              <w:rPr>
                <w:b w:val="0"/>
                <w:bCs w:val="0"/>
                <w:i/>
                <w:iCs/>
              </w:rPr>
              <w:t>L</w:t>
            </w:r>
            <w:r>
              <w:rPr>
                <w:b w:val="0"/>
                <w:bCs w:val="0"/>
                <w:vertAlign w:val="subscript"/>
              </w:rPr>
              <w:t>2</w:t>
            </w:r>
            <w:r>
              <w:rPr>
                <w:b w:val="0"/>
                <w:bCs w:val="0"/>
                <w:i/>
                <w:iCs/>
                <w:vertAlign w:val="subscript"/>
              </w:rPr>
              <w:t>,i</w:t>
            </w:r>
          </w:p>
        </w:tc>
        <w:tc>
          <w:tcPr>
            <w:tcW w:w="8187" w:type="dxa"/>
            <w:tcBorders>
              <w:top w:val="nil"/>
              <w:bottom w:val="nil"/>
            </w:tcBorders>
            <w:vAlign w:val="center"/>
            <w:hideMark/>
          </w:tcPr>
          <w:p w:rsidR="00DC5AE7" w:rsidRDefault="00DC5AE7" w:rsidP="00AD3622">
            <w:pPr>
              <w:pStyle w:val="NoSpacing"/>
              <w:cnfStyle w:val="000000100000" w:firstRow="0" w:lastRow="0" w:firstColumn="0" w:lastColumn="0" w:oddVBand="0" w:evenVBand="0" w:oddHBand="1" w:evenHBand="0" w:firstRowFirstColumn="0" w:firstRowLastColumn="0" w:lastRowFirstColumn="0" w:lastRowLastColumn="0"/>
              <w:rPr>
                <w:rFonts w:eastAsia="Batang"/>
                <w:i/>
                <w:iCs/>
                <w:lang w:eastAsia="ko-KR"/>
              </w:rPr>
            </w:pPr>
            <w:r>
              <w:t xml:space="preserve">Number of persons in age group </w:t>
            </w:r>
            <w:r>
              <w:rPr>
                <w:i/>
                <w:iCs/>
              </w:rPr>
              <w:t>i</w:t>
            </w:r>
            <w:r>
              <w:t xml:space="preserve"> who had liver transplant more than a year ago</w:t>
            </w:r>
          </w:p>
        </w:tc>
      </w:tr>
      <w:tr w:rsidR="00DC5AE7" w:rsidTr="00420A71">
        <w:trPr>
          <w:trHeight w:val="360"/>
        </w:trPr>
        <w:tc>
          <w:tcPr>
            <w:cnfStyle w:val="001000000000" w:firstRow="0" w:lastRow="0" w:firstColumn="1" w:lastColumn="0" w:oddVBand="0" w:evenVBand="0" w:oddHBand="0" w:evenHBand="0" w:firstRowFirstColumn="0" w:firstRowLastColumn="0" w:lastRowFirstColumn="0" w:lastRowLastColumn="0"/>
            <w:tcW w:w="1548" w:type="dxa"/>
            <w:tcBorders>
              <w:top w:val="nil"/>
              <w:left w:val="nil"/>
              <w:bottom w:val="nil"/>
              <w:right w:val="nil"/>
            </w:tcBorders>
            <w:vAlign w:val="center"/>
            <w:hideMark/>
          </w:tcPr>
          <w:p w:rsidR="00DC5AE7" w:rsidRDefault="00DC5AE7" w:rsidP="00AD3622">
            <w:pPr>
              <w:pStyle w:val="NoSpacing"/>
              <w:rPr>
                <w:rFonts w:eastAsia="Batang"/>
                <w:b w:val="0"/>
                <w:bCs w:val="0"/>
                <w:lang w:eastAsia="ko-KR"/>
              </w:rPr>
            </w:pPr>
            <w:r>
              <w:rPr>
                <w:b w:val="0"/>
                <w:bCs w:val="0"/>
                <w:i/>
                <w:iCs/>
              </w:rPr>
              <w:t>R</w:t>
            </w:r>
            <w:r>
              <w:rPr>
                <w:b w:val="0"/>
                <w:bCs w:val="0"/>
                <w:i/>
                <w:iCs/>
                <w:vertAlign w:val="subscript"/>
              </w:rPr>
              <w:t>i</w:t>
            </w:r>
          </w:p>
        </w:tc>
        <w:tc>
          <w:tcPr>
            <w:tcW w:w="8187" w:type="dxa"/>
            <w:tcBorders>
              <w:top w:val="nil"/>
              <w:left w:val="nil"/>
              <w:bottom w:val="nil"/>
              <w:right w:val="nil"/>
            </w:tcBorders>
            <w:vAlign w:val="center"/>
            <w:hideMark/>
          </w:tcPr>
          <w:p w:rsidR="00DC5AE7" w:rsidRDefault="00DC5AE7" w:rsidP="00AD3622">
            <w:pPr>
              <w:pStyle w:val="NoSpacing"/>
              <w:cnfStyle w:val="000000000000" w:firstRow="0" w:lastRow="0" w:firstColumn="0" w:lastColumn="0" w:oddVBand="0" w:evenVBand="0" w:oddHBand="0" w:evenHBand="0" w:firstRowFirstColumn="0" w:firstRowLastColumn="0" w:lastRowFirstColumn="0" w:lastRowLastColumn="0"/>
              <w:rPr>
                <w:rFonts w:eastAsia="Batang"/>
                <w:i/>
                <w:iCs/>
                <w:lang w:eastAsia="ko-KR"/>
              </w:rPr>
            </w:pPr>
            <w:r>
              <w:t xml:space="preserve">Number of persons in age group </w:t>
            </w:r>
            <w:r>
              <w:rPr>
                <w:i/>
                <w:iCs/>
              </w:rPr>
              <w:t>i</w:t>
            </w:r>
            <w:r>
              <w:t xml:space="preserve"> the recovered compartment with lifelong immunity</w:t>
            </w:r>
          </w:p>
        </w:tc>
      </w:tr>
      <w:tr w:rsidR="00DC5AE7" w:rsidTr="00420A71">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1548" w:type="dxa"/>
            <w:tcBorders>
              <w:top w:val="nil"/>
              <w:bottom w:val="nil"/>
            </w:tcBorders>
            <w:vAlign w:val="center"/>
            <w:hideMark/>
          </w:tcPr>
          <w:p w:rsidR="00DC5AE7" w:rsidRDefault="00DC5AE7" w:rsidP="00AD3622">
            <w:pPr>
              <w:pStyle w:val="NoSpacing"/>
              <w:rPr>
                <w:rFonts w:eastAsia="Batang"/>
                <w:b w:val="0"/>
                <w:bCs w:val="0"/>
                <w:i/>
                <w:iCs/>
                <w:lang w:eastAsia="ko-KR"/>
              </w:rPr>
            </w:pPr>
            <w:r>
              <w:rPr>
                <w:b w:val="0"/>
                <w:bCs w:val="0"/>
                <w:i/>
                <w:iCs/>
              </w:rPr>
              <w:t>λ</w:t>
            </w:r>
            <w:r>
              <w:rPr>
                <w:b w:val="0"/>
                <w:bCs w:val="0"/>
                <w:i/>
                <w:iCs/>
                <w:vertAlign w:val="subscript"/>
              </w:rPr>
              <w:t>i</w:t>
            </w:r>
          </w:p>
        </w:tc>
        <w:tc>
          <w:tcPr>
            <w:tcW w:w="8187" w:type="dxa"/>
            <w:tcBorders>
              <w:top w:val="nil"/>
              <w:bottom w:val="nil"/>
            </w:tcBorders>
            <w:vAlign w:val="center"/>
            <w:hideMark/>
          </w:tcPr>
          <w:p w:rsidR="00DC5AE7" w:rsidRDefault="00DC5AE7" w:rsidP="00AD3622">
            <w:pPr>
              <w:pStyle w:val="NoSpacing"/>
              <w:cnfStyle w:val="000000100000" w:firstRow="0" w:lastRow="0" w:firstColumn="0" w:lastColumn="0" w:oddVBand="0" w:evenVBand="0" w:oddHBand="1" w:evenHBand="0" w:firstRowFirstColumn="0" w:firstRowLastColumn="0" w:lastRowFirstColumn="0" w:lastRowLastColumn="0"/>
              <w:rPr>
                <w:rFonts w:eastAsia="Batang"/>
                <w:lang w:eastAsia="ko-KR"/>
              </w:rPr>
            </w:pPr>
            <w:r>
              <w:t xml:space="preserve">Force of infection of age group </w:t>
            </w:r>
            <w:r>
              <w:rPr>
                <w:i/>
                <w:iCs/>
              </w:rPr>
              <w:t>i</w:t>
            </w:r>
          </w:p>
        </w:tc>
      </w:tr>
      <w:tr w:rsidR="00DC5AE7" w:rsidTr="00420A71">
        <w:trPr>
          <w:trHeight w:val="360"/>
        </w:trPr>
        <w:tc>
          <w:tcPr>
            <w:cnfStyle w:val="001000000000" w:firstRow="0" w:lastRow="0" w:firstColumn="1" w:lastColumn="0" w:oddVBand="0" w:evenVBand="0" w:oddHBand="0" w:evenHBand="0" w:firstRowFirstColumn="0" w:firstRowLastColumn="0" w:lastRowFirstColumn="0" w:lastRowLastColumn="0"/>
            <w:tcW w:w="1548" w:type="dxa"/>
            <w:tcBorders>
              <w:top w:val="nil"/>
              <w:left w:val="nil"/>
              <w:bottom w:val="nil"/>
              <w:right w:val="nil"/>
            </w:tcBorders>
            <w:vAlign w:val="center"/>
            <w:hideMark/>
          </w:tcPr>
          <w:p w:rsidR="00DC5AE7" w:rsidRDefault="00DC5AE7" w:rsidP="00AD3622">
            <w:pPr>
              <w:pStyle w:val="NoSpacing"/>
              <w:rPr>
                <w:rFonts w:eastAsia="Batang"/>
                <w:vertAlign w:val="superscript"/>
                <w:lang w:eastAsia="ko-KR"/>
              </w:rPr>
            </w:pPr>
            <w:r>
              <w:t>Parameters</w:t>
            </w:r>
          </w:p>
        </w:tc>
        <w:tc>
          <w:tcPr>
            <w:tcW w:w="8187" w:type="dxa"/>
            <w:tcBorders>
              <w:top w:val="nil"/>
              <w:left w:val="nil"/>
              <w:bottom w:val="nil"/>
              <w:right w:val="nil"/>
            </w:tcBorders>
            <w:vAlign w:val="center"/>
          </w:tcPr>
          <w:p w:rsidR="00DC5AE7" w:rsidRDefault="00DC5AE7" w:rsidP="00AD3622">
            <w:pPr>
              <w:pStyle w:val="NoSpacing"/>
              <w:cnfStyle w:val="000000000000" w:firstRow="0" w:lastRow="0" w:firstColumn="0" w:lastColumn="0" w:oddVBand="0" w:evenVBand="0" w:oddHBand="0" w:evenHBand="0" w:firstRowFirstColumn="0" w:firstRowLastColumn="0" w:lastRowFirstColumn="0" w:lastRowLastColumn="0"/>
              <w:rPr>
                <w:rFonts w:asciiTheme="majorBidi" w:eastAsia="Batang" w:hAnsiTheme="majorBidi" w:cstheme="majorBidi"/>
                <w:lang w:eastAsia="ko-KR"/>
              </w:rPr>
            </w:pPr>
          </w:p>
        </w:tc>
      </w:tr>
      <w:tr w:rsidR="00DC5AE7" w:rsidTr="00420A71">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1548" w:type="dxa"/>
            <w:tcBorders>
              <w:top w:val="nil"/>
              <w:bottom w:val="nil"/>
            </w:tcBorders>
            <w:vAlign w:val="center"/>
            <w:hideMark/>
          </w:tcPr>
          <w:p w:rsidR="00DC5AE7" w:rsidRDefault="00DC5AE7" w:rsidP="00AD3622">
            <w:pPr>
              <w:pStyle w:val="NoSpacing"/>
              <w:rPr>
                <w:b w:val="0"/>
                <w:bCs w:val="0"/>
              </w:rPr>
            </w:pPr>
            <w:r>
              <w:rPr>
                <w:b w:val="0"/>
                <w:bCs w:val="0"/>
                <w:i/>
                <w:iCs/>
              </w:rPr>
              <w:t>b</w:t>
            </w:r>
            <w:r>
              <w:rPr>
                <w:b w:val="0"/>
                <w:bCs w:val="0"/>
                <w:vertAlign w:val="subscript"/>
              </w:rPr>
              <w:t>0</w:t>
            </w:r>
          </w:p>
        </w:tc>
        <w:tc>
          <w:tcPr>
            <w:tcW w:w="8187" w:type="dxa"/>
            <w:tcBorders>
              <w:top w:val="nil"/>
              <w:bottom w:val="nil"/>
            </w:tcBorders>
            <w:vAlign w:val="center"/>
            <w:hideMark/>
          </w:tcPr>
          <w:p w:rsidR="00DC5AE7" w:rsidRDefault="00DC5AE7" w:rsidP="00AD3622">
            <w:pPr>
              <w:pStyle w:val="NoSpacing"/>
              <w:cnfStyle w:val="000000100000" w:firstRow="0" w:lastRow="0" w:firstColumn="0" w:lastColumn="0" w:oddVBand="0" w:evenVBand="0" w:oddHBand="1" w:evenHBand="0" w:firstRowFirstColumn="0" w:firstRowLastColumn="0" w:lastRowFirstColumn="0" w:lastRowLastColumn="0"/>
            </w:pPr>
            <w:r>
              <w:t>Scale parameter for the force of infection</w:t>
            </w:r>
          </w:p>
        </w:tc>
      </w:tr>
      <w:tr w:rsidR="00DC5AE7" w:rsidTr="00420A71">
        <w:trPr>
          <w:trHeight w:val="360"/>
        </w:trPr>
        <w:tc>
          <w:tcPr>
            <w:cnfStyle w:val="001000000000" w:firstRow="0" w:lastRow="0" w:firstColumn="1" w:lastColumn="0" w:oddVBand="0" w:evenVBand="0" w:oddHBand="0" w:evenHBand="0" w:firstRowFirstColumn="0" w:firstRowLastColumn="0" w:lastRowFirstColumn="0" w:lastRowLastColumn="0"/>
            <w:tcW w:w="1548" w:type="dxa"/>
            <w:tcBorders>
              <w:top w:val="nil"/>
              <w:left w:val="nil"/>
              <w:bottom w:val="nil"/>
              <w:right w:val="nil"/>
            </w:tcBorders>
            <w:vAlign w:val="center"/>
            <w:hideMark/>
          </w:tcPr>
          <w:p w:rsidR="00DC5AE7" w:rsidRDefault="00DC5AE7" w:rsidP="00AD3622">
            <w:pPr>
              <w:pStyle w:val="NoSpacing"/>
              <w:rPr>
                <w:b w:val="0"/>
                <w:bCs w:val="0"/>
              </w:rPr>
            </w:pPr>
            <w:r>
              <w:rPr>
                <w:b w:val="0"/>
                <w:bCs w:val="0"/>
                <w:i/>
                <w:iCs/>
              </w:rPr>
              <w:t>b</w:t>
            </w:r>
            <w:r>
              <w:rPr>
                <w:b w:val="0"/>
                <w:bCs w:val="0"/>
                <w:vertAlign w:val="subscript"/>
              </w:rPr>
              <w:t>1</w:t>
            </w:r>
            <w:r>
              <w:rPr>
                <w:b w:val="0"/>
                <w:bCs w:val="0"/>
                <w:i/>
                <w:iCs/>
              </w:rPr>
              <w:t xml:space="preserve"> </w:t>
            </w:r>
          </w:p>
        </w:tc>
        <w:tc>
          <w:tcPr>
            <w:tcW w:w="8187" w:type="dxa"/>
            <w:tcBorders>
              <w:top w:val="nil"/>
              <w:left w:val="nil"/>
              <w:bottom w:val="nil"/>
              <w:right w:val="nil"/>
            </w:tcBorders>
            <w:vAlign w:val="center"/>
            <w:hideMark/>
          </w:tcPr>
          <w:p w:rsidR="00DC5AE7" w:rsidRDefault="00DC5AE7" w:rsidP="00AD3622">
            <w:pPr>
              <w:pStyle w:val="NoSpacing"/>
              <w:cnfStyle w:val="000000000000" w:firstRow="0" w:lastRow="0" w:firstColumn="0" w:lastColumn="0" w:oddVBand="0" w:evenVBand="0" w:oddHBand="0" w:evenHBand="0" w:firstRowFirstColumn="0" w:firstRowLastColumn="0" w:lastRowFirstColumn="0" w:lastRowLastColumn="0"/>
            </w:pPr>
            <w:r>
              <w:t>Shape parameter for the force of infection</w:t>
            </w:r>
          </w:p>
        </w:tc>
      </w:tr>
      <w:tr w:rsidR="00DC5AE7" w:rsidTr="00420A71">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1548" w:type="dxa"/>
            <w:tcBorders>
              <w:top w:val="nil"/>
              <w:bottom w:val="nil"/>
            </w:tcBorders>
            <w:vAlign w:val="center"/>
            <w:hideMark/>
          </w:tcPr>
          <w:p w:rsidR="00DC5AE7" w:rsidRDefault="00DC5AE7" w:rsidP="00AD3622">
            <w:pPr>
              <w:pStyle w:val="NoSpacing"/>
              <w:rPr>
                <w:b w:val="0"/>
                <w:bCs w:val="0"/>
              </w:rPr>
            </w:pPr>
            <w:r>
              <w:rPr>
                <w:b w:val="0"/>
                <w:bCs w:val="0"/>
                <w:i/>
                <w:iCs/>
              </w:rPr>
              <w:t>b</w:t>
            </w:r>
            <w:r>
              <w:rPr>
                <w:b w:val="0"/>
                <w:bCs w:val="0"/>
                <w:vertAlign w:val="subscript"/>
              </w:rPr>
              <w:t>2</w:t>
            </w:r>
          </w:p>
        </w:tc>
        <w:tc>
          <w:tcPr>
            <w:tcW w:w="8187" w:type="dxa"/>
            <w:tcBorders>
              <w:top w:val="nil"/>
              <w:bottom w:val="nil"/>
            </w:tcBorders>
            <w:vAlign w:val="center"/>
            <w:hideMark/>
          </w:tcPr>
          <w:p w:rsidR="00DC5AE7" w:rsidRDefault="00DC5AE7" w:rsidP="00AD3622">
            <w:pPr>
              <w:pStyle w:val="NoSpacing"/>
              <w:cnfStyle w:val="000000100000" w:firstRow="0" w:lastRow="0" w:firstColumn="0" w:lastColumn="0" w:oddVBand="0" w:evenVBand="0" w:oddHBand="1" w:evenHBand="0" w:firstRowFirstColumn="0" w:firstRowLastColumn="0" w:lastRowFirstColumn="0" w:lastRowLastColumn="0"/>
            </w:pPr>
            <w:r>
              <w:t>Shape parameter for the force of infection</w:t>
            </w:r>
          </w:p>
        </w:tc>
      </w:tr>
      <w:tr w:rsidR="00DC5AE7" w:rsidTr="00420A71">
        <w:trPr>
          <w:trHeight w:val="288"/>
        </w:trPr>
        <w:tc>
          <w:tcPr>
            <w:cnfStyle w:val="001000000000" w:firstRow="0" w:lastRow="0" w:firstColumn="1" w:lastColumn="0" w:oddVBand="0" w:evenVBand="0" w:oddHBand="0" w:evenHBand="0" w:firstRowFirstColumn="0" w:firstRowLastColumn="0" w:lastRowFirstColumn="0" w:lastRowLastColumn="0"/>
            <w:tcW w:w="1548" w:type="dxa"/>
            <w:tcBorders>
              <w:top w:val="nil"/>
              <w:bottom w:val="nil"/>
            </w:tcBorders>
            <w:vAlign w:val="center"/>
            <w:hideMark/>
          </w:tcPr>
          <w:p w:rsidR="00DC5AE7" w:rsidRDefault="00DC5AE7" w:rsidP="00AD3622">
            <w:pPr>
              <w:pStyle w:val="NoSpacing"/>
              <w:rPr>
                <w:b w:val="0"/>
                <w:bCs w:val="0"/>
              </w:rPr>
            </w:pPr>
            <w:r>
              <w:rPr>
                <w:b w:val="0"/>
                <w:bCs w:val="0"/>
              </w:rPr>
              <w:sym w:font="Symbol" w:char="F044"/>
            </w:r>
            <w:r>
              <w:rPr>
                <w:b w:val="0"/>
                <w:bCs w:val="0"/>
                <w:vertAlign w:val="subscript"/>
              </w:rPr>
              <w:t>2</w:t>
            </w:r>
          </w:p>
        </w:tc>
        <w:tc>
          <w:tcPr>
            <w:tcW w:w="8187" w:type="dxa"/>
            <w:tcBorders>
              <w:top w:val="nil"/>
              <w:bottom w:val="nil"/>
            </w:tcBorders>
            <w:vAlign w:val="center"/>
            <w:hideMark/>
          </w:tcPr>
          <w:p w:rsidR="00DC5AE7" w:rsidRDefault="00DC5AE7" w:rsidP="00B15263">
            <w:pPr>
              <w:pStyle w:val="NoSpacing"/>
              <w:cnfStyle w:val="000000000000" w:firstRow="0" w:lastRow="0" w:firstColumn="0" w:lastColumn="0" w:oddVBand="0" w:evenVBand="0" w:oddHBand="0" w:evenHBand="0" w:firstRowFirstColumn="0" w:firstRowLastColumn="0" w:lastRowFirstColumn="0" w:lastRowLastColumn="0"/>
            </w:pPr>
            <w:r>
              <w:t xml:space="preserve">Parameter for force of infection at time </w:t>
            </w:r>
            <w:r>
              <w:rPr>
                <w:i/>
                <w:iCs/>
              </w:rPr>
              <w:t>t</w:t>
            </w:r>
            <w:r>
              <w:rPr>
                <w:vertAlign w:val="subscript"/>
              </w:rPr>
              <w:t>2</w:t>
            </w:r>
          </w:p>
        </w:tc>
      </w:tr>
      <w:tr w:rsidR="00DC5AE7" w:rsidTr="00420A71">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1548" w:type="dxa"/>
            <w:tcBorders>
              <w:top w:val="nil"/>
              <w:bottom w:val="nil"/>
            </w:tcBorders>
            <w:vAlign w:val="center"/>
            <w:hideMark/>
          </w:tcPr>
          <w:p w:rsidR="00DC5AE7" w:rsidRDefault="00DC5AE7" w:rsidP="00AD3622">
            <w:pPr>
              <w:pStyle w:val="NoSpacing"/>
              <w:rPr>
                <w:b w:val="0"/>
                <w:bCs w:val="0"/>
              </w:rPr>
            </w:pPr>
            <w:r>
              <w:rPr>
                <w:b w:val="0"/>
                <w:bCs w:val="0"/>
              </w:rPr>
              <w:sym w:font="Symbol" w:char="F044"/>
            </w:r>
            <w:r>
              <w:rPr>
                <w:b w:val="0"/>
                <w:bCs w:val="0"/>
                <w:vertAlign w:val="subscript"/>
              </w:rPr>
              <w:t>3</w:t>
            </w:r>
          </w:p>
        </w:tc>
        <w:tc>
          <w:tcPr>
            <w:tcW w:w="8187" w:type="dxa"/>
            <w:tcBorders>
              <w:top w:val="nil"/>
              <w:bottom w:val="nil"/>
            </w:tcBorders>
            <w:vAlign w:val="center"/>
            <w:hideMark/>
          </w:tcPr>
          <w:p w:rsidR="00DC5AE7" w:rsidRDefault="00B15263" w:rsidP="00B15263">
            <w:pPr>
              <w:pStyle w:val="NoSpacing"/>
              <w:cnfStyle w:val="000000100000" w:firstRow="0" w:lastRow="0" w:firstColumn="0" w:lastColumn="0" w:oddVBand="0" w:evenVBand="0" w:oddHBand="1" w:evenHBand="0" w:firstRowFirstColumn="0" w:firstRowLastColumn="0" w:lastRowFirstColumn="0" w:lastRowLastColumn="0"/>
            </w:pPr>
            <w:r>
              <w:t>Parameter for</w:t>
            </w:r>
            <w:r w:rsidR="00DC5AE7">
              <w:t xml:space="preserve"> force of infection at time </w:t>
            </w:r>
            <w:r w:rsidR="00DC5AE7">
              <w:rPr>
                <w:i/>
                <w:iCs/>
              </w:rPr>
              <w:t>t</w:t>
            </w:r>
            <w:r w:rsidR="00DC5AE7">
              <w:rPr>
                <w:vertAlign w:val="subscript"/>
              </w:rPr>
              <w:t>3</w:t>
            </w:r>
          </w:p>
        </w:tc>
      </w:tr>
      <w:tr w:rsidR="00DC5AE7" w:rsidTr="00420A71">
        <w:trPr>
          <w:trHeight w:val="360"/>
        </w:trPr>
        <w:tc>
          <w:tcPr>
            <w:cnfStyle w:val="001000000000" w:firstRow="0" w:lastRow="0" w:firstColumn="1" w:lastColumn="0" w:oddVBand="0" w:evenVBand="0" w:oddHBand="0" w:evenHBand="0" w:firstRowFirstColumn="0" w:firstRowLastColumn="0" w:lastRowFirstColumn="0" w:lastRowLastColumn="0"/>
            <w:tcW w:w="1548" w:type="dxa"/>
            <w:tcBorders>
              <w:top w:val="nil"/>
              <w:bottom w:val="nil"/>
            </w:tcBorders>
            <w:vAlign w:val="center"/>
            <w:hideMark/>
          </w:tcPr>
          <w:p w:rsidR="00DC5AE7" w:rsidRDefault="00DC5AE7" w:rsidP="00AD3622">
            <w:pPr>
              <w:pStyle w:val="NoSpacing"/>
              <w:rPr>
                <w:b w:val="0"/>
                <w:bCs w:val="0"/>
              </w:rPr>
            </w:pPr>
            <w:r>
              <w:rPr>
                <w:b w:val="0"/>
                <w:bCs w:val="0"/>
                <w:i/>
                <w:iCs/>
              </w:rPr>
              <w:t>t</w:t>
            </w:r>
            <w:r>
              <w:rPr>
                <w:b w:val="0"/>
                <w:bCs w:val="0"/>
                <w:vertAlign w:val="subscript"/>
              </w:rPr>
              <w:t>1</w:t>
            </w:r>
          </w:p>
        </w:tc>
        <w:tc>
          <w:tcPr>
            <w:tcW w:w="8187" w:type="dxa"/>
            <w:tcBorders>
              <w:top w:val="nil"/>
              <w:bottom w:val="nil"/>
            </w:tcBorders>
            <w:vAlign w:val="center"/>
            <w:hideMark/>
          </w:tcPr>
          <w:p w:rsidR="00DC5AE7" w:rsidRDefault="00DC5AE7" w:rsidP="00AD3622">
            <w:pPr>
              <w:pStyle w:val="NoSpacing"/>
              <w:cnfStyle w:val="000000000000" w:firstRow="0" w:lastRow="0" w:firstColumn="0" w:lastColumn="0" w:oddVBand="0" w:evenVBand="0" w:oddHBand="0" w:evenHBand="0" w:firstRowFirstColumn="0" w:firstRowLastColumn="0" w:lastRowFirstColumn="0" w:lastRowLastColumn="0"/>
            </w:pPr>
            <w:r>
              <w:t>Time for first drop in force of infection</w:t>
            </w:r>
            <w:r w:rsidR="00B15263">
              <w:t xml:space="preserve"> begins</w:t>
            </w:r>
          </w:p>
        </w:tc>
      </w:tr>
      <w:tr w:rsidR="00DC5AE7" w:rsidTr="00420A71">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1548" w:type="dxa"/>
            <w:tcBorders>
              <w:top w:val="nil"/>
              <w:bottom w:val="nil"/>
            </w:tcBorders>
            <w:vAlign w:val="center"/>
            <w:hideMark/>
          </w:tcPr>
          <w:p w:rsidR="00DC5AE7" w:rsidRDefault="00DC5AE7" w:rsidP="00AD3622">
            <w:pPr>
              <w:pStyle w:val="NoSpacing"/>
              <w:rPr>
                <w:b w:val="0"/>
                <w:bCs w:val="0"/>
                <w:i/>
                <w:iCs/>
              </w:rPr>
            </w:pPr>
            <w:r>
              <w:rPr>
                <w:b w:val="0"/>
                <w:bCs w:val="0"/>
                <w:i/>
                <w:iCs/>
              </w:rPr>
              <w:t>t</w:t>
            </w:r>
            <w:r>
              <w:rPr>
                <w:b w:val="0"/>
                <w:bCs w:val="0"/>
                <w:vertAlign w:val="subscript"/>
              </w:rPr>
              <w:t>2</w:t>
            </w:r>
            <w:r>
              <w:rPr>
                <w:b w:val="0"/>
                <w:bCs w:val="0"/>
              </w:rPr>
              <w:t xml:space="preserve"> </w:t>
            </w:r>
          </w:p>
        </w:tc>
        <w:tc>
          <w:tcPr>
            <w:tcW w:w="8187" w:type="dxa"/>
            <w:tcBorders>
              <w:top w:val="nil"/>
              <w:bottom w:val="nil"/>
            </w:tcBorders>
            <w:vAlign w:val="center"/>
            <w:hideMark/>
          </w:tcPr>
          <w:p w:rsidR="00DC5AE7" w:rsidRDefault="00DC5AE7" w:rsidP="00B15263">
            <w:pPr>
              <w:pStyle w:val="NoSpacing"/>
              <w:cnfStyle w:val="000000100000" w:firstRow="0" w:lastRow="0" w:firstColumn="0" w:lastColumn="0" w:oddVBand="0" w:evenVBand="0" w:oddHBand="1" w:evenHBand="0" w:firstRowFirstColumn="0" w:firstRowLastColumn="0" w:lastRowFirstColumn="0" w:lastRowLastColumn="0"/>
            </w:pPr>
            <w:r>
              <w:t xml:space="preserve">Time for </w:t>
            </w:r>
            <w:r w:rsidR="00B15263">
              <w:t>first</w:t>
            </w:r>
            <w:r>
              <w:t xml:space="preserve"> drop in force of infection</w:t>
            </w:r>
            <w:r w:rsidR="00B15263">
              <w:t xml:space="preserve"> ends and second drop begins</w:t>
            </w:r>
          </w:p>
        </w:tc>
      </w:tr>
      <w:tr w:rsidR="00DC5AE7" w:rsidTr="00420A71">
        <w:trPr>
          <w:trHeight w:val="360"/>
        </w:trPr>
        <w:tc>
          <w:tcPr>
            <w:cnfStyle w:val="001000000000" w:firstRow="0" w:lastRow="0" w:firstColumn="1" w:lastColumn="0" w:oddVBand="0" w:evenVBand="0" w:oddHBand="0" w:evenHBand="0" w:firstRowFirstColumn="0" w:firstRowLastColumn="0" w:lastRowFirstColumn="0" w:lastRowLastColumn="0"/>
            <w:tcW w:w="1548" w:type="dxa"/>
            <w:tcBorders>
              <w:top w:val="nil"/>
              <w:bottom w:val="nil"/>
            </w:tcBorders>
            <w:vAlign w:val="center"/>
            <w:hideMark/>
          </w:tcPr>
          <w:p w:rsidR="00DC5AE7" w:rsidRDefault="00DC5AE7" w:rsidP="00AD3622">
            <w:pPr>
              <w:pStyle w:val="NoSpacing"/>
              <w:rPr>
                <w:b w:val="0"/>
                <w:bCs w:val="0"/>
                <w:i/>
                <w:iCs/>
              </w:rPr>
            </w:pPr>
            <w:r>
              <w:rPr>
                <w:b w:val="0"/>
                <w:bCs w:val="0"/>
                <w:i/>
                <w:iCs/>
              </w:rPr>
              <w:t>t</w:t>
            </w:r>
            <w:r>
              <w:rPr>
                <w:b w:val="0"/>
                <w:bCs w:val="0"/>
                <w:vertAlign w:val="subscript"/>
              </w:rPr>
              <w:t>3</w:t>
            </w:r>
          </w:p>
        </w:tc>
        <w:tc>
          <w:tcPr>
            <w:tcW w:w="8187" w:type="dxa"/>
            <w:tcBorders>
              <w:top w:val="nil"/>
              <w:bottom w:val="nil"/>
            </w:tcBorders>
            <w:vAlign w:val="center"/>
            <w:hideMark/>
          </w:tcPr>
          <w:p w:rsidR="00DC5AE7" w:rsidRDefault="00DC5AE7" w:rsidP="00B15263">
            <w:pPr>
              <w:pStyle w:val="NoSpacing"/>
              <w:cnfStyle w:val="000000000000" w:firstRow="0" w:lastRow="0" w:firstColumn="0" w:lastColumn="0" w:oddVBand="0" w:evenVBand="0" w:oddHBand="0" w:evenHBand="0" w:firstRowFirstColumn="0" w:firstRowLastColumn="0" w:lastRowFirstColumn="0" w:lastRowLastColumn="0"/>
            </w:pPr>
            <w:r>
              <w:t xml:space="preserve">Time for </w:t>
            </w:r>
            <w:r w:rsidR="00B15263">
              <w:t>second</w:t>
            </w:r>
            <w:r>
              <w:t xml:space="preserve"> drop in force of infection</w:t>
            </w:r>
            <w:r w:rsidR="00B15263">
              <w:t xml:space="preserve"> ends</w:t>
            </w:r>
          </w:p>
        </w:tc>
      </w:tr>
      <w:tr w:rsidR="00DC5AE7" w:rsidTr="00420A71">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1548" w:type="dxa"/>
            <w:tcBorders>
              <w:top w:val="nil"/>
              <w:bottom w:val="nil"/>
            </w:tcBorders>
            <w:vAlign w:val="center"/>
            <w:hideMark/>
          </w:tcPr>
          <w:p w:rsidR="00DC5AE7" w:rsidRDefault="00DC5AE7" w:rsidP="00AD3622">
            <w:pPr>
              <w:pStyle w:val="NoSpacing"/>
              <w:rPr>
                <w:b w:val="0"/>
                <w:bCs w:val="0"/>
                <w:i/>
                <w:iCs/>
              </w:rPr>
            </w:pPr>
            <w:r>
              <w:rPr>
                <w:b w:val="0"/>
                <w:bCs w:val="0"/>
              </w:rPr>
              <w:t xml:space="preserve"> </w:t>
            </w:r>
            <w:r>
              <w:rPr>
                <w:b w:val="0"/>
                <w:bCs w:val="0"/>
                <w:i/>
                <w:iCs/>
              </w:rPr>
              <w:sym w:font="Symbol" w:char="F072"/>
            </w:r>
          </w:p>
        </w:tc>
        <w:tc>
          <w:tcPr>
            <w:tcW w:w="8187" w:type="dxa"/>
            <w:tcBorders>
              <w:top w:val="nil"/>
              <w:bottom w:val="nil"/>
            </w:tcBorders>
            <w:vAlign w:val="center"/>
            <w:hideMark/>
          </w:tcPr>
          <w:p w:rsidR="00DC5AE7" w:rsidRDefault="00DC5AE7" w:rsidP="00AD3622">
            <w:pPr>
              <w:pStyle w:val="NoSpacing"/>
              <w:cnfStyle w:val="000000100000" w:firstRow="0" w:lastRow="0" w:firstColumn="0" w:lastColumn="0" w:oddVBand="0" w:evenVBand="0" w:oddHBand="1" w:evenHBand="0" w:firstRowFirstColumn="0" w:firstRowLastColumn="0" w:lastRowFirstColumn="0" w:lastRowLastColumn="0"/>
            </w:pPr>
            <w:r>
              <w:t>Underreporting factor</w:t>
            </w:r>
          </w:p>
        </w:tc>
      </w:tr>
      <w:tr w:rsidR="00DC5AE7" w:rsidTr="00420A71">
        <w:trPr>
          <w:trHeight w:val="360"/>
        </w:trPr>
        <w:tc>
          <w:tcPr>
            <w:cnfStyle w:val="001000000000" w:firstRow="0" w:lastRow="0" w:firstColumn="1" w:lastColumn="0" w:oddVBand="0" w:evenVBand="0" w:oddHBand="0" w:evenHBand="0" w:firstRowFirstColumn="0" w:firstRowLastColumn="0" w:lastRowFirstColumn="0" w:lastRowLastColumn="0"/>
            <w:tcW w:w="1548" w:type="dxa"/>
            <w:tcBorders>
              <w:top w:val="nil"/>
              <w:bottom w:val="nil"/>
            </w:tcBorders>
            <w:vAlign w:val="center"/>
            <w:hideMark/>
          </w:tcPr>
          <w:p w:rsidR="00DC5AE7" w:rsidRDefault="00DC5AE7" w:rsidP="00AD3622">
            <w:pPr>
              <w:pStyle w:val="NoSpacing"/>
              <w:rPr>
                <w:rFonts w:eastAsia="Batang"/>
                <w:b w:val="0"/>
                <w:bCs w:val="0"/>
                <w:i/>
                <w:iCs/>
                <w:lang w:eastAsia="ko-KR"/>
              </w:rPr>
            </w:pPr>
            <w:r>
              <w:rPr>
                <w:b w:val="0"/>
                <w:bCs w:val="0"/>
                <w:i/>
                <w:iCs/>
              </w:rPr>
              <w:sym w:font="Symbol" w:char="F062"/>
            </w:r>
            <w:r>
              <w:rPr>
                <w:b w:val="0"/>
                <w:bCs w:val="0"/>
                <w:i/>
                <w:iCs/>
                <w:vertAlign w:val="subscript"/>
              </w:rPr>
              <w:t>ij</w:t>
            </w:r>
          </w:p>
        </w:tc>
        <w:tc>
          <w:tcPr>
            <w:tcW w:w="8187" w:type="dxa"/>
            <w:tcBorders>
              <w:top w:val="nil"/>
              <w:bottom w:val="nil"/>
            </w:tcBorders>
            <w:vAlign w:val="center"/>
            <w:hideMark/>
          </w:tcPr>
          <w:p w:rsidR="00DC5AE7" w:rsidRDefault="00DC5AE7" w:rsidP="00AD3622">
            <w:pPr>
              <w:pStyle w:val="NoSpacing"/>
              <w:cnfStyle w:val="000000000000" w:firstRow="0" w:lastRow="0" w:firstColumn="0" w:lastColumn="0" w:oddVBand="0" w:evenVBand="0" w:oddHBand="0" w:evenHBand="0" w:firstRowFirstColumn="0" w:firstRowLastColumn="0" w:lastRowFirstColumn="0" w:lastRowLastColumn="0"/>
              <w:rPr>
                <w:rFonts w:eastAsia="Batang"/>
                <w:i/>
                <w:iCs/>
                <w:lang w:eastAsia="ko-KR"/>
              </w:rPr>
            </w:pPr>
            <w:r>
              <w:t xml:space="preserve">Contact matrix of mixing between age </w:t>
            </w:r>
            <w:r>
              <w:rPr>
                <w:i/>
                <w:iCs/>
              </w:rPr>
              <w:t>i</w:t>
            </w:r>
            <w:r>
              <w:t xml:space="preserve"> and </w:t>
            </w:r>
            <w:r>
              <w:rPr>
                <w:i/>
                <w:iCs/>
              </w:rPr>
              <w:t>j</w:t>
            </w:r>
          </w:p>
        </w:tc>
      </w:tr>
      <w:tr w:rsidR="00DC5AE7" w:rsidTr="00420A71">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1548" w:type="dxa"/>
            <w:tcBorders>
              <w:top w:val="nil"/>
              <w:bottom w:val="nil"/>
            </w:tcBorders>
            <w:vAlign w:val="center"/>
            <w:hideMark/>
          </w:tcPr>
          <w:p w:rsidR="00DC5AE7" w:rsidRDefault="00DC5AE7" w:rsidP="00AD3622">
            <w:pPr>
              <w:pStyle w:val="NoSpacing"/>
              <w:rPr>
                <w:rFonts w:eastAsia="Batang"/>
                <w:b w:val="0"/>
                <w:bCs w:val="0"/>
                <w:i/>
                <w:iCs/>
                <w:lang w:eastAsia="ko-KR"/>
              </w:rPr>
            </w:pPr>
            <w:r>
              <w:rPr>
                <w:b w:val="0"/>
                <w:bCs w:val="0"/>
                <w:i/>
                <w:iCs/>
              </w:rPr>
              <w:t>c</w:t>
            </w:r>
            <w:r>
              <w:rPr>
                <w:b w:val="0"/>
                <w:bCs w:val="0"/>
                <w:i/>
                <w:iCs/>
                <w:vertAlign w:val="subscript"/>
              </w:rPr>
              <w:t>i</w:t>
            </w:r>
          </w:p>
        </w:tc>
        <w:tc>
          <w:tcPr>
            <w:tcW w:w="8187" w:type="dxa"/>
            <w:tcBorders>
              <w:top w:val="nil"/>
              <w:bottom w:val="nil"/>
            </w:tcBorders>
            <w:vAlign w:val="center"/>
            <w:hideMark/>
          </w:tcPr>
          <w:p w:rsidR="00DC5AE7" w:rsidRDefault="00DC5AE7" w:rsidP="00AD3622">
            <w:pPr>
              <w:pStyle w:val="NoSpacing"/>
              <w:cnfStyle w:val="000000100000" w:firstRow="0" w:lastRow="0" w:firstColumn="0" w:lastColumn="0" w:oddVBand="0" w:evenVBand="0" w:oddHBand="1" w:evenHBand="0" w:firstRowFirstColumn="0" w:firstRowLastColumn="0" w:lastRowFirstColumn="0" w:lastRowLastColumn="0"/>
              <w:rPr>
                <w:rFonts w:eastAsia="Batang"/>
                <w:lang w:eastAsia="ko-KR"/>
              </w:rPr>
            </w:pPr>
            <w:r>
              <w:t>Age-specific activity levels with adequate mixing contact</w:t>
            </w:r>
          </w:p>
        </w:tc>
      </w:tr>
      <w:tr w:rsidR="00DC5AE7" w:rsidTr="00420A71">
        <w:trPr>
          <w:trHeight w:val="360"/>
        </w:trPr>
        <w:tc>
          <w:tcPr>
            <w:cnfStyle w:val="001000000000" w:firstRow="0" w:lastRow="0" w:firstColumn="1" w:lastColumn="0" w:oddVBand="0" w:evenVBand="0" w:oddHBand="0" w:evenHBand="0" w:firstRowFirstColumn="0" w:firstRowLastColumn="0" w:lastRowFirstColumn="0" w:lastRowLastColumn="0"/>
            <w:tcW w:w="1548" w:type="dxa"/>
            <w:tcBorders>
              <w:top w:val="nil"/>
              <w:bottom w:val="nil"/>
            </w:tcBorders>
            <w:vAlign w:val="center"/>
            <w:hideMark/>
          </w:tcPr>
          <w:p w:rsidR="00DC5AE7" w:rsidRDefault="00DC5AE7" w:rsidP="00AD3622">
            <w:pPr>
              <w:pStyle w:val="NoSpacing"/>
              <w:rPr>
                <w:rFonts w:eastAsia="Batang"/>
                <w:b w:val="0"/>
                <w:bCs w:val="0"/>
                <w:i/>
                <w:iCs/>
                <w:vertAlign w:val="subscript"/>
                <w:lang w:eastAsia="ko-KR"/>
              </w:rPr>
            </w:pPr>
            <w:r>
              <w:rPr>
                <w:b w:val="0"/>
                <w:bCs w:val="0"/>
                <w:i/>
                <w:iCs/>
              </w:rPr>
              <w:sym w:font="Symbol" w:char="F06D"/>
            </w:r>
            <w:r>
              <w:rPr>
                <w:b w:val="0"/>
                <w:bCs w:val="0"/>
                <w:i/>
                <w:iCs/>
                <w:vertAlign w:val="subscript"/>
              </w:rPr>
              <w:t>i</w:t>
            </w:r>
          </w:p>
        </w:tc>
        <w:tc>
          <w:tcPr>
            <w:tcW w:w="8187" w:type="dxa"/>
            <w:tcBorders>
              <w:top w:val="nil"/>
              <w:bottom w:val="nil"/>
            </w:tcBorders>
            <w:vAlign w:val="center"/>
            <w:hideMark/>
          </w:tcPr>
          <w:p w:rsidR="00DC5AE7" w:rsidRDefault="00DC5AE7" w:rsidP="00AD3622">
            <w:pPr>
              <w:pStyle w:val="NoSpacing"/>
              <w:cnfStyle w:val="000000000000" w:firstRow="0" w:lastRow="0" w:firstColumn="0" w:lastColumn="0" w:oddVBand="0" w:evenVBand="0" w:oddHBand="0" w:evenHBand="0" w:firstRowFirstColumn="0" w:firstRowLastColumn="0" w:lastRowFirstColumn="0" w:lastRowLastColumn="0"/>
              <w:rPr>
                <w:rFonts w:eastAsia="Batang"/>
                <w:lang w:eastAsia="ko-KR"/>
              </w:rPr>
            </w:pPr>
            <w:r>
              <w:t>Hazard of hea</w:t>
            </w:r>
            <w:r w:rsidR="00490897">
              <w:t>l</w:t>
            </w:r>
            <w:r>
              <w:t xml:space="preserve">th for persons in age group </w:t>
            </w:r>
            <w:r>
              <w:rPr>
                <w:i/>
                <w:iCs/>
              </w:rPr>
              <w:t>i</w:t>
            </w:r>
          </w:p>
        </w:tc>
      </w:tr>
      <w:tr w:rsidR="00DC5AE7" w:rsidTr="00420A71">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1548" w:type="dxa"/>
            <w:tcBorders>
              <w:top w:val="nil"/>
              <w:bottom w:val="nil"/>
            </w:tcBorders>
            <w:vAlign w:val="center"/>
            <w:hideMark/>
          </w:tcPr>
          <w:p w:rsidR="00DC5AE7" w:rsidRDefault="00DC5AE7" w:rsidP="00AD3622">
            <w:pPr>
              <w:pStyle w:val="NoSpacing"/>
              <w:rPr>
                <w:rFonts w:eastAsia="Batang"/>
                <w:b w:val="0"/>
                <w:bCs w:val="0"/>
                <w:i/>
                <w:iCs/>
                <w:lang w:eastAsia="ko-KR"/>
              </w:rPr>
            </w:pPr>
            <w:r>
              <w:rPr>
                <w:b w:val="0"/>
                <w:bCs w:val="0"/>
                <w:i/>
                <w:iCs/>
              </w:rPr>
              <w:t>d</w:t>
            </w:r>
            <w:r>
              <w:rPr>
                <w:b w:val="0"/>
                <w:bCs w:val="0"/>
                <w:i/>
                <w:iCs/>
                <w:vertAlign w:val="subscript"/>
              </w:rPr>
              <w:t>i</w:t>
            </w:r>
          </w:p>
        </w:tc>
        <w:tc>
          <w:tcPr>
            <w:tcW w:w="8187" w:type="dxa"/>
            <w:tcBorders>
              <w:top w:val="nil"/>
              <w:bottom w:val="nil"/>
            </w:tcBorders>
            <w:vAlign w:val="center"/>
            <w:hideMark/>
          </w:tcPr>
          <w:p w:rsidR="00DC5AE7" w:rsidRDefault="00DC5AE7" w:rsidP="00AD3622">
            <w:pPr>
              <w:pStyle w:val="NoSpacing"/>
              <w:cnfStyle w:val="000000100000" w:firstRow="0" w:lastRow="0" w:firstColumn="0" w:lastColumn="0" w:oddVBand="0" w:evenVBand="0" w:oddHBand="1" w:evenHBand="0" w:firstRowFirstColumn="0" w:firstRowLastColumn="0" w:lastRowFirstColumn="0" w:lastRowLastColumn="0"/>
              <w:rPr>
                <w:rFonts w:eastAsia="Batang"/>
                <w:lang w:eastAsia="ko-KR"/>
              </w:rPr>
            </w:pPr>
            <w:r>
              <w:t>Age-specific transfer rate between age groups</w:t>
            </w:r>
          </w:p>
        </w:tc>
      </w:tr>
      <w:tr w:rsidR="00DC5AE7" w:rsidTr="00420A71">
        <w:trPr>
          <w:trHeight w:val="360"/>
        </w:trPr>
        <w:tc>
          <w:tcPr>
            <w:cnfStyle w:val="001000000000" w:firstRow="0" w:lastRow="0" w:firstColumn="1" w:lastColumn="0" w:oddVBand="0" w:evenVBand="0" w:oddHBand="0" w:evenHBand="0" w:firstRowFirstColumn="0" w:firstRowLastColumn="0" w:lastRowFirstColumn="0" w:lastRowLastColumn="0"/>
            <w:tcW w:w="1548" w:type="dxa"/>
            <w:tcBorders>
              <w:top w:val="nil"/>
              <w:bottom w:val="nil"/>
            </w:tcBorders>
            <w:vAlign w:val="center"/>
            <w:hideMark/>
          </w:tcPr>
          <w:p w:rsidR="00DC5AE7" w:rsidRDefault="00DC5AE7" w:rsidP="00AD3622">
            <w:pPr>
              <w:pStyle w:val="NoSpacing"/>
              <w:rPr>
                <w:rFonts w:eastAsia="Batang"/>
                <w:b w:val="0"/>
                <w:bCs w:val="0"/>
                <w:lang w:eastAsia="ko-KR"/>
              </w:rPr>
            </w:pPr>
            <w:r>
              <w:rPr>
                <w:b w:val="0"/>
                <w:bCs w:val="0"/>
              </w:rPr>
              <w:sym w:font="Symbol" w:char="F04C"/>
            </w:r>
          </w:p>
        </w:tc>
        <w:tc>
          <w:tcPr>
            <w:tcW w:w="8187" w:type="dxa"/>
            <w:tcBorders>
              <w:top w:val="nil"/>
              <w:bottom w:val="nil"/>
            </w:tcBorders>
            <w:vAlign w:val="center"/>
            <w:hideMark/>
          </w:tcPr>
          <w:p w:rsidR="00DC5AE7" w:rsidRDefault="00DC5AE7" w:rsidP="00AD3622">
            <w:pPr>
              <w:pStyle w:val="NoSpacing"/>
              <w:cnfStyle w:val="000000000000" w:firstRow="0" w:lastRow="0" w:firstColumn="0" w:lastColumn="0" w:oddVBand="0" w:evenVBand="0" w:oddHBand="0" w:evenHBand="0" w:firstRowFirstColumn="0" w:firstRowLastColumn="0" w:lastRowFirstColumn="0" w:lastRowLastColumn="0"/>
              <w:rPr>
                <w:rFonts w:eastAsia="Batang"/>
                <w:lang w:eastAsia="ko-KR"/>
              </w:rPr>
            </w:pPr>
            <w:r>
              <w:t>Birth rate</w:t>
            </w:r>
          </w:p>
        </w:tc>
      </w:tr>
      <w:tr w:rsidR="00DC5AE7" w:rsidTr="00420A71">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1548" w:type="dxa"/>
            <w:tcBorders>
              <w:top w:val="nil"/>
              <w:bottom w:val="nil"/>
            </w:tcBorders>
            <w:vAlign w:val="center"/>
            <w:hideMark/>
          </w:tcPr>
          <w:p w:rsidR="00DC5AE7" w:rsidRDefault="00DC5AE7" w:rsidP="00AD3622">
            <w:pPr>
              <w:pStyle w:val="NoSpacing"/>
              <w:rPr>
                <w:rFonts w:eastAsia="Batang"/>
                <w:b w:val="0"/>
                <w:bCs w:val="0"/>
                <w:lang w:eastAsia="ko-KR"/>
              </w:rPr>
            </w:pPr>
            <w:r>
              <w:rPr>
                <w:b w:val="0"/>
                <w:bCs w:val="0"/>
              </w:rPr>
              <w:t>1/</w:t>
            </w:r>
            <w:r>
              <w:rPr>
                <w:b w:val="0"/>
                <w:bCs w:val="0"/>
                <w:i/>
                <w:iCs/>
              </w:rPr>
              <w:sym w:font="Symbol" w:char="F078"/>
            </w:r>
          </w:p>
        </w:tc>
        <w:tc>
          <w:tcPr>
            <w:tcW w:w="8187" w:type="dxa"/>
            <w:tcBorders>
              <w:top w:val="nil"/>
              <w:bottom w:val="nil"/>
            </w:tcBorders>
            <w:vAlign w:val="center"/>
            <w:hideMark/>
          </w:tcPr>
          <w:p w:rsidR="00DC5AE7" w:rsidRDefault="00DC5AE7" w:rsidP="00AD3622">
            <w:pPr>
              <w:pStyle w:val="NoSpacing"/>
              <w:cnfStyle w:val="000000100000" w:firstRow="0" w:lastRow="0" w:firstColumn="0" w:lastColumn="0" w:oddVBand="0" w:evenVBand="0" w:oddHBand="1" w:evenHBand="0" w:firstRowFirstColumn="0" w:firstRowLastColumn="0" w:lastRowFirstColumn="0" w:lastRowLastColumn="0"/>
              <w:rPr>
                <w:rFonts w:eastAsia="Batang"/>
                <w:lang w:eastAsia="ko-KR"/>
              </w:rPr>
            </w:pPr>
            <w:r>
              <w:t>Duration of maternal immunity</w:t>
            </w:r>
          </w:p>
        </w:tc>
      </w:tr>
      <w:tr w:rsidR="00DC5AE7" w:rsidTr="00420A71">
        <w:trPr>
          <w:trHeight w:val="360"/>
        </w:trPr>
        <w:tc>
          <w:tcPr>
            <w:cnfStyle w:val="001000000000" w:firstRow="0" w:lastRow="0" w:firstColumn="1" w:lastColumn="0" w:oddVBand="0" w:evenVBand="0" w:oddHBand="0" w:evenHBand="0" w:firstRowFirstColumn="0" w:firstRowLastColumn="0" w:lastRowFirstColumn="0" w:lastRowLastColumn="0"/>
            <w:tcW w:w="1548" w:type="dxa"/>
            <w:tcBorders>
              <w:top w:val="nil"/>
              <w:bottom w:val="nil"/>
            </w:tcBorders>
            <w:vAlign w:val="center"/>
            <w:hideMark/>
          </w:tcPr>
          <w:p w:rsidR="00DC5AE7" w:rsidRDefault="00DC5AE7" w:rsidP="00AD3622">
            <w:pPr>
              <w:pStyle w:val="NoSpacing"/>
              <w:rPr>
                <w:rFonts w:eastAsia="Batang"/>
                <w:b w:val="0"/>
                <w:bCs w:val="0"/>
                <w:i/>
                <w:iCs/>
                <w:lang w:eastAsia="ko-KR"/>
              </w:rPr>
            </w:pPr>
            <w:r>
              <w:rPr>
                <w:b w:val="0"/>
                <w:bCs w:val="0"/>
              </w:rPr>
              <w:t>1/</w:t>
            </w:r>
            <w:r>
              <w:rPr>
                <w:b w:val="0"/>
                <w:bCs w:val="0"/>
                <w:i/>
                <w:iCs/>
              </w:rPr>
              <w:sym w:font="Symbol" w:char="F064"/>
            </w:r>
          </w:p>
        </w:tc>
        <w:tc>
          <w:tcPr>
            <w:tcW w:w="8187" w:type="dxa"/>
            <w:tcBorders>
              <w:top w:val="nil"/>
              <w:bottom w:val="nil"/>
            </w:tcBorders>
            <w:vAlign w:val="center"/>
            <w:hideMark/>
          </w:tcPr>
          <w:p w:rsidR="00DC5AE7" w:rsidRDefault="00DC5AE7" w:rsidP="00AD3622">
            <w:pPr>
              <w:pStyle w:val="NoSpacing"/>
              <w:cnfStyle w:val="000000000000" w:firstRow="0" w:lastRow="0" w:firstColumn="0" w:lastColumn="0" w:oddVBand="0" w:evenVBand="0" w:oddHBand="0" w:evenHBand="0" w:firstRowFirstColumn="0" w:firstRowLastColumn="0" w:lastRowFirstColumn="0" w:lastRowLastColumn="0"/>
              <w:rPr>
                <w:rFonts w:eastAsia="Batang"/>
                <w:lang w:eastAsia="ko-KR"/>
              </w:rPr>
            </w:pPr>
            <w:r>
              <w:t>Latency period</w:t>
            </w:r>
          </w:p>
        </w:tc>
      </w:tr>
      <w:tr w:rsidR="00DC5AE7" w:rsidTr="00420A71">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1548" w:type="dxa"/>
            <w:tcBorders>
              <w:top w:val="nil"/>
              <w:bottom w:val="nil"/>
            </w:tcBorders>
            <w:vAlign w:val="center"/>
            <w:hideMark/>
          </w:tcPr>
          <w:p w:rsidR="00DC5AE7" w:rsidRDefault="00DC5AE7" w:rsidP="00AD3622">
            <w:pPr>
              <w:pStyle w:val="NoSpacing"/>
              <w:rPr>
                <w:rFonts w:eastAsia="Batang"/>
                <w:b w:val="0"/>
                <w:bCs w:val="0"/>
                <w:vertAlign w:val="subscript"/>
                <w:lang w:eastAsia="ko-KR"/>
              </w:rPr>
            </w:pPr>
            <w:r>
              <w:rPr>
                <w:b w:val="0"/>
                <w:bCs w:val="0"/>
              </w:rPr>
              <w:t>1/</w:t>
            </w:r>
            <w:r>
              <w:rPr>
                <w:b w:val="0"/>
                <w:bCs w:val="0"/>
                <w:i/>
                <w:iCs/>
              </w:rPr>
              <w:sym w:font="Symbol" w:char="F073"/>
            </w:r>
            <w:r>
              <w:rPr>
                <w:b w:val="0"/>
                <w:bCs w:val="0"/>
                <w:i/>
                <w:iCs/>
                <w:vertAlign w:val="subscript"/>
              </w:rPr>
              <w:t>i,i</w:t>
            </w:r>
          </w:p>
        </w:tc>
        <w:tc>
          <w:tcPr>
            <w:tcW w:w="8187" w:type="dxa"/>
            <w:tcBorders>
              <w:top w:val="nil"/>
              <w:bottom w:val="nil"/>
            </w:tcBorders>
            <w:vAlign w:val="center"/>
            <w:hideMark/>
          </w:tcPr>
          <w:p w:rsidR="00DC5AE7" w:rsidRDefault="00DC5AE7" w:rsidP="00AD3622">
            <w:pPr>
              <w:pStyle w:val="NoSpacing"/>
              <w:cnfStyle w:val="000000100000" w:firstRow="0" w:lastRow="0" w:firstColumn="0" w:lastColumn="0" w:oddVBand="0" w:evenVBand="0" w:oddHBand="1" w:evenHBand="0" w:firstRowFirstColumn="0" w:firstRowLastColumn="0" w:lastRowFirstColumn="0" w:lastRowLastColumn="0"/>
              <w:rPr>
                <w:rFonts w:eastAsia="Batang"/>
                <w:lang w:eastAsia="ko-KR"/>
              </w:rPr>
            </w:pPr>
            <w:r>
              <w:t xml:space="preserve">Age-specific mean duration of infectiousness </w:t>
            </w:r>
          </w:p>
        </w:tc>
      </w:tr>
      <w:tr w:rsidR="00DC5AE7" w:rsidTr="00420A71">
        <w:trPr>
          <w:trHeight w:val="360"/>
        </w:trPr>
        <w:tc>
          <w:tcPr>
            <w:cnfStyle w:val="001000000000" w:firstRow="0" w:lastRow="0" w:firstColumn="1" w:lastColumn="0" w:oddVBand="0" w:evenVBand="0" w:oddHBand="0" w:evenHBand="0" w:firstRowFirstColumn="0" w:firstRowLastColumn="0" w:lastRowFirstColumn="0" w:lastRowLastColumn="0"/>
            <w:tcW w:w="1548" w:type="dxa"/>
            <w:tcBorders>
              <w:top w:val="nil"/>
              <w:bottom w:val="nil"/>
            </w:tcBorders>
            <w:hideMark/>
          </w:tcPr>
          <w:p w:rsidR="00DC5AE7" w:rsidRDefault="00DC5AE7" w:rsidP="00AD3622">
            <w:pPr>
              <w:pStyle w:val="NoSpacing"/>
              <w:rPr>
                <w:rFonts w:eastAsia="Batang"/>
                <w:b w:val="0"/>
                <w:bCs w:val="0"/>
                <w:sz w:val="24"/>
                <w:szCs w:val="24"/>
                <w:lang w:eastAsia="ko-KR"/>
              </w:rPr>
            </w:pPr>
            <w:r>
              <w:rPr>
                <w:b w:val="0"/>
                <w:bCs w:val="0"/>
                <w:i/>
                <w:iCs/>
              </w:rPr>
              <w:lastRenderedPageBreak/>
              <w:sym w:font="Symbol" w:char="F073"/>
            </w:r>
            <w:r>
              <w:rPr>
                <w:b w:val="0"/>
                <w:bCs w:val="0"/>
                <w:i/>
                <w:iCs/>
                <w:vertAlign w:val="subscript"/>
              </w:rPr>
              <w:t>o,i</w:t>
            </w:r>
          </w:p>
        </w:tc>
        <w:tc>
          <w:tcPr>
            <w:tcW w:w="8187" w:type="dxa"/>
            <w:tcBorders>
              <w:top w:val="nil"/>
              <w:bottom w:val="nil"/>
            </w:tcBorders>
            <w:vAlign w:val="center"/>
            <w:hideMark/>
          </w:tcPr>
          <w:p w:rsidR="00DC5AE7" w:rsidRDefault="00DC5AE7" w:rsidP="00AD3622">
            <w:pPr>
              <w:pStyle w:val="NoSpacing"/>
              <w:cnfStyle w:val="000000000000" w:firstRow="0" w:lastRow="0" w:firstColumn="0" w:lastColumn="0" w:oddVBand="0" w:evenVBand="0" w:oddHBand="0" w:evenHBand="0" w:firstRowFirstColumn="0" w:firstRowLastColumn="0" w:lastRowFirstColumn="0" w:lastRowLastColumn="0"/>
              <w:rPr>
                <w:rFonts w:eastAsia="Batang"/>
                <w:lang w:eastAsia="ko-KR"/>
              </w:rPr>
            </w:pPr>
            <w:r>
              <w:t>Age-specific recovery rate for outpatients</w:t>
            </w:r>
          </w:p>
        </w:tc>
      </w:tr>
      <w:tr w:rsidR="00DC5AE7" w:rsidTr="00420A71">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1548" w:type="dxa"/>
            <w:tcBorders>
              <w:top w:val="nil"/>
              <w:bottom w:val="nil"/>
            </w:tcBorders>
            <w:hideMark/>
          </w:tcPr>
          <w:p w:rsidR="00DC5AE7" w:rsidRDefault="00DC5AE7" w:rsidP="00AD3622">
            <w:pPr>
              <w:pStyle w:val="NoSpacing"/>
              <w:rPr>
                <w:rFonts w:eastAsia="Batang"/>
                <w:b w:val="0"/>
                <w:bCs w:val="0"/>
                <w:sz w:val="24"/>
                <w:szCs w:val="24"/>
                <w:lang w:eastAsia="ko-KR"/>
              </w:rPr>
            </w:pPr>
            <w:r>
              <w:rPr>
                <w:b w:val="0"/>
                <w:bCs w:val="0"/>
                <w:i/>
                <w:iCs/>
              </w:rPr>
              <w:sym w:font="Symbol" w:char="F073"/>
            </w:r>
            <w:r>
              <w:rPr>
                <w:b w:val="0"/>
                <w:bCs w:val="0"/>
                <w:i/>
                <w:iCs/>
                <w:vertAlign w:val="subscript"/>
              </w:rPr>
              <w:t>h</w:t>
            </w:r>
            <w:r w:rsidR="00773E70">
              <w:rPr>
                <w:b w:val="0"/>
                <w:bCs w:val="0"/>
                <w:i/>
                <w:iCs/>
                <w:vertAlign w:val="subscript"/>
              </w:rPr>
              <w:t>,</w:t>
            </w:r>
            <w:r>
              <w:rPr>
                <w:b w:val="0"/>
                <w:bCs w:val="0"/>
                <w:i/>
                <w:iCs/>
                <w:vertAlign w:val="subscript"/>
              </w:rPr>
              <w:t>i</w:t>
            </w:r>
          </w:p>
        </w:tc>
        <w:tc>
          <w:tcPr>
            <w:tcW w:w="8187" w:type="dxa"/>
            <w:tcBorders>
              <w:top w:val="nil"/>
              <w:bottom w:val="nil"/>
            </w:tcBorders>
            <w:vAlign w:val="center"/>
            <w:hideMark/>
          </w:tcPr>
          <w:p w:rsidR="00DC5AE7" w:rsidRDefault="00DC5AE7" w:rsidP="00AD3622">
            <w:pPr>
              <w:pStyle w:val="NoSpacing"/>
              <w:cnfStyle w:val="000000100000" w:firstRow="0" w:lastRow="0" w:firstColumn="0" w:lastColumn="0" w:oddVBand="0" w:evenVBand="0" w:oddHBand="1" w:evenHBand="0" w:firstRowFirstColumn="0" w:firstRowLastColumn="0" w:lastRowFirstColumn="0" w:lastRowLastColumn="0"/>
              <w:rPr>
                <w:rFonts w:eastAsia="Times New Roman"/>
                <w:color w:val="000000"/>
                <w:lang w:eastAsia="ko-KR"/>
              </w:rPr>
            </w:pPr>
            <w:r>
              <w:t>Age-specific recovery rate for hospitalized patients</w:t>
            </w:r>
            <w:r w:rsidR="00022FAF">
              <w:t xml:space="preserve"> including fulminant</w:t>
            </w:r>
          </w:p>
        </w:tc>
      </w:tr>
      <w:tr w:rsidR="00DC5AE7" w:rsidTr="00420A71">
        <w:trPr>
          <w:trHeight w:val="360"/>
        </w:trPr>
        <w:tc>
          <w:tcPr>
            <w:cnfStyle w:val="001000000000" w:firstRow="0" w:lastRow="0" w:firstColumn="1" w:lastColumn="0" w:oddVBand="0" w:evenVBand="0" w:oddHBand="0" w:evenHBand="0" w:firstRowFirstColumn="0" w:firstRowLastColumn="0" w:lastRowFirstColumn="0" w:lastRowLastColumn="0"/>
            <w:tcW w:w="1548" w:type="dxa"/>
            <w:tcBorders>
              <w:top w:val="nil"/>
              <w:bottom w:val="nil"/>
            </w:tcBorders>
            <w:vAlign w:val="center"/>
            <w:hideMark/>
          </w:tcPr>
          <w:p w:rsidR="00DC5AE7" w:rsidRDefault="00DC5AE7" w:rsidP="00AD3622">
            <w:pPr>
              <w:pStyle w:val="NoSpacing"/>
              <w:rPr>
                <w:rFonts w:eastAsia="Batang"/>
                <w:b w:val="0"/>
                <w:bCs w:val="0"/>
                <w:lang w:eastAsia="ko-KR"/>
              </w:rPr>
            </w:pPr>
            <w:r>
              <w:rPr>
                <w:b w:val="0"/>
                <w:bCs w:val="0"/>
                <w:i/>
                <w:iCs/>
              </w:rPr>
              <w:sym w:font="Symbol" w:char="F061"/>
            </w:r>
            <w:r>
              <w:rPr>
                <w:b w:val="0"/>
                <w:bCs w:val="0"/>
                <w:i/>
                <w:iCs/>
                <w:vertAlign w:val="subscript"/>
              </w:rPr>
              <w:t>i</w:t>
            </w:r>
          </w:p>
        </w:tc>
        <w:tc>
          <w:tcPr>
            <w:tcW w:w="8187" w:type="dxa"/>
            <w:tcBorders>
              <w:top w:val="nil"/>
              <w:bottom w:val="nil"/>
            </w:tcBorders>
            <w:vAlign w:val="center"/>
            <w:hideMark/>
          </w:tcPr>
          <w:p w:rsidR="00DC5AE7" w:rsidRDefault="00DC5AE7" w:rsidP="00AD3622">
            <w:pPr>
              <w:pStyle w:val="NoSpacing"/>
              <w:cnfStyle w:val="000000000000" w:firstRow="0" w:lastRow="0" w:firstColumn="0" w:lastColumn="0" w:oddVBand="0" w:evenVBand="0" w:oddHBand="0" w:evenHBand="0" w:firstRowFirstColumn="0" w:firstRowLastColumn="0" w:lastRowFirstColumn="0" w:lastRowLastColumn="0"/>
              <w:rPr>
                <w:rFonts w:eastAsia="Batang"/>
                <w:lang w:eastAsia="ko-KR"/>
              </w:rPr>
            </w:pPr>
            <w:r>
              <w:t>Probability an infection is icteric</w:t>
            </w:r>
            <w:r w:rsidR="00682B3C">
              <w:rPr>
                <w:vertAlign w:val="superscript"/>
              </w:rPr>
              <w:t>§</w:t>
            </w:r>
          </w:p>
        </w:tc>
      </w:tr>
      <w:tr w:rsidR="00DC5AE7" w:rsidTr="00420A71">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1548" w:type="dxa"/>
            <w:tcBorders>
              <w:top w:val="nil"/>
              <w:bottom w:val="nil"/>
            </w:tcBorders>
            <w:vAlign w:val="center"/>
          </w:tcPr>
          <w:p w:rsidR="00DC5AE7" w:rsidRDefault="00DC5AE7" w:rsidP="00AD3622">
            <w:pPr>
              <w:pStyle w:val="NoSpacing"/>
              <w:rPr>
                <w:rFonts w:eastAsia="Batang"/>
                <w:b w:val="0"/>
                <w:bCs w:val="0"/>
                <w:lang w:eastAsia="ko-KR"/>
              </w:rPr>
            </w:pPr>
          </w:p>
        </w:tc>
        <w:tc>
          <w:tcPr>
            <w:tcW w:w="8187" w:type="dxa"/>
            <w:tcBorders>
              <w:top w:val="nil"/>
              <w:bottom w:val="nil"/>
            </w:tcBorders>
            <w:vAlign w:val="center"/>
            <w:hideMark/>
          </w:tcPr>
          <w:p w:rsidR="00DC5AE7" w:rsidRDefault="00DC5AE7" w:rsidP="00AD3622">
            <w:pPr>
              <w:pStyle w:val="NoSpacing"/>
              <w:cnfStyle w:val="000000100000" w:firstRow="0" w:lastRow="0" w:firstColumn="0" w:lastColumn="0" w:oddVBand="0" w:evenVBand="0" w:oddHBand="1" w:evenHBand="0" w:firstRowFirstColumn="0" w:firstRowLastColumn="0" w:lastRowFirstColumn="0" w:lastRowLastColumn="0"/>
            </w:pPr>
            <w:r>
              <w:t>Scale parameter,</w:t>
            </w:r>
            <w:r>
              <w:rPr>
                <w:i/>
                <w:iCs/>
              </w:rPr>
              <w:t xml:space="preserve"> a</w:t>
            </w:r>
            <w:r>
              <w:rPr>
                <w:vertAlign w:val="subscript"/>
              </w:rPr>
              <w:t>0</w:t>
            </w:r>
          </w:p>
        </w:tc>
      </w:tr>
      <w:tr w:rsidR="00DC5AE7" w:rsidTr="00420A71">
        <w:trPr>
          <w:trHeight w:val="360"/>
        </w:trPr>
        <w:tc>
          <w:tcPr>
            <w:cnfStyle w:val="001000000000" w:firstRow="0" w:lastRow="0" w:firstColumn="1" w:lastColumn="0" w:oddVBand="0" w:evenVBand="0" w:oddHBand="0" w:evenHBand="0" w:firstRowFirstColumn="0" w:firstRowLastColumn="0" w:lastRowFirstColumn="0" w:lastRowLastColumn="0"/>
            <w:tcW w:w="1548" w:type="dxa"/>
            <w:tcBorders>
              <w:top w:val="nil"/>
              <w:bottom w:val="nil"/>
            </w:tcBorders>
            <w:vAlign w:val="center"/>
          </w:tcPr>
          <w:p w:rsidR="00DC5AE7" w:rsidRDefault="00DC5AE7" w:rsidP="00AD3622">
            <w:pPr>
              <w:pStyle w:val="NoSpacing"/>
              <w:rPr>
                <w:rFonts w:eastAsia="Batang"/>
                <w:b w:val="0"/>
                <w:bCs w:val="0"/>
                <w:lang w:eastAsia="ko-KR"/>
              </w:rPr>
            </w:pPr>
          </w:p>
        </w:tc>
        <w:tc>
          <w:tcPr>
            <w:tcW w:w="8187" w:type="dxa"/>
            <w:tcBorders>
              <w:top w:val="nil"/>
              <w:bottom w:val="nil"/>
            </w:tcBorders>
            <w:vAlign w:val="center"/>
            <w:hideMark/>
          </w:tcPr>
          <w:p w:rsidR="00DC5AE7" w:rsidRDefault="00DC5AE7" w:rsidP="00AD3622">
            <w:pPr>
              <w:pStyle w:val="NoSpacing"/>
              <w:cnfStyle w:val="000000000000" w:firstRow="0" w:lastRow="0" w:firstColumn="0" w:lastColumn="0" w:oddVBand="0" w:evenVBand="0" w:oddHBand="0" w:evenHBand="0" w:firstRowFirstColumn="0" w:firstRowLastColumn="0" w:lastRowFirstColumn="0" w:lastRowLastColumn="0"/>
            </w:pPr>
            <w:r>
              <w:t>Shape parameter,</w:t>
            </w:r>
            <w:r>
              <w:rPr>
                <w:i/>
                <w:iCs/>
              </w:rPr>
              <w:t xml:space="preserve"> a</w:t>
            </w:r>
            <w:r>
              <w:rPr>
                <w:vertAlign w:val="subscript"/>
              </w:rPr>
              <w:t>1</w:t>
            </w:r>
          </w:p>
        </w:tc>
      </w:tr>
      <w:tr w:rsidR="00DC5AE7" w:rsidTr="00420A71">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1548" w:type="dxa"/>
            <w:tcBorders>
              <w:top w:val="nil"/>
              <w:bottom w:val="nil"/>
            </w:tcBorders>
            <w:vAlign w:val="center"/>
          </w:tcPr>
          <w:p w:rsidR="00DC5AE7" w:rsidRDefault="00DC5AE7" w:rsidP="00AD3622">
            <w:pPr>
              <w:pStyle w:val="NoSpacing"/>
              <w:rPr>
                <w:rFonts w:eastAsia="Batang"/>
                <w:b w:val="0"/>
                <w:bCs w:val="0"/>
                <w:lang w:eastAsia="ko-KR"/>
              </w:rPr>
            </w:pPr>
          </w:p>
        </w:tc>
        <w:tc>
          <w:tcPr>
            <w:tcW w:w="8187" w:type="dxa"/>
            <w:tcBorders>
              <w:top w:val="nil"/>
              <w:bottom w:val="nil"/>
            </w:tcBorders>
            <w:vAlign w:val="center"/>
            <w:hideMark/>
          </w:tcPr>
          <w:p w:rsidR="00DC5AE7" w:rsidRDefault="00DC5AE7" w:rsidP="00AD3622">
            <w:pPr>
              <w:pStyle w:val="NoSpacing"/>
              <w:cnfStyle w:val="000000100000" w:firstRow="0" w:lastRow="0" w:firstColumn="0" w:lastColumn="0" w:oddVBand="0" w:evenVBand="0" w:oddHBand="1" w:evenHBand="0" w:firstRowFirstColumn="0" w:firstRowLastColumn="0" w:lastRowFirstColumn="0" w:lastRowLastColumn="0"/>
            </w:pPr>
            <w:r>
              <w:t>Shape parameter,</w:t>
            </w:r>
            <w:r>
              <w:rPr>
                <w:i/>
                <w:iCs/>
              </w:rPr>
              <w:t xml:space="preserve"> a</w:t>
            </w:r>
            <w:r>
              <w:rPr>
                <w:vertAlign w:val="subscript"/>
              </w:rPr>
              <w:t>2</w:t>
            </w:r>
          </w:p>
        </w:tc>
      </w:tr>
      <w:tr w:rsidR="00DC5AE7" w:rsidTr="00420A71">
        <w:trPr>
          <w:trHeight w:val="360"/>
        </w:trPr>
        <w:tc>
          <w:tcPr>
            <w:cnfStyle w:val="001000000000" w:firstRow="0" w:lastRow="0" w:firstColumn="1" w:lastColumn="0" w:oddVBand="0" w:evenVBand="0" w:oddHBand="0" w:evenHBand="0" w:firstRowFirstColumn="0" w:firstRowLastColumn="0" w:lastRowFirstColumn="0" w:lastRowLastColumn="0"/>
            <w:tcW w:w="1548" w:type="dxa"/>
            <w:tcBorders>
              <w:top w:val="nil"/>
              <w:bottom w:val="nil"/>
            </w:tcBorders>
            <w:vAlign w:val="center"/>
            <w:hideMark/>
          </w:tcPr>
          <w:p w:rsidR="00DC5AE7" w:rsidRDefault="00DC5AE7" w:rsidP="00AD3622">
            <w:pPr>
              <w:pStyle w:val="NoSpacing"/>
              <w:rPr>
                <w:rFonts w:eastAsia="Batang"/>
                <w:b w:val="0"/>
                <w:bCs w:val="0"/>
                <w:i/>
                <w:iCs/>
                <w:lang w:eastAsia="ko-KR"/>
              </w:rPr>
            </w:pPr>
            <w:r>
              <w:rPr>
                <w:b w:val="0"/>
                <w:bCs w:val="0"/>
                <w:i/>
                <w:iCs/>
              </w:rPr>
              <w:sym w:font="Symbol" w:char="F065"/>
            </w:r>
            <w:r>
              <w:rPr>
                <w:b w:val="0"/>
                <w:bCs w:val="0"/>
                <w:i/>
                <w:iCs/>
                <w:vertAlign w:val="subscript"/>
              </w:rPr>
              <w:t>i</w:t>
            </w:r>
          </w:p>
        </w:tc>
        <w:tc>
          <w:tcPr>
            <w:tcW w:w="8187" w:type="dxa"/>
            <w:tcBorders>
              <w:top w:val="nil"/>
              <w:bottom w:val="nil"/>
            </w:tcBorders>
            <w:vAlign w:val="center"/>
            <w:hideMark/>
          </w:tcPr>
          <w:p w:rsidR="00DC5AE7" w:rsidRPr="00682B3C" w:rsidRDefault="00DC5AE7" w:rsidP="00AD3622">
            <w:pPr>
              <w:pStyle w:val="NoSpacing"/>
              <w:cnfStyle w:val="000000000000" w:firstRow="0" w:lastRow="0" w:firstColumn="0" w:lastColumn="0" w:oddVBand="0" w:evenVBand="0" w:oddHBand="0" w:evenHBand="0" w:firstRowFirstColumn="0" w:firstRowLastColumn="0" w:lastRowFirstColumn="0" w:lastRowLastColumn="0"/>
              <w:rPr>
                <w:rFonts w:eastAsia="Batang"/>
                <w:vertAlign w:val="superscript"/>
                <w:lang w:eastAsia="ko-KR"/>
              </w:rPr>
            </w:pPr>
            <w:r>
              <w:t>Age-specific probability of hospitalization of an icteric infection</w:t>
            </w:r>
          </w:p>
        </w:tc>
      </w:tr>
      <w:tr w:rsidR="00DC5AE7" w:rsidTr="00420A71">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1548" w:type="dxa"/>
            <w:tcBorders>
              <w:top w:val="nil"/>
              <w:bottom w:val="nil"/>
            </w:tcBorders>
            <w:vAlign w:val="center"/>
            <w:hideMark/>
          </w:tcPr>
          <w:p w:rsidR="00DC5AE7" w:rsidRDefault="00DC5AE7" w:rsidP="00AD3622">
            <w:pPr>
              <w:pStyle w:val="NoSpacing"/>
              <w:rPr>
                <w:rFonts w:eastAsia="Batang"/>
                <w:b w:val="0"/>
                <w:bCs w:val="0"/>
                <w:i/>
                <w:iCs/>
                <w:lang w:eastAsia="ko-KR"/>
              </w:rPr>
            </w:pPr>
            <w:r>
              <w:rPr>
                <w:b w:val="0"/>
                <w:bCs w:val="0"/>
                <w:i/>
                <w:iCs/>
              </w:rPr>
              <w:sym w:font="Symbol" w:char="F068"/>
            </w:r>
            <w:r>
              <w:rPr>
                <w:b w:val="0"/>
                <w:bCs w:val="0"/>
                <w:i/>
                <w:iCs/>
                <w:vertAlign w:val="subscript"/>
              </w:rPr>
              <w:t>i</w:t>
            </w:r>
          </w:p>
        </w:tc>
        <w:tc>
          <w:tcPr>
            <w:tcW w:w="8187" w:type="dxa"/>
            <w:tcBorders>
              <w:top w:val="nil"/>
              <w:bottom w:val="nil"/>
            </w:tcBorders>
            <w:vAlign w:val="center"/>
            <w:hideMark/>
          </w:tcPr>
          <w:p w:rsidR="00DC5AE7" w:rsidRDefault="00DC5AE7" w:rsidP="00AD3622">
            <w:pPr>
              <w:pStyle w:val="NoSpacing"/>
              <w:cnfStyle w:val="000000100000" w:firstRow="0" w:lastRow="0" w:firstColumn="0" w:lastColumn="0" w:oddVBand="0" w:evenVBand="0" w:oddHBand="1" w:evenHBand="0" w:firstRowFirstColumn="0" w:firstRowLastColumn="0" w:lastRowFirstColumn="0" w:lastRowLastColumn="0"/>
              <w:rPr>
                <w:rFonts w:eastAsia="Batang"/>
                <w:lang w:eastAsia="ko-KR"/>
              </w:rPr>
            </w:pPr>
            <w:r>
              <w:t>Age-specific probability of fulminant Hepatitis A from an icteric infection</w:t>
            </w:r>
          </w:p>
        </w:tc>
      </w:tr>
      <w:tr w:rsidR="00DC5AE7" w:rsidTr="00420A71">
        <w:trPr>
          <w:trHeight w:val="360"/>
        </w:trPr>
        <w:tc>
          <w:tcPr>
            <w:cnfStyle w:val="001000000000" w:firstRow="0" w:lastRow="0" w:firstColumn="1" w:lastColumn="0" w:oddVBand="0" w:evenVBand="0" w:oddHBand="0" w:evenHBand="0" w:firstRowFirstColumn="0" w:firstRowLastColumn="0" w:lastRowFirstColumn="0" w:lastRowLastColumn="0"/>
            <w:tcW w:w="1548" w:type="dxa"/>
            <w:tcBorders>
              <w:top w:val="nil"/>
              <w:bottom w:val="nil"/>
            </w:tcBorders>
            <w:vAlign w:val="center"/>
            <w:hideMark/>
          </w:tcPr>
          <w:p w:rsidR="00DC5AE7" w:rsidRDefault="00DC5AE7" w:rsidP="00AD3622">
            <w:pPr>
              <w:pStyle w:val="NoSpacing"/>
              <w:rPr>
                <w:rFonts w:eastAsia="Batang"/>
                <w:b w:val="0"/>
                <w:bCs w:val="0"/>
                <w:i/>
                <w:iCs/>
                <w:lang w:eastAsia="ko-KR"/>
              </w:rPr>
            </w:pPr>
            <w:r>
              <w:rPr>
                <w:b w:val="0"/>
                <w:bCs w:val="0"/>
                <w:i/>
                <w:iCs/>
              </w:rPr>
              <w:sym w:font="Symbol" w:char="F06E"/>
            </w:r>
            <w:r>
              <w:rPr>
                <w:b w:val="0"/>
                <w:bCs w:val="0"/>
                <w:i/>
                <w:iCs/>
                <w:vertAlign w:val="subscript"/>
              </w:rPr>
              <w:t>i</w:t>
            </w:r>
          </w:p>
        </w:tc>
        <w:tc>
          <w:tcPr>
            <w:tcW w:w="8187" w:type="dxa"/>
            <w:tcBorders>
              <w:top w:val="nil"/>
              <w:bottom w:val="nil"/>
            </w:tcBorders>
            <w:vAlign w:val="center"/>
            <w:hideMark/>
          </w:tcPr>
          <w:p w:rsidR="00DC5AE7" w:rsidRDefault="00DC5AE7" w:rsidP="00AD3622">
            <w:pPr>
              <w:pStyle w:val="NoSpacing"/>
              <w:cnfStyle w:val="000000000000" w:firstRow="0" w:lastRow="0" w:firstColumn="0" w:lastColumn="0" w:oddVBand="0" w:evenVBand="0" w:oddHBand="0" w:evenHBand="0" w:firstRowFirstColumn="0" w:firstRowLastColumn="0" w:lastRowFirstColumn="0" w:lastRowLastColumn="0"/>
              <w:rPr>
                <w:rFonts w:eastAsia="Batang"/>
                <w:lang w:eastAsia="ko-KR"/>
              </w:rPr>
            </w:pPr>
            <w:r>
              <w:t>Age-specific probability of liver transplant from an icteric infection</w:t>
            </w:r>
          </w:p>
        </w:tc>
      </w:tr>
      <w:tr w:rsidR="00DC5AE7" w:rsidTr="00420A71">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1548" w:type="dxa"/>
            <w:tcBorders>
              <w:top w:val="nil"/>
              <w:bottom w:val="nil"/>
            </w:tcBorders>
            <w:vAlign w:val="center"/>
            <w:hideMark/>
          </w:tcPr>
          <w:p w:rsidR="00DC5AE7" w:rsidRDefault="00DC5AE7" w:rsidP="00AD3622">
            <w:pPr>
              <w:pStyle w:val="NoSpacing"/>
              <w:rPr>
                <w:rFonts w:eastAsia="Batang"/>
                <w:b w:val="0"/>
                <w:bCs w:val="0"/>
                <w:lang w:eastAsia="ko-KR"/>
              </w:rPr>
            </w:pPr>
            <w:r>
              <w:rPr>
                <w:b w:val="0"/>
                <w:bCs w:val="0"/>
                <w:i/>
                <w:iCs/>
              </w:rPr>
              <w:sym w:font="Symbol" w:char="F056"/>
            </w:r>
            <w:r>
              <w:rPr>
                <w:b w:val="0"/>
                <w:bCs w:val="0"/>
                <w:i/>
                <w:iCs/>
                <w:vertAlign w:val="subscript"/>
              </w:rPr>
              <w:t>i</w:t>
            </w:r>
          </w:p>
        </w:tc>
        <w:tc>
          <w:tcPr>
            <w:tcW w:w="8187" w:type="dxa"/>
            <w:tcBorders>
              <w:top w:val="nil"/>
              <w:bottom w:val="nil"/>
            </w:tcBorders>
            <w:vAlign w:val="center"/>
            <w:hideMark/>
          </w:tcPr>
          <w:p w:rsidR="00DC5AE7" w:rsidRDefault="00DC5AE7" w:rsidP="00AD3622">
            <w:pPr>
              <w:pStyle w:val="NoSpacing"/>
              <w:cnfStyle w:val="000000100000" w:firstRow="0" w:lastRow="0" w:firstColumn="0" w:lastColumn="0" w:oddVBand="0" w:evenVBand="0" w:oddHBand="1" w:evenHBand="0" w:firstRowFirstColumn="0" w:firstRowLastColumn="0" w:lastRowFirstColumn="0" w:lastRowLastColumn="0"/>
              <w:rPr>
                <w:rFonts w:eastAsia="Batang"/>
                <w:lang w:eastAsia="ko-KR"/>
              </w:rPr>
            </w:pPr>
            <w:r>
              <w:t xml:space="preserve">Age-specific probability of death from an icteric infection </w:t>
            </w:r>
          </w:p>
        </w:tc>
      </w:tr>
      <w:tr w:rsidR="00DC5AE7" w:rsidTr="00420A71">
        <w:trPr>
          <w:trHeight w:val="360"/>
        </w:trPr>
        <w:tc>
          <w:tcPr>
            <w:cnfStyle w:val="001000000000" w:firstRow="0" w:lastRow="0" w:firstColumn="1" w:lastColumn="0" w:oddVBand="0" w:evenVBand="0" w:oddHBand="0" w:evenHBand="0" w:firstRowFirstColumn="0" w:firstRowLastColumn="0" w:lastRowFirstColumn="0" w:lastRowLastColumn="0"/>
            <w:tcW w:w="1548" w:type="dxa"/>
            <w:tcBorders>
              <w:top w:val="nil"/>
              <w:bottom w:val="nil"/>
            </w:tcBorders>
            <w:vAlign w:val="center"/>
            <w:hideMark/>
          </w:tcPr>
          <w:p w:rsidR="00DC5AE7" w:rsidRDefault="00DC5AE7" w:rsidP="00AD3622">
            <w:pPr>
              <w:pStyle w:val="NoSpacing"/>
              <w:rPr>
                <w:rFonts w:eastAsia="Batang"/>
                <w:b w:val="0"/>
                <w:bCs w:val="0"/>
                <w:vertAlign w:val="subscript"/>
                <w:lang w:eastAsia="ko-KR"/>
              </w:rPr>
            </w:pPr>
            <w:r>
              <w:rPr>
                <w:b w:val="0"/>
                <w:bCs w:val="0"/>
                <w:i/>
                <w:iCs/>
              </w:rPr>
              <w:sym w:font="Symbol" w:char="F071"/>
            </w:r>
            <w:r>
              <w:rPr>
                <w:b w:val="0"/>
                <w:bCs w:val="0"/>
                <w:vertAlign w:val="subscript"/>
              </w:rPr>
              <w:t>1</w:t>
            </w:r>
          </w:p>
        </w:tc>
        <w:tc>
          <w:tcPr>
            <w:tcW w:w="8187" w:type="dxa"/>
            <w:tcBorders>
              <w:top w:val="nil"/>
              <w:bottom w:val="nil"/>
            </w:tcBorders>
            <w:vAlign w:val="center"/>
            <w:hideMark/>
          </w:tcPr>
          <w:p w:rsidR="00DC5AE7" w:rsidRDefault="00DC5AE7" w:rsidP="00AD3622">
            <w:pPr>
              <w:pStyle w:val="NoSpacing"/>
              <w:cnfStyle w:val="000000000000" w:firstRow="0" w:lastRow="0" w:firstColumn="0" w:lastColumn="0" w:oddVBand="0" w:evenVBand="0" w:oddHBand="0" w:evenHBand="0" w:firstRowFirstColumn="0" w:firstRowLastColumn="0" w:lastRowFirstColumn="0" w:lastRowLastColumn="0"/>
              <w:rPr>
                <w:rFonts w:eastAsia="Batang"/>
                <w:lang w:eastAsia="ko-KR"/>
              </w:rPr>
            </w:pPr>
            <w:r>
              <w:t>Rate of death during 1</w:t>
            </w:r>
            <w:r>
              <w:rPr>
                <w:vertAlign w:val="superscript"/>
              </w:rPr>
              <w:t>st</w:t>
            </w:r>
            <w:r>
              <w:t xml:space="preserve"> year of liver transplantation</w:t>
            </w:r>
          </w:p>
        </w:tc>
      </w:tr>
      <w:tr w:rsidR="00DC5AE7" w:rsidTr="00420A71">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1548" w:type="dxa"/>
            <w:tcBorders>
              <w:top w:val="nil"/>
              <w:bottom w:val="nil"/>
            </w:tcBorders>
            <w:vAlign w:val="center"/>
            <w:hideMark/>
          </w:tcPr>
          <w:p w:rsidR="00DC5AE7" w:rsidRDefault="00DC5AE7" w:rsidP="00AD3622">
            <w:pPr>
              <w:pStyle w:val="NoSpacing"/>
              <w:rPr>
                <w:rFonts w:eastAsia="Batang"/>
                <w:b w:val="0"/>
                <w:bCs w:val="0"/>
                <w:lang w:eastAsia="ko-KR"/>
              </w:rPr>
            </w:pPr>
            <w:r>
              <w:rPr>
                <w:b w:val="0"/>
                <w:bCs w:val="0"/>
                <w:i/>
                <w:iCs/>
              </w:rPr>
              <w:sym w:font="Symbol" w:char="F071"/>
            </w:r>
            <w:r>
              <w:rPr>
                <w:b w:val="0"/>
                <w:bCs w:val="0"/>
                <w:vertAlign w:val="subscript"/>
              </w:rPr>
              <w:t>2</w:t>
            </w:r>
          </w:p>
        </w:tc>
        <w:tc>
          <w:tcPr>
            <w:tcW w:w="8187" w:type="dxa"/>
            <w:tcBorders>
              <w:top w:val="nil"/>
              <w:bottom w:val="nil"/>
            </w:tcBorders>
            <w:vAlign w:val="center"/>
            <w:hideMark/>
          </w:tcPr>
          <w:p w:rsidR="00DC5AE7" w:rsidRDefault="00DC5AE7" w:rsidP="00AD3622">
            <w:pPr>
              <w:pStyle w:val="NoSpacing"/>
              <w:cnfStyle w:val="000000100000" w:firstRow="0" w:lastRow="0" w:firstColumn="0" w:lastColumn="0" w:oddVBand="0" w:evenVBand="0" w:oddHBand="1" w:evenHBand="0" w:firstRowFirstColumn="0" w:firstRowLastColumn="0" w:lastRowFirstColumn="0" w:lastRowLastColumn="0"/>
              <w:rPr>
                <w:rFonts w:eastAsia="Batang"/>
                <w:lang w:eastAsia="ko-KR"/>
              </w:rPr>
            </w:pPr>
            <w:r>
              <w:t>Rate of death from year 2 and beyond after liver transplantation</w:t>
            </w:r>
          </w:p>
        </w:tc>
      </w:tr>
      <w:tr w:rsidR="00DC5AE7" w:rsidTr="00420A71">
        <w:trPr>
          <w:trHeight w:val="360"/>
        </w:trPr>
        <w:tc>
          <w:tcPr>
            <w:cnfStyle w:val="001000000000" w:firstRow="0" w:lastRow="0" w:firstColumn="1" w:lastColumn="0" w:oddVBand="0" w:evenVBand="0" w:oddHBand="0" w:evenHBand="0" w:firstRowFirstColumn="0" w:firstRowLastColumn="0" w:lastRowFirstColumn="0" w:lastRowLastColumn="0"/>
            <w:tcW w:w="1548" w:type="dxa"/>
            <w:tcBorders>
              <w:top w:val="nil"/>
              <w:bottom w:val="nil"/>
            </w:tcBorders>
            <w:vAlign w:val="center"/>
            <w:hideMark/>
          </w:tcPr>
          <w:p w:rsidR="00DC5AE7" w:rsidRDefault="00DC5AE7" w:rsidP="00AD3622">
            <w:pPr>
              <w:pStyle w:val="NoSpacing"/>
              <w:rPr>
                <w:rFonts w:eastAsia="Batang"/>
                <w:b w:val="0"/>
                <w:bCs w:val="0"/>
                <w:i/>
                <w:iCs/>
                <w:lang w:eastAsia="ko-KR"/>
              </w:rPr>
            </w:pPr>
            <w:r>
              <w:rPr>
                <w:b w:val="0"/>
                <w:bCs w:val="0"/>
                <w:i/>
                <w:iCs/>
              </w:rPr>
              <w:sym w:font="Symbol" w:char="F066"/>
            </w:r>
            <w:r>
              <w:rPr>
                <w:b w:val="0"/>
                <w:bCs w:val="0"/>
                <w:i/>
                <w:iCs/>
                <w:vertAlign w:val="subscript"/>
              </w:rPr>
              <w:t>i</w:t>
            </w:r>
          </w:p>
        </w:tc>
        <w:tc>
          <w:tcPr>
            <w:tcW w:w="8187" w:type="dxa"/>
            <w:tcBorders>
              <w:top w:val="nil"/>
              <w:bottom w:val="nil"/>
            </w:tcBorders>
            <w:vAlign w:val="center"/>
            <w:hideMark/>
          </w:tcPr>
          <w:p w:rsidR="00DC5AE7" w:rsidRDefault="00DC5AE7" w:rsidP="00AD3622">
            <w:pPr>
              <w:pStyle w:val="NoSpacing"/>
              <w:cnfStyle w:val="000000000000" w:firstRow="0" w:lastRow="0" w:firstColumn="0" w:lastColumn="0" w:oddVBand="0" w:evenVBand="0" w:oddHBand="0" w:evenHBand="0" w:firstRowFirstColumn="0" w:firstRowLastColumn="0" w:lastRowFirstColumn="0" w:lastRowLastColumn="0"/>
              <w:rPr>
                <w:rFonts w:eastAsia="Batang"/>
                <w:lang w:eastAsia="ko-KR"/>
              </w:rPr>
            </w:pPr>
            <w:r>
              <w:t>Age- an</w:t>
            </w:r>
            <w:r w:rsidR="0071520E">
              <w:t xml:space="preserve">d time-specific proportion vaccinated </w:t>
            </w:r>
            <w:r w:rsidR="002C609E">
              <w:t xml:space="preserve"> </w:t>
            </w:r>
          </w:p>
        </w:tc>
      </w:tr>
      <w:tr w:rsidR="00DC5AE7" w:rsidTr="00420A71">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1548" w:type="dxa"/>
            <w:tcBorders>
              <w:top w:val="nil"/>
              <w:bottom w:val="nil"/>
            </w:tcBorders>
            <w:vAlign w:val="center"/>
            <w:hideMark/>
          </w:tcPr>
          <w:p w:rsidR="00DC5AE7" w:rsidRDefault="00DC5AE7" w:rsidP="00AD3622">
            <w:pPr>
              <w:pStyle w:val="NoSpacing"/>
              <w:rPr>
                <w:rFonts w:eastAsia="Batang"/>
                <w:b w:val="0"/>
                <w:bCs w:val="0"/>
                <w:lang w:eastAsia="ko-KR"/>
              </w:rPr>
            </w:pPr>
            <w:r>
              <w:rPr>
                <w:b w:val="0"/>
                <w:bCs w:val="0"/>
                <w:i/>
                <w:iCs/>
              </w:rPr>
              <w:sym w:font="Symbol" w:char="F079"/>
            </w:r>
            <w:r>
              <w:rPr>
                <w:b w:val="0"/>
                <w:bCs w:val="0"/>
                <w:vertAlign w:val="subscript"/>
              </w:rPr>
              <w:t>1</w:t>
            </w:r>
          </w:p>
        </w:tc>
        <w:tc>
          <w:tcPr>
            <w:tcW w:w="8187" w:type="dxa"/>
            <w:tcBorders>
              <w:top w:val="nil"/>
              <w:bottom w:val="nil"/>
            </w:tcBorders>
            <w:vAlign w:val="center"/>
            <w:hideMark/>
          </w:tcPr>
          <w:p w:rsidR="00DC5AE7" w:rsidRDefault="00DC5AE7" w:rsidP="00AD3622">
            <w:pPr>
              <w:pStyle w:val="NoSpacing"/>
              <w:cnfStyle w:val="000000100000" w:firstRow="0" w:lastRow="0" w:firstColumn="0" w:lastColumn="0" w:oddVBand="0" w:evenVBand="0" w:oddHBand="1" w:evenHBand="0" w:firstRowFirstColumn="0" w:firstRowLastColumn="0" w:lastRowFirstColumn="0" w:lastRowLastColumn="0"/>
              <w:rPr>
                <w:rFonts w:eastAsia="Batang"/>
                <w:lang w:eastAsia="ko-KR"/>
              </w:rPr>
            </w:pPr>
            <w:r>
              <w:t>Vaccine efficacy, 1 dose only</w:t>
            </w:r>
          </w:p>
        </w:tc>
      </w:tr>
      <w:tr w:rsidR="00DC5AE7" w:rsidTr="00420A71">
        <w:trPr>
          <w:trHeight w:val="360"/>
        </w:trPr>
        <w:tc>
          <w:tcPr>
            <w:cnfStyle w:val="001000000000" w:firstRow="0" w:lastRow="0" w:firstColumn="1" w:lastColumn="0" w:oddVBand="0" w:evenVBand="0" w:oddHBand="0" w:evenHBand="0" w:firstRowFirstColumn="0" w:firstRowLastColumn="0" w:lastRowFirstColumn="0" w:lastRowLastColumn="0"/>
            <w:tcW w:w="1548" w:type="dxa"/>
            <w:tcBorders>
              <w:top w:val="nil"/>
              <w:bottom w:val="nil"/>
            </w:tcBorders>
            <w:vAlign w:val="center"/>
            <w:hideMark/>
          </w:tcPr>
          <w:p w:rsidR="00DC5AE7" w:rsidRDefault="00DC5AE7" w:rsidP="00AD3622">
            <w:pPr>
              <w:pStyle w:val="NoSpacing"/>
              <w:rPr>
                <w:rFonts w:eastAsia="Batang"/>
                <w:b w:val="0"/>
                <w:bCs w:val="0"/>
                <w:lang w:eastAsia="ko-KR"/>
              </w:rPr>
            </w:pPr>
            <w:r>
              <w:rPr>
                <w:b w:val="0"/>
                <w:bCs w:val="0"/>
                <w:i/>
                <w:iCs/>
              </w:rPr>
              <w:sym w:font="Symbol" w:char="F079"/>
            </w:r>
            <w:r>
              <w:rPr>
                <w:b w:val="0"/>
                <w:bCs w:val="0"/>
                <w:vertAlign w:val="subscript"/>
              </w:rPr>
              <w:t>2</w:t>
            </w:r>
          </w:p>
        </w:tc>
        <w:tc>
          <w:tcPr>
            <w:tcW w:w="8187" w:type="dxa"/>
            <w:tcBorders>
              <w:top w:val="nil"/>
              <w:bottom w:val="nil"/>
            </w:tcBorders>
            <w:vAlign w:val="center"/>
            <w:hideMark/>
          </w:tcPr>
          <w:p w:rsidR="00DC5AE7" w:rsidRDefault="00DC5AE7" w:rsidP="00AD3622">
            <w:pPr>
              <w:pStyle w:val="NoSpacing"/>
              <w:cnfStyle w:val="000000000000" w:firstRow="0" w:lastRow="0" w:firstColumn="0" w:lastColumn="0" w:oddVBand="0" w:evenVBand="0" w:oddHBand="0" w:evenHBand="0" w:firstRowFirstColumn="0" w:firstRowLastColumn="0" w:lastRowFirstColumn="0" w:lastRowLastColumn="0"/>
              <w:rPr>
                <w:rFonts w:eastAsia="Batang"/>
                <w:lang w:eastAsia="ko-KR"/>
              </w:rPr>
            </w:pPr>
            <w:r>
              <w:t>Vaccine efficacy, 2 doses</w:t>
            </w:r>
          </w:p>
        </w:tc>
      </w:tr>
      <w:tr w:rsidR="00DC5AE7" w:rsidTr="00420A71">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1548" w:type="dxa"/>
            <w:tcBorders>
              <w:top w:val="nil"/>
              <w:bottom w:val="nil"/>
            </w:tcBorders>
            <w:vAlign w:val="center"/>
            <w:hideMark/>
          </w:tcPr>
          <w:p w:rsidR="00DC5AE7" w:rsidRDefault="00DC5AE7" w:rsidP="00AD3622">
            <w:pPr>
              <w:pStyle w:val="NoSpacing"/>
              <w:rPr>
                <w:rFonts w:eastAsia="Batang"/>
                <w:b w:val="0"/>
                <w:bCs w:val="0"/>
                <w:lang w:eastAsia="ko-KR"/>
              </w:rPr>
            </w:pPr>
            <w:r>
              <w:rPr>
                <w:b w:val="0"/>
                <w:bCs w:val="0"/>
              </w:rPr>
              <w:t>1/</w:t>
            </w:r>
            <w:r>
              <w:rPr>
                <w:b w:val="0"/>
                <w:bCs w:val="0"/>
                <w:i/>
                <w:iCs/>
              </w:rPr>
              <w:sym w:font="Symbol" w:char="F067"/>
            </w:r>
            <w:r>
              <w:rPr>
                <w:b w:val="0"/>
                <w:bCs w:val="0"/>
                <w:vertAlign w:val="subscript"/>
              </w:rPr>
              <w:t>1</w:t>
            </w:r>
          </w:p>
        </w:tc>
        <w:tc>
          <w:tcPr>
            <w:tcW w:w="8187" w:type="dxa"/>
            <w:tcBorders>
              <w:top w:val="nil"/>
              <w:bottom w:val="nil"/>
            </w:tcBorders>
            <w:vAlign w:val="center"/>
            <w:hideMark/>
          </w:tcPr>
          <w:p w:rsidR="00DC5AE7" w:rsidRDefault="00DC5AE7" w:rsidP="00AD3622">
            <w:pPr>
              <w:pStyle w:val="NoSpacing"/>
              <w:cnfStyle w:val="000000100000" w:firstRow="0" w:lastRow="0" w:firstColumn="0" w:lastColumn="0" w:oddVBand="0" w:evenVBand="0" w:oddHBand="1" w:evenHBand="0" w:firstRowFirstColumn="0" w:firstRowLastColumn="0" w:lastRowFirstColumn="0" w:lastRowLastColumn="0"/>
              <w:rPr>
                <w:rFonts w:eastAsia="Batang"/>
                <w:lang w:eastAsia="ko-KR"/>
              </w:rPr>
            </w:pPr>
            <w:r>
              <w:t>Mean duration of vaccine-derived immunity, 1 dose only</w:t>
            </w:r>
          </w:p>
        </w:tc>
      </w:tr>
      <w:tr w:rsidR="00DC5AE7" w:rsidTr="00420A71">
        <w:trPr>
          <w:trHeight w:val="360"/>
        </w:trPr>
        <w:tc>
          <w:tcPr>
            <w:cnfStyle w:val="001000000000" w:firstRow="0" w:lastRow="0" w:firstColumn="1" w:lastColumn="0" w:oddVBand="0" w:evenVBand="0" w:oddHBand="0" w:evenHBand="0" w:firstRowFirstColumn="0" w:firstRowLastColumn="0" w:lastRowFirstColumn="0" w:lastRowLastColumn="0"/>
            <w:tcW w:w="1548" w:type="dxa"/>
            <w:tcBorders>
              <w:top w:val="nil"/>
              <w:bottom w:val="nil"/>
            </w:tcBorders>
            <w:vAlign w:val="center"/>
            <w:hideMark/>
          </w:tcPr>
          <w:p w:rsidR="00DC5AE7" w:rsidRDefault="00DC5AE7" w:rsidP="00AD3622">
            <w:pPr>
              <w:pStyle w:val="NoSpacing"/>
              <w:rPr>
                <w:rFonts w:eastAsia="Batang"/>
                <w:b w:val="0"/>
                <w:bCs w:val="0"/>
                <w:lang w:eastAsia="ko-KR"/>
              </w:rPr>
            </w:pPr>
            <w:r>
              <w:rPr>
                <w:b w:val="0"/>
                <w:bCs w:val="0"/>
              </w:rPr>
              <w:t>1/</w:t>
            </w:r>
            <w:r>
              <w:rPr>
                <w:b w:val="0"/>
                <w:bCs w:val="0"/>
                <w:i/>
                <w:iCs/>
              </w:rPr>
              <w:sym w:font="Symbol" w:char="F067"/>
            </w:r>
            <w:r>
              <w:rPr>
                <w:b w:val="0"/>
                <w:bCs w:val="0"/>
                <w:vertAlign w:val="subscript"/>
              </w:rPr>
              <w:t>2</w:t>
            </w:r>
          </w:p>
        </w:tc>
        <w:tc>
          <w:tcPr>
            <w:tcW w:w="8187" w:type="dxa"/>
            <w:tcBorders>
              <w:top w:val="nil"/>
              <w:bottom w:val="nil"/>
            </w:tcBorders>
            <w:vAlign w:val="center"/>
            <w:hideMark/>
          </w:tcPr>
          <w:p w:rsidR="00DC5AE7" w:rsidRDefault="00DC5AE7" w:rsidP="00AD3622">
            <w:pPr>
              <w:pStyle w:val="NoSpacing"/>
              <w:cnfStyle w:val="000000000000" w:firstRow="0" w:lastRow="0" w:firstColumn="0" w:lastColumn="0" w:oddVBand="0" w:evenVBand="0" w:oddHBand="0" w:evenHBand="0" w:firstRowFirstColumn="0" w:firstRowLastColumn="0" w:lastRowFirstColumn="0" w:lastRowLastColumn="0"/>
              <w:rPr>
                <w:rFonts w:eastAsia="Batang"/>
                <w:lang w:eastAsia="ko-KR"/>
              </w:rPr>
            </w:pPr>
            <w:r>
              <w:t>Mean duration of vaccine-derived immunity, 2 doses</w:t>
            </w:r>
          </w:p>
        </w:tc>
      </w:tr>
      <w:tr w:rsidR="00DC5AE7" w:rsidTr="00682B3C">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1548" w:type="dxa"/>
            <w:tcBorders>
              <w:top w:val="nil"/>
              <w:bottom w:val="nil"/>
            </w:tcBorders>
            <w:vAlign w:val="center"/>
            <w:hideMark/>
          </w:tcPr>
          <w:p w:rsidR="00DC5AE7" w:rsidRDefault="00DC5AE7" w:rsidP="00AD3622">
            <w:pPr>
              <w:pStyle w:val="NoSpacing"/>
              <w:rPr>
                <w:rFonts w:eastAsia="Batang"/>
                <w:b w:val="0"/>
                <w:bCs w:val="0"/>
                <w:i/>
                <w:iCs/>
                <w:lang w:eastAsia="ko-KR"/>
              </w:rPr>
            </w:pPr>
            <w:r>
              <w:rPr>
                <w:b w:val="0"/>
                <w:bCs w:val="0"/>
                <w:i/>
                <w:iCs/>
              </w:rPr>
              <w:sym w:font="Symbol" w:char="F06A"/>
            </w:r>
          </w:p>
        </w:tc>
        <w:tc>
          <w:tcPr>
            <w:tcW w:w="8187" w:type="dxa"/>
            <w:tcBorders>
              <w:top w:val="nil"/>
              <w:bottom w:val="nil"/>
            </w:tcBorders>
            <w:vAlign w:val="center"/>
            <w:hideMark/>
          </w:tcPr>
          <w:p w:rsidR="00DC5AE7" w:rsidRDefault="00DC5AE7" w:rsidP="00AD3622">
            <w:pPr>
              <w:pStyle w:val="NoSpacing"/>
              <w:cnfStyle w:val="000000100000" w:firstRow="0" w:lastRow="0" w:firstColumn="0" w:lastColumn="0" w:oddVBand="0" w:evenVBand="0" w:oddHBand="1" w:evenHBand="0" w:firstRowFirstColumn="0" w:firstRowLastColumn="0" w:lastRowFirstColumn="0" w:lastRowLastColumn="0"/>
              <w:rPr>
                <w:rFonts w:eastAsia="Batang"/>
                <w:lang w:eastAsia="ko-KR"/>
              </w:rPr>
            </w:pPr>
            <w:r>
              <w:t>Vaccine adherence, probability of second dose given first dose</w:t>
            </w:r>
          </w:p>
        </w:tc>
      </w:tr>
      <w:tr w:rsidR="00682B3C" w:rsidTr="00682B3C">
        <w:trPr>
          <w:trHeight w:val="360"/>
        </w:trPr>
        <w:tc>
          <w:tcPr>
            <w:cnfStyle w:val="001000000000" w:firstRow="0" w:lastRow="0" w:firstColumn="1" w:lastColumn="0" w:oddVBand="0" w:evenVBand="0" w:oddHBand="0" w:evenHBand="0" w:firstRowFirstColumn="0" w:firstRowLastColumn="0" w:lastRowFirstColumn="0" w:lastRowLastColumn="0"/>
            <w:tcW w:w="9735" w:type="dxa"/>
            <w:gridSpan w:val="2"/>
            <w:tcBorders>
              <w:top w:val="nil"/>
              <w:bottom w:val="single" w:sz="8" w:space="0" w:color="000000" w:themeColor="text1"/>
            </w:tcBorders>
            <w:vAlign w:val="center"/>
          </w:tcPr>
          <w:p w:rsidR="00682B3C" w:rsidRPr="00682B3C" w:rsidRDefault="00682B3C" w:rsidP="00022FAF">
            <w:pPr>
              <w:rPr>
                <w:b w:val="0"/>
              </w:rPr>
            </w:pPr>
            <w:r w:rsidRPr="00682B3C">
              <w:rPr>
                <w:b w:val="0"/>
              </w:rPr>
              <w:t>§The probability of icteric infection among age group j is given by:</w:t>
            </w:r>
            <w:r w:rsidRPr="00CB6D9F">
              <w:t xml:space="preserve"> </w:t>
            </w:r>
            <w:r w:rsidRPr="00682B3C">
              <w:rPr>
                <w:rFonts w:asciiTheme="minorHAnsi" w:eastAsiaTheme="minorHAnsi" w:hAnsiTheme="minorHAnsi" w:cstheme="minorBidi"/>
                <w:b w:val="0"/>
                <w:bCs w:val="0"/>
                <w:color w:val="auto"/>
                <w:position w:val="-18"/>
                <w:sz w:val="22"/>
                <w:szCs w:val="22"/>
              </w:rPr>
              <w:object w:dxaOrig="1800" w:dyaOrig="620" w14:anchorId="66264A14">
                <v:shape id="_x0000_i1028" type="#_x0000_t75" style="width:90pt;height:32.25pt" o:ole="">
                  <v:imagedata r:id="rId15" o:title=""/>
                </v:shape>
                <o:OLEObject Type="Embed" ProgID="Equation.3" ShapeID="_x0000_i1028" DrawAspect="Content" ObjectID="_1580737738" r:id="rId16"/>
              </w:object>
            </w:r>
            <w:r w:rsidRPr="00682B3C">
              <w:rPr>
                <w:b w:val="0"/>
              </w:rPr>
              <w:t xml:space="preserve"> as described in</w:t>
            </w:r>
            <w:r w:rsidR="00022FAF" w:rsidRPr="00A26A84">
              <w:fldChar w:fldCharType="begin" w:fldLock="1"/>
            </w:r>
            <w:r w:rsidR="00022FAF">
              <w:rPr>
                <w:b w:val="0"/>
              </w:rPr>
              <w:instrText>ADDIN CSL_CITATION { "citationItems" : [ { "id" : "ITEM-1", "itemData" : { "author" : [ { "dropping-particle" : "", "family" : "Armstrong", "given" : "Gregory L", "non-dropping-particle" : "", "parse-names" : false, "suffix" : "" }, { "dropping-particle" : "", "family" : "Bell", "given" : "Beth P", "non-dropping-particle" : "", "parse-names" : false, "suffix" : "" } ], "container-title" : "Pediatrics", "id" : "ITEM-1", "issue" : "5", "issued" : { "date-parts" : [ [ "2002" ] ] }, "title" : "Hepatitis A Virus infections in the United States: Model-Based Estimates and Implications for Childhood Immunization", "type" : "article-journal", "volume" : "109" }, "uris" : [ "http://www.mendeley.com/documents/?uuid=872461ad-643b-4955-94a0-48ac57cc2b9c" ] } ], "mendeley" : { "formattedCitation" : "[5]", "plainTextFormattedCitation" : "[5]", "previouslyFormattedCitation" : "[5]" }, "properties" : { "noteIndex" : 0 }, "schema" : "https://github.com/citation-style-language/schema/raw/master/csl-citation.json" }</w:instrText>
            </w:r>
            <w:r w:rsidR="00022FAF" w:rsidRPr="00A26A84">
              <w:fldChar w:fldCharType="separate"/>
            </w:r>
            <w:r w:rsidR="00022FAF" w:rsidRPr="00022FAF">
              <w:rPr>
                <w:b w:val="0"/>
                <w:noProof/>
              </w:rPr>
              <w:t>[5]</w:t>
            </w:r>
            <w:r w:rsidR="00022FAF" w:rsidRPr="00A26A84">
              <w:fldChar w:fldCharType="end"/>
            </w:r>
          </w:p>
        </w:tc>
      </w:tr>
    </w:tbl>
    <w:p w:rsidR="00682B3C" w:rsidRDefault="00682B3C" w:rsidP="00420A71">
      <w:pPr>
        <w:pStyle w:val="BodyText"/>
        <w:spacing w:line="480" w:lineRule="auto"/>
        <w:rPr>
          <w:rFonts w:ascii="Times New Roman" w:hAnsi="Times New Roman" w:cs="Times New Roman"/>
        </w:rPr>
      </w:pPr>
    </w:p>
    <w:p w:rsidR="00420A71" w:rsidRDefault="00420A71" w:rsidP="00AD3622">
      <w:r>
        <w:t xml:space="preserve">Susceptible individuals acquire infection at an age and time dependent rate </w:t>
      </w:r>
      <w:r>
        <w:rPr>
          <w:i/>
        </w:rPr>
        <w:sym w:font="Symbol" w:char="F06C"/>
      </w:r>
      <w:r>
        <w:rPr>
          <w:i/>
          <w:vertAlign w:val="subscript"/>
        </w:rPr>
        <w:t>i</w:t>
      </w:r>
      <w:r>
        <w:t xml:space="preserve"> known as the force of infection. This rate depends on the age-specific number of adequate contacts </w:t>
      </w:r>
      <w:r>
        <w:rPr>
          <w:i/>
          <w:iCs/>
        </w:rPr>
        <w:sym w:font="Symbol" w:char="F062"/>
      </w:r>
      <w:r>
        <w:rPr>
          <w:i/>
          <w:iCs/>
          <w:vertAlign w:val="subscript"/>
        </w:rPr>
        <w:t>ij</w:t>
      </w:r>
      <w:r>
        <w:t>. The force of infection is given by</w:t>
      </w:r>
    </w:p>
    <w:p w:rsidR="00420A71" w:rsidRDefault="00CB6D9F" w:rsidP="00420A71">
      <w:pPr>
        <w:pStyle w:val="Subsubsection"/>
        <w:spacing w:line="480" w:lineRule="auto"/>
        <w:jc w:val="center"/>
        <w:rPr>
          <w:rFonts w:ascii="Times New Roman" w:hAnsi="Times New Roman" w:cs="Times New Roman"/>
          <w:sz w:val="24"/>
          <w:szCs w:val="24"/>
        </w:rPr>
      </w:pPr>
      <w:r>
        <w:rPr>
          <w:rFonts w:ascii="Times New Roman" w:hAnsi="Times New Roman" w:cs="Times New Roman"/>
          <w:position w:val="-32"/>
          <w:sz w:val="24"/>
          <w:szCs w:val="24"/>
        </w:rPr>
        <w:object w:dxaOrig="1460" w:dyaOrig="720" w14:anchorId="7B640DD4">
          <v:shape id="_x0000_i1029" type="#_x0000_t75" style="width:74.25pt;height:36pt" o:ole="">
            <v:imagedata r:id="rId17" o:title=""/>
          </v:shape>
          <o:OLEObject Type="Embed" ProgID="Equation.3" ShapeID="_x0000_i1029" DrawAspect="Content" ObjectID="_1580737739" r:id="rId18"/>
        </w:object>
      </w:r>
    </w:p>
    <w:p w:rsidR="00420A71" w:rsidRDefault="00420A71" w:rsidP="00AD3622">
      <w:r>
        <w:t>Unlike the U.S. Hepatitis A model, we do not consider a substantial international travel component</w:t>
      </w:r>
      <w:r w:rsidR="00022FAF">
        <w:t xml:space="preserve"> nor do we include any other exogenous terms</w:t>
      </w:r>
      <w:r>
        <w:t xml:space="preserve"> to the force of infection.  </w:t>
      </w:r>
      <w:r w:rsidR="00022FAF">
        <w:t>It</w:t>
      </w:r>
      <w:r>
        <w:t xml:space="preserve"> is reasonable </w:t>
      </w:r>
      <w:r w:rsidR="00022FAF">
        <w:t xml:space="preserve">to forgo the travel component </w:t>
      </w:r>
      <w:r>
        <w:t xml:space="preserve">in intermediate and high endemicity regions where the local prevalence of disease is expected to be dominate any travel effects as well as the fact that most of the adult population is </w:t>
      </w:r>
      <w:r>
        <w:lastRenderedPageBreak/>
        <w:t>already immune.</w:t>
      </w:r>
      <w:r w:rsidR="00022FAF">
        <w:t xml:space="preserve">  Other exogenous effects, such as effects from immigration are not expected to play a significant role.  </w:t>
      </w:r>
      <w:r>
        <w:t xml:space="preserve">  </w:t>
      </w:r>
    </w:p>
    <w:p w:rsidR="00EB4989" w:rsidRDefault="00EB4989" w:rsidP="00AD3622">
      <w:pPr>
        <w:pStyle w:val="Heading1"/>
      </w:pPr>
      <w:r>
        <w:t>Population mixing and transmission rate</w:t>
      </w:r>
    </w:p>
    <w:p w:rsidR="00EB4989" w:rsidRDefault="00EB4989" w:rsidP="00AD3622">
      <w:r>
        <w:t xml:space="preserve">The contact matrix </w:t>
      </w:r>
      <w:r>
        <w:rPr>
          <w:i/>
          <w:iCs/>
        </w:rPr>
        <w:sym w:font="Symbol" w:char="F062"/>
      </w:r>
      <w:r>
        <w:rPr>
          <w:i/>
          <w:iCs/>
          <w:vertAlign w:val="subscript"/>
        </w:rPr>
        <w:t>ij</w:t>
      </w:r>
      <w:r>
        <w:t xml:space="preserve"> is obtained as follows. We assume separable mixing and use the proportionate mixing form by defining activity levels </w:t>
      </w:r>
      <w:r>
        <w:rPr>
          <w:i/>
          <w:iCs/>
        </w:rPr>
        <w:t>c</w:t>
      </w:r>
      <w:r>
        <w:rPr>
          <w:i/>
          <w:iCs/>
          <w:vertAlign w:val="subscript"/>
        </w:rPr>
        <w:t>j</w:t>
      </w:r>
      <w:r>
        <w:t xml:space="preserve"> for each of the 101 age groups. Thus,</w:t>
      </w:r>
    </w:p>
    <w:p w:rsidR="00EB4989" w:rsidRDefault="00271160" w:rsidP="00EB4989">
      <w:pPr>
        <w:pStyle w:val="Subsubsection"/>
        <w:spacing w:line="480" w:lineRule="auto"/>
        <w:jc w:val="center"/>
        <w:rPr>
          <w:rFonts w:ascii="Times New Roman" w:hAnsi="Times New Roman" w:cs="Times New Roman"/>
          <w:sz w:val="24"/>
          <w:szCs w:val="24"/>
        </w:rPr>
      </w:pPr>
      <w:r>
        <w:rPr>
          <w:rFonts w:ascii="Times New Roman" w:hAnsi="Times New Roman" w:cs="Times New Roman"/>
          <w:position w:val="-60"/>
          <w:sz w:val="24"/>
          <w:szCs w:val="24"/>
        </w:rPr>
        <w:object w:dxaOrig="1480" w:dyaOrig="1020" w14:anchorId="0F093B30">
          <v:shape id="_x0000_i1030" type="#_x0000_t75" style="width:74.25pt;height:51pt" o:ole="">
            <v:imagedata r:id="rId19" o:title=""/>
          </v:shape>
          <o:OLEObject Type="Embed" ProgID="Equation.3" ShapeID="_x0000_i1030" DrawAspect="Content" ObjectID="_1580737740" r:id="rId20"/>
        </w:object>
      </w:r>
    </w:p>
    <w:p w:rsidR="00EB4989" w:rsidRDefault="00EB4989" w:rsidP="00AD3622">
      <w:pPr>
        <w:rPr>
          <w:noProof/>
        </w:rPr>
      </w:pPr>
      <w:r>
        <w:t xml:space="preserve">Assuming an equilibrium solution sometime before vaccination, the activity levels </w:t>
      </w:r>
      <w:r>
        <w:rPr>
          <w:i/>
          <w:iCs/>
        </w:rPr>
        <w:t>c</w:t>
      </w:r>
      <w:r>
        <w:rPr>
          <w:i/>
          <w:iCs/>
          <w:vertAlign w:val="subscript"/>
        </w:rPr>
        <w:t>j</w:t>
      </w:r>
      <w:r>
        <w:t xml:space="preserve"> are typically found from the equilibrium forces of infection </w:t>
      </w:r>
      <w:r>
        <w:rPr>
          <w:i/>
          <w:iCs/>
        </w:rPr>
        <w:t>λ</w:t>
      </w:r>
      <w:r>
        <w:rPr>
          <w:i/>
          <w:iCs/>
          <w:vertAlign w:val="subscript"/>
        </w:rPr>
        <w:t>j</w:t>
      </w:r>
      <w:r>
        <w:t xml:space="preserve"> and the infectious fractions </w:t>
      </w:r>
      <w:r>
        <w:rPr>
          <w:i/>
          <w:iCs/>
        </w:rPr>
        <w:t>I</w:t>
      </w:r>
      <w:r>
        <w:rPr>
          <w:i/>
          <w:iCs/>
          <w:vertAlign w:val="subscript"/>
        </w:rPr>
        <w:t>j</w:t>
      </w:r>
      <w:r>
        <w:t xml:space="preserve"> as explained in Hethcote</w:t>
      </w:r>
      <w:r w:rsidR="00022FAF">
        <w:fldChar w:fldCharType="begin" w:fldLock="1"/>
      </w:r>
      <w:r w:rsidR="00022FAF">
        <w:instrText>ADDIN CSL_CITATION { "citationItems" : [ { "id" : "ITEM-1", "itemData" : { "abstract" : "The vaccination program for pertussis (whooping cough) in the United States consists of giving multiple doses of pertussis vaccine to young children. A demographic model with a steady-state age distribution is used as a basis for building an epidemiologic model for the transmission of pertussis. This age-structured model includes vaccination of infants and children for pertussis with waning of both infection-acquired and vaccine-induced immunity. Computer simulations of the mathematical model between 1940 and 2040 show the changes that took place during the implementation phase of the U.S. program and predict only minor future changes in the age distribution and incidence of pertussis if the vaccination program is maintained at the 1995 level. The sensitivities of these results to changes in demographic and epidemiologic parameters, vaccine efficacy, duration of protection, and levels of vaccination coverage are investigated.", "author" : [ { "dropping-particle" : "", "family" : "Hethcote", "given" : "H W", "non-dropping-particle" : "", "parse-names" : false, "suffix" : "" } ], "container-title" : "Math Biosci", "id" : "ITEM-1", "issue" : "2", "issued" : { "date-parts" : [ [ "1997" ] ] }, "page" : "89-136", "title" : "An age-structured model for pertussis transmission", "type" : "article-journal", "volume" : "145" }, "uris" : [ "http://www.mendeley.com/documents/?uuid=84d7fa38-1627-46d2-b637-2711e245d4db" ] } ], "mendeley" : { "formattedCitation" : "[1]", "plainTextFormattedCitation" : "[1]", "previouslyFormattedCitation" : "[1]" }, "properties" : { "noteIndex" : 0 }, "schema" : "https://github.com/citation-style-language/schema/raw/master/csl-citation.json" }</w:instrText>
      </w:r>
      <w:r w:rsidR="00022FAF">
        <w:fldChar w:fldCharType="separate"/>
      </w:r>
      <w:r w:rsidR="00022FAF" w:rsidRPr="00022FAF">
        <w:rPr>
          <w:noProof/>
        </w:rPr>
        <w:t>[1]</w:t>
      </w:r>
      <w:r w:rsidR="00022FAF">
        <w:fldChar w:fldCharType="end"/>
      </w:r>
      <w:r>
        <w:rPr>
          <w:noProof/>
        </w:rPr>
        <w:t>:</w:t>
      </w:r>
    </w:p>
    <w:p w:rsidR="00EB4989" w:rsidRDefault="00D346B2" w:rsidP="00EB4989">
      <w:pPr>
        <w:pStyle w:val="Subsubsection"/>
        <w:spacing w:line="480" w:lineRule="auto"/>
        <w:jc w:val="center"/>
        <w:rPr>
          <w:rFonts w:ascii="Times New Roman" w:hAnsi="Times New Roman" w:cs="Times New Roman"/>
          <w:noProof/>
          <w:sz w:val="24"/>
          <w:szCs w:val="24"/>
        </w:rPr>
      </w:pPr>
      <w:r>
        <w:rPr>
          <w:rFonts w:ascii="Times New Roman" w:hAnsi="Times New Roman" w:cs="Times New Roman"/>
          <w:position w:val="-60"/>
          <w:sz w:val="24"/>
          <w:szCs w:val="24"/>
        </w:rPr>
        <w:object w:dxaOrig="1920" w:dyaOrig="1320" w14:anchorId="085AF1D5">
          <v:shape id="_x0000_i1031" type="#_x0000_t75" style="width:96.75pt;height:66pt" o:ole="">
            <v:imagedata r:id="rId21" o:title=""/>
          </v:shape>
          <o:OLEObject Type="Embed" ProgID="Equation.3" ShapeID="_x0000_i1031" DrawAspect="Content" ObjectID="_1580737741" r:id="rId22"/>
        </w:object>
      </w:r>
    </w:p>
    <w:p w:rsidR="00EB4989" w:rsidRDefault="00EB4989" w:rsidP="00AD3622">
      <w:r>
        <w:t xml:space="preserve">The epidemiologic data on Hepatitis A in Jordan and other Middle East </w:t>
      </w:r>
      <w:r w:rsidR="00D346B2">
        <w:t xml:space="preserve">countries indicates </w:t>
      </w:r>
      <w:r>
        <w:t xml:space="preserve"> a dynamic system in transition</w:t>
      </w:r>
      <w:r w:rsidR="00022FAF">
        <w:fldChar w:fldCharType="begin" w:fldLock="1"/>
      </w:r>
      <w:r w:rsidR="00BC37B3">
        <w:instrText>ADDIN CSL_CITATION { "citationItems" : [ { "id" : "ITEM-1", "itemData" : { "abstract" : "Hepatitis A Virus (HAV) has been a significant cause of infections among the children and adolescents of Jordan. Availability of safe vaccines made it necessary to identify the ill-defined temporal immunity trends for HAV and possible age-specific prevalence transitions. This community-based cross sectional study was conducted during the period July-August 2008 on 3,066 recruited subjects from the 12 governorates of Jordan, with pre-defined criteria. Several households were chosen at random within each selected block to enroll the subjects. They were interviewed and data were collected. Their sera were tested for total antibodies against HAV. A multivariate model was then performed to identify the possible risk factors. The HAV sero-prevalence rates among the age categories-second year, 2-4 years, 5-9 years, 10-14 years, 15-19 years, and those above 20 years were 26%, 32%, 44%, 63%, 78%, and 94%, respectively. The model revealed the association of several risk factors for higher HAV sero-prevalence rates: (i) older age groups; (ii) lower maternal education levels; (iii) residing in certain governorates; (iv) using public net drinking water; and (v) avoiding use of public net sewage system. This study provided strong evidence for continuous transition of HAV epidemiology towards intermediate endemicity in Jordan, with more susceptible adolescents and adults. Following the World Health Organization (WHO) recommendations for countries with intermediate endemicity, large-scale hepatitis A vaccination is recommended for children in Jordan. This is strengthened by the availability of effective and safe HAV vaccines, improving the socio-economic status of the Jordanians, and increasing life expectancy among Jordanians.", "author" : [ { "dropping-particle" : "", "family" : "Hayajneh", "given" : "W A", "non-dropping-particle" : "", "parse-names" : false, "suffix" : "" }, { "dropping-particle" : "", "family" : "Balbeesi", "given" : "A", "non-dropping-particle" : "", "parse-names" : false, "suffix" : "" }, { "dropping-particle" : "", "family" : "Faouri", "given" : "S", "non-dropping-particle" : "", "parse-names" : false, "suffix" : "" } ], "container-title" : "J. Med. Virol.", "id" : "ITEM-1", "issue" : "4", "issued" : { "date-parts" : [ [ "2015" ] ] }, "page" : "569-574", "title" : "Hepatitis A virus age-specific sero-prevalence and risk factors among Jordanian children", "type" : "article-journal", "volume" : "87" }, "uris" : [ "http://www.mendeley.com/documents/?uuid=937ab979-7631-4904-a7e0-f2c21751db2c" ] }, { "id" : "ITEM-2", "itemData" : { "abstract" : "BACKGROUND: Few country-level estimates for hepatitis A virus (HAV) seroprevlance are available for the 23 countries in the Eastern Mediterranean region (EMRO) of the World Health Organization. METHODS: We used a three-stage approach to assign an HAV endemicity level to each country in North Africa and the Middle East based on the age at midpoint of population immunity. First, we conducted a systematic review to identify all age-seroprevalence studies conducted within the past 10 years. Second, for countries without first-stage evidence we searched for incidence data and older seroprevalence data. Third, for countries with no hepatitis A data, we estimated HAV endemicity based on socioeconomic and water indicators. RESULTS: This three-stage method allowed us to estimate country-specific endemicity levels for every country in EMRO even though first-stage evidence was only available for nine countries and for three countries only third-stage evidence was available. The region has a heterogeneous hepatitis A risk profile, with 13 countries having very high endemicity (an age at midpoint of population immunity in early childhood), three having high endemicity (late childhood), and seven having intermediate endemicity (early adulthood). CONCLUSIONS: The three-stage estimation approach enables the creation of a complete country-level map of HAV risk in EMRO. Given the heterogeneity of HAV endemicity levels in the region and the likelihood of transitions to lower incidence rates and greater adult susceptibility in the near future, enhanced surveillance for hepatitis A would strengthen decisions about vaccination policy in the region.", "author" : [ { "dropping-particle" : "", "family" : "Itani", "given" : "T", "non-dropping-particle" : "", "parse-names" : false, "suffix" : "" }, { "dropping-particle" : "", "family" : "Jacobsen", "given" : "K H", "non-dropping-particle" : "", "parse-names" : false, "suffix" : "" }, { "dropping-particle" : "", "family" : "Nguyen", "given" : "T", "non-dropping-particle" : "", "parse-names" : false, "suffix" : "" }, { "dropping-particle" : "", "family" : "Wiktor", "given" : "S Z", "non-dropping-particle" : "", "parse-names" : false, "suffix" : "" } ], "container-title" : "Vaccine", "id" : "ITEM-2", "issue" : "46", "issued" : { "date-parts" : [ [ "2014" ] ] }, "page" : "6067-6074", "title" : "A new method for imputing country-level estimates of hepatitis A virus endemicity levels in the Eastern Mediterranean region", "type" : "article-journal", "volume" : "32" }, "uris" : [ "http://www.mendeley.com/documents/?uuid=9efadf77-6a34-40dc-86c7-f5f0344e19ef" ] }, { "id" : "ITEM-3", "itemData" : { "abstract" : "During the past three decades, a gradual shift in the age of infection with hepatitis A virus (HAV) from early childhood to adulthood has been observed. There is a general lack of updated data on HAV burden of disease, incidence and age-specific seroprevalence in countries of the Middle East and North Africa (MENA) region. The aim of this article is to review the published data on anti-HAV seroprevalence, an important tool to monitor infections rates, in countries of the MENA region and associated risk factors including water and socioeconomic data when available. Data on anti-HAV seroprevalence were found for 12 of 25 MENA countries. We show that MENA countries, similar to other areas in the world, have a clear shift in HAV incidence with a decline among young age groups and an increase among adults and older individuals. This would likely be associated with increased morbidity and increased risks of outbreaks among younger age groups. Consequently, the continuous surveillance of hepatitis A cases and the inclusion of hepatitis A vaccine in the expanded immunization programmes are needed in countries of the MENA.", "author" : [ { "dropping-particle" : "", "family" : "Melhem", "given" : "N M", "non-dropping-particle" : "", "parse-names" : false, "suffix" : "" }, { "dropping-particle" : "", "family" : "Talhouk", "given" : "R", "non-dropping-particle" : "", "parse-names" : false, "suffix" : "" }, { "dropping-particle" : "", "family" : "Rachidi", "given" : "H", "non-dropping-particle" : "", "parse-names" : false, "suffix" : "" }, { "dropping-particle" : "", "family" : "Ramia", "given" : "S", "non-dropping-particle" : "", "parse-names" : false, "suffix" : "" } ], "container-title" : "J. Viral Hepat.", "id" : "ITEM-3", "issue" : "9", "issued" : { "date-parts" : [ [ "2014" ] ] }, "page" : "605-615", "title" : "Hepatitis A virus in the Middle East and North Africa region: a new challenge", "type" : "article-journal", "volume" : "21" }, "uris" : [ "http://www.mendeley.com/documents/?uuid=88757a16-9adb-43a7-8af9-9f287853516c" ] } ], "mendeley" : { "formattedCitation" : "[6\u20138]", "plainTextFormattedCitation" : "[6\u20138]", "previouslyFormattedCitation" : "[6\u20138]" }, "properties" : { "noteIndex" : 0 }, "schema" : "https://github.com/citation-style-language/schema/raw/master/csl-citation.json" }</w:instrText>
      </w:r>
      <w:r w:rsidR="00022FAF">
        <w:fldChar w:fldCharType="separate"/>
      </w:r>
      <w:r w:rsidR="00022FAF" w:rsidRPr="00022FAF">
        <w:rPr>
          <w:noProof/>
        </w:rPr>
        <w:t>[6–8]</w:t>
      </w:r>
      <w:r w:rsidR="00022FAF">
        <w:fldChar w:fldCharType="end"/>
      </w:r>
      <w:r>
        <w:t>. To estimate the forces of infection before vaccination programs were initiated, we used least square methods to fit the model to data on age-specific</w:t>
      </w:r>
      <w:r w:rsidR="00BC37B3">
        <w:t xml:space="preserve"> </w:t>
      </w:r>
      <w:r>
        <w:t xml:space="preserve"> sero</w:t>
      </w:r>
      <w:r w:rsidR="00BC37B3">
        <w:t>-</w:t>
      </w:r>
      <w:r>
        <w:t xml:space="preserve">prevalence </w:t>
      </w:r>
      <w:r w:rsidR="00AC7865">
        <w:t xml:space="preserve">and incidence data.  Seroprevalence data for 2008 was obtained </w:t>
      </w:r>
      <w:r>
        <w:t>from a recent study by Hayajneh, et al.</w:t>
      </w:r>
      <w:r w:rsidR="00BC37B3">
        <w:fldChar w:fldCharType="begin" w:fldLock="1"/>
      </w:r>
      <w:r w:rsidR="00BC37B3">
        <w:instrText>ADDIN CSL_CITATION { "citationItems" : [ { "id" : "ITEM-1", "itemData" : { "abstract" : "Hepatitis A Virus (HAV) has been a significant cause of infections among the children and adolescents of Jordan. Availability of safe vaccines made it necessary to identify the ill-defined temporal immunity trends for HAV and possible age-specific prevalence transitions. This community-based cross sectional study was conducted during the period July-August 2008 on 3,066 recruited subjects from the 12 governorates of Jordan, with pre-defined criteria. Several households were chosen at random within each selected block to enroll the subjects. They were interviewed and data were collected. Their sera were tested for total antibodies against HAV. A multivariate model was then performed to identify the possible risk factors. The HAV sero-prevalence rates among the age categories-second year, 2-4 years, 5-9 years, 10-14 years, 15-19 years, and those above 20 years were 26%, 32%, 44%, 63%, 78%, and 94%, respectively. The model revealed the association of several risk factors for higher HAV sero-prevalence rates: (i) older age groups; (ii) lower maternal education levels; (iii) residing in certain governorates; (iv) using public net drinking water; and (v) avoiding use of public net sewage system. This study provided strong evidence for continuous transition of HAV epidemiology towards intermediate endemicity in Jordan, with more susceptible adolescents and adults. Following the World Health Organization (WHO) recommendations for countries with intermediate endemicity, large-scale hepatitis A vaccination is recommended for children in Jordan. This is strengthened by the availability of effective and safe HAV vaccines, improving the socio-economic status of the Jordanians, and increasing life expectancy among Jordanians.", "author" : [ { "dropping-particle" : "", "family" : "Hayajneh", "given" : "W A", "non-dropping-particle" : "", "parse-names" : false, "suffix" : "" }, { "dropping-particle" : "", "family" : "Balbeesi", "given" : "A", "non-dropping-particle" : "", "parse-names" : false, "suffix" : "" }, { "dropping-particle" : "", "family" : "Faouri", "given" : "S", "non-dropping-particle" : "", "parse-names" : false, "suffix" : "" } ], "container-title" : "J. Med. Virol.", "id" : "ITEM-1", "issue" : "4", "issued" : { "date-parts" : [ [ "2015" ] ] }, "page" : "569-574", "title" : "Hepatitis A virus age-specific sero-prevalence and risk factors among Jordanian children", "type" : "article-journal", "volume" : "87" }, "uris" : [ "http://www.mendeley.com/documents/?uuid=937ab979-7631-4904-a7e0-f2c21751db2c" ] } ], "mendeley" : { "formattedCitation" : "[6]", "plainTextFormattedCitation" : "[6]", "previouslyFormattedCitation" : "[6]" }, "properties" : { "noteIndex" : 0 }, "schema" : "https://github.com/citation-style-language/schema/raw/master/csl-citation.json" }</w:instrText>
      </w:r>
      <w:r w:rsidR="00BC37B3">
        <w:fldChar w:fldCharType="separate"/>
      </w:r>
      <w:r w:rsidR="00BC37B3" w:rsidRPr="00BC37B3">
        <w:rPr>
          <w:noProof/>
        </w:rPr>
        <w:t>[6]</w:t>
      </w:r>
      <w:r w:rsidR="00BC37B3">
        <w:fldChar w:fldCharType="end"/>
      </w:r>
      <w:r w:rsidR="00AC7865">
        <w:t>.  In addition we used seroprevalence data from an older study from approximately 1988</w:t>
      </w:r>
      <w:r w:rsidR="00BC37B3">
        <w:fldChar w:fldCharType="begin" w:fldLock="1"/>
      </w:r>
      <w:r w:rsidR="001E39D8">
        <w:instrText>ADDIN CSL_CITATION { "citationItems" : [ { "id" : "ITEM-1", "itemData" : { "author" : [ { "dropping-particle" : "", "family" : "Toukan", "given" : "A U", "non-dropping-particle" : "", "parse-names" : false, "suffix" : "" }, { "dropping-particle" : "", "family" : "Sharaiha", "given" : "Z K", "non-dropping-particle" : "", "parse-names" : false, "suffix" : "" }, { "dropping-particle" : "", "family" : "Abu-el-Rob", "given" : "O A", "non-dropping-particle" : "", "parse-names" : false, "suffix" : "" } ], "container-title" : "Tropical Gastroenterology", "id" : "ITEM-1", "issued" : { "date-parts" : [ [ "1988" ] ] }, "page" : "76-79", "title" : "The seroepidemiology of hepatitis A virus infection in Jordan", "type" : "article-journal", "volume" : "9" }, "uris" : [ "http://www.mendeley.com/documents/?uuid=6a66de9b-8cac-4aed-9f9b-a10496432572" ] } ], "mendeley" : { "formattedCitation" : "[9]", "plainTextFormattedCitation" : "[9]", "previouslyFormattedCitation" : "[9]" }, "properties" : { "noteIndex" : 0 }, "schema" : "https://github.com/citation-style-language/schema/raw/master/csl-citation.json" }</w:instrText>
      </w:r>
      <w:r w:rsidR="00BC37B3">
        <w:fldChar w:fldCharType="separate"/>
      </w:r>
      <w:r w:rsidR="00BC37B3" w:rsidRPr="00BC37B3">
        <w:rPr>
          <w:noProof/>
        </w:rPr>
        <w:t>[9]</w:t>
      </w:r>
      <w:r w:rsidR="00BC37B3">
        <w:fldChar w:fldCharType="end"/>
      </w:r>
      <w:r w:rsidR="00AC7865">
        <w:t xml:space="preserve">.  </w:t>
      </w:r>
      <w:r w:rsidR="001E39D8">
        <w:t>We used total reported incidence data from the Jordan Ministry of Health between 2004 and 2014</w:t>
      </w:r>
      <w:r w:rsidR="001E39D8">
        <w:fldChar w:fldCharType="begin" w:fldLock="1"/>
      </w:r>
      <w:r w:rsidR="009E3483">
        <w:instrText>ADDIN CSL_CITATION { "citationItems" : [ { "id" : "ITEM-1", "itemData" : { "author" : [ { "dropping-particle" : "", "family" : "Directorate of Vital information Studies Preparation", "given" : "", "non-dropping-particle" : "", "parse-names" : false, "suffix" : "" } ], "collection-title" : "Ministry of Health Annual Statistics Book", "id" : "ITEM-1", "issued" : { "date-parts" : [ [ "2015" ] ] }, "publisher" : "Jordan Ministry of Health", "publisher-place" : "Amman, Jordan", "title" : "Ministry of Health Annual Statistical Book 2014", "type" : "book" }, "uris" : [ "http://www.mendeley.com/documents/?uuid=3872a2f9-9e62-4367-bdbf-079169e7b86f" ] } ], "mendeley" : { "formattedCitation" : "[10]", "plainTextFormattedCitation" : "[10]", "previouslyFormattedCitation" : "[10]" }, "properties" : { "noteIndex" : 0 }, "schema" : "https://github.com/citation-style-language/schema/raw/master/csl-citation.json" }</w:instrText>
      </w:r>
      <w:r w:rsidR="001E39D8">
        <w:fldChar w:fldCharType="separate"/>
      </w:r>
      <w:r w:rsidR="001E39D8" w:rsidRPr="001E39D8">
        <w:rPr>
          <w:noProof/>
        </w:rPr>
        <w:t>[10]</w:t>
      </w:r>
      <w:r w:rsidR="001E39D8">
        <w:fldChar w:fldCharType="end"/>
      </w:r>
      <w:r w:rsidR="001E39D8">
        <w:t xml:space="preserve">. In addition we also considered </w:t>
      </w:r>
      <w:r w:rsidR="00AC7865">
        <w:t>unpublished records from King Abdullah University Hospital</w:t>
      </w:r>
      <w:r>
        <w:t xml:space="preserve"> </w:t>
      </w:r>
      <w:r w:rsidR="00AC7865">
        <w:t xml:space="preserve">covering </w:t>
      </w:r>
      <w:r w:rsidR="001E39D8">
        <w:t xml:space="preserve">inpatient </w:t>
      </w:r>
      <w:r w:rsidR="00AC7865">
        <w:t>cases of hepatitis A between 2003 and 2014.</w:t>
      </w:r>
      <w:r w:rsidR="00ED2365">
        <w:t xml:space="preserve">  </w:t>
      </w:r>
      <w:r w:rsidR="009E3483">
        <w:t>We use this data to represent the proportion of cases that are treated as inpatient cases.</w:t>
      </w:r>
    </w:p>
    <w:p w:rsidR="00F35C9B" w:rsidRDefault="00F35C9B" w:rsidP="00420A71">
      <w:pPr>
        <w:pStyle w:val="Subsubsection"/>
        <w:spacing w:line="480" w:lineRule="auto"/>
        <w:rPr>
          <w:rFonts w:ascii="Times New Roman" w:hAnsi="Times New Roman" w:cs="Times New Roman"/>
          <w:sz w:val="24"/>
          <w:szCs w:val="24"/>
        </w:rPr>
      </w:pPr>
    </w:p>
    <w:p w:rsidR="00DF4265" w:rsidRDefault="00D346B2" w:rsidP="00AD3622">
      <w:r>
        <w:t>Our approach assumes that the endemic disease reached an equilibrium state and stayed there until the forces of infection began experiencing universal</w:t>
      </w:r>
      <w:r w:rsidR="00447581">
        <w:t xml:space="preserve"> (across all age groups)</w:t>
      </w:r>
      <w:r>
        <w:t xml:space="preserve">, primarily downward changes during the pre-vaccination period. </w:t>
      </w:r>
      <w:r w:rsidR="00447581">
        <w:t xml:space="preserve"> We assume there are </w:t>
      </w:r>
      <w:r w:rsidR="009E3483">
        <w:t>two</w:t>
      </w:r>
      <w:r w:rsidR="00447581">
        <w:t xml:space="preserve"> such changes </w:t>
      </w:r>
      <w:r w:rsidR="000E601F">
        <w:t>in</w:t>
      </w:r>
      <w:r w:rsidR="009E3483">
        <w:t xml:space="preserve"> force of infection.  The first change begins at time t</w:t>
      </w:r>
      <w:r w:rsidR="009E3483">
        <w:rPr>
          <w:vertAlign w:val="subscript"/>
        </w:rPr>
        <w:t>1</w:t>
      </w:r>
      <w:r w:rsidR="009E3483">
        <w:t xml:space="preserve"> and ends at t</w:t>
      </w:r>
      <w:r w:rsidR="009E3483">
        <w:rPr>
          <w:vertAlign w:val="subscript"/>
        </w:rPr>
        <w:t xml:space="preserve">2 </w:t>
      </w:r>
      <w:r w:rsidR="009E3483">
        <w:t>reducing the force of infection by a factor of</w:t>
      </w:r>
      <w:r w:rsidR="000E601F">
        <w:t xml:space="preserve"> </w:t>
      </w:r>
      <w:r w:rsidR="000E601F">
        <w:sym w:font="Symbol" w:char="F044"/>
      </w:r>
      <w:r w:rsidR="00335116">
        <w:rPr>
          <w:vertAlign w:val="subscript"/>
        </w:rPr>
        <w:t>1</w:t>
      </w:r>
      <w:r w:rsidR="009E3483">
        <w:t>.  The second change begins at t</w:t>
      </w:r>
      <w:r w:rsidR="009E3483">
        <w:rPr>
          <w:vertAlign w:val="subscript"/>
        </w:rPr>
        <w:t>2</w:t>
      </w:r>
      <w:r w:rsidR="000E601F">
        <w:t xml:space="preserve"> </w:t>
      </w:r>
      <w:r w:rsidR="009E3483">
        <w:t>and ends at t</w:t>
      </w:r>
      <w:r w:rsidR="009E3483">
        <w:rPr>
          <w:vertAlign w:val="subscript"/>
        </w:rPr>
        <w:t xml:space="preserve">3 </w:t>
      </w:r>
      <w:r w:rsidR="009E3483">
        <w:t xml:space="preserve">reducing the force of infection to the factor </w:t>
      </w:r>
      <w:r w:rsidR="000E601F">
        <w:sym w:font="Symbol" w:char="F044"/>
      </w:r>
      <w:r w:rsidR="00335116">
        <w:rPr>
          <w:vertAlign w:val="subscript"/>
        </w:rPr>
        <w:t>2</w:t>
      </w:r>
      <w:r w:rsidR="009E3483">
        <w:rPr>
          <w:vertAlign w:val="subscript"/>
        </w:rPr>
        <w:fldChar w:fldCharType="begin" w:fldLock="1"/>
      </w:r>
      <w:r w:rsidR="001A7EB7">
        <w:rPr>
          <w:vertAlign w:val="subscript"/>
        </w:rPr>
        <w:instrText>ADDIN CSL_CITATION { "citationItems" : [ { "id" : "ITEM-1", "itemData" : { "abstract" : "OBJECTIVE: To assess the population-level impact and cost-effectiveness of hepatitis A vaccination programs in the United States. METHODS: We developed an age-structured population model of hepatitis A transmission dynamics to evaluate two policies of administering a two-dose hepatitis A vaccine to children aged 12 to 18 months: 1) universal routine vaccination as recommended by the Advisory Committee on Immunization Practices in 2006 and 2) Advisory Committee on Immunization Practices's previous regional policy of routine vaccination of children living in states with high hepatitis A incidence. Inputs were obtained from the published literature, public sources, and clinical trial data. The model was fitted to hepatitis A seroprevalence (National Health and Nutrition Examination Survey II and III) and reported incidence from the National Notifiable Diseases Surveillance System (1980-1995). We used a societal perspective and projected costs (in 2013 US ), quality-adjusted life-years, incremental cost-effectiveness ratio, and other outcomes over the period 2006 to 2106. RESULTS: On average, universal routine hepatitis A vaccination prevented 259,776 additional infections, 167,094 outpatient visits, 4781 hospitalizations, and 228 deaths annually. Compared with the regional vaccination policy, universal routine hepatitis A vaccination was cost saving. In scenario analysis, universal vaccination prevented 94,957 infections, 46,179 outpatient visits, 1286 hospitalizations, and 15 deaths annually and had an incremental cost-effectiveness ratio of 21,223/quality-adjusted life-year when herd protection was ignored. CONCLUSIONS: Our model predicted that universal childhood hepatitis A vaccination led to significant reductions in hepatitis A mortality and morbidity. Consequently, universal vaccination was cost saving compared with a regional vaccination policy. Herd protection effects of hepatitis A vaccination programs had a significant impact on hepatitis A mortality, morbidity, and cost-effectiveness ratios.", "author" : [ { "dropping-particle" : "", "family" : "Dhankhar", "given" : "P", "non-dropping-particle" : "", "parse-names" : false, "suffix" : "" }, { "dropping-particle" : "", "family" : "Nwankwo", "given" : "C", "non-dropping-particle" : "", "parse-names" : false, "suffix" : "" }, { "dropping-particle" : "", "family" : "Pillsbury", "given" : "M", "non-dropping-particle" : "", "parse-names" : false, "suffix" : "" }, { "dropping-particle" : "", "family" : "Lauschke", "given" : "A", "non-dropping-particle" : "", "parse-names" : false, "suffix" : "" }, { "dropping-particle" : "", "family" : "Goveia", "given" : "M G", "non-dropping-particle" : "", "parse-names" : false, "suffix" : "" }, { "dropping-particle" : "", "family" : "Acosta", "given" : "C J", "non-dropping-particle" : "", "parse-names" : false, "suffix" : "" }, { "dropping-particle" : "", "family" : "Elbasha", "given" : "E H", "non-dropping-particle" : "", "parse-names" : false, "suffix" : "" } ], "container-title" : "Value Health", "id" : "ITEM-1", "issue" : "4", "issued" : { "date-parts" : [ [ "2015" ] ] }, "page" : "358-367", "publisher" : "Elsevier", "title" : "Public Health Impact and Cost-Effectiveness of Hepatitis A Vaccination in the United States: A Disease Transmission Dynamic Modeling Approach", "type" : "article-journal", "volume" : "18" }, "uris" : [ "http://www.mendeley.com/documents/?uuid=cfd82008-edf2-4ebe-a43b-00ae3b68d956" ] } ], "mendeley" : { "formattedCitation" : "[11]", "plainTextFormattedCitation" : "[11]", "previouslyFormattedCitation" : "[11]" }, "properties" : { "noteIndex" : 0 }, "schema" : "https://github.com/citation-style-language/schema/raw/master/csl-citation.json" }</w:instrText>
      </w:r>
      <w:r w:rsidR="009E3483">
        <w:rPr>
          <w:vertAlign w:val="subscript"/>
        </w:rPr>
        <w:fldChar w:fldCharType="separate"/>
      </w:r>
      <w:r w:rsidR="009E3483" w:rsidRPr="009E3483">
        <w:rPr>
          <w:noProof/>
        </w:rPr>
        <w:t>[11]</w:t>
      </w:r>
      <w:r w:rsidR="009E3483">
        <w:rPr>
          <w:vertAlign w:val="subscript"/>
        </w:rPr>
        <w:fldChar w:fldCharType="end"/>
      </w:r>
      <w:r w:rsidR="00DF4265">
        <w:t xml:space="preserve">. </w:t>
      </w:r>
      <w:r w:rsidR="00271160">
        <w:t xml:space="preserve"> </w:t>
      </w:r>
      <w:r w:rsidR="009E3483">
        <w:t xml:space="preserve">The dates and factors are determined by fitting the model to the sero-prevalence and incidence data. </w:t>
      </w:r>
      <w:r w:rsidR="00B65228">
        <w:t>Thus, using a piecewise form, we adjust the force of infection according to</w:t>
      </w:r>
      <w:r w:rsidR="00B65228">
        <w:rPr>
          <w:position w:val="-12"/>
        </w:rPr>
        <w:object w:dxaOrig="1875" w:dyaOrig="420">
          <v:shape id="_x0000_i1032" type="#_x0000_t75" style="width:93.75pt;height:21pt" o:ole="">
            <v:imagedata r:id="rId23" o:title=""/>
          </v:shape>
          <o:OLEObject Type="Embed" ProgID="Equation.3" ShapeID="_x0000_i1032" DrawAspect="Content" ObjectID="_1580737742" r:id="rId24"/>
        </w:object>
      </w:r>
      <w:r w:rsidR="00B65228">
        <w:t xml:space="preserve"> where</w:t>
      </w:r>
    </w:p>
    <w:p w:rsidR="00AB5066" w:rsidRDefault="00AB5066" w:rsidP="00AD3622"/>
    <w:bookmarkStart w:id="1" w:name="_Ref431290724"/>
    <w:p w:rsidR="00C36A0E" w:rsidRPr="00EB0D45" w:rsidRDefault="00DE10EC" w:rsidP="00EB0D45">
      <w:pPr>
        <w:pStyle w:val="Caption"/>
        <w:rPr>
          <w:b w:val="0"/>
          <w:color w:val="auto"/>
        </w:rPr>
      </w:pPr>
      <m:oMathPara>
        <m:oMath>
          <m:m>
            <m:mPr>
              <m:plcHide m:val="1"/>
              <m:mcs>
                <m:mc>
                  <m:mcPr>
                    <m:count m:val="2"/>
                    <m:mcJc m:val="center"/>
                  </m:mcPr>
                </m:mc>
              </m:mcs>
              <m:ctrlPr>
                <w:rPr>
                  <w:rFonts w:ascii="Cambria Math" w:hAnsi="Cambria Math"/>
                  <w:b w:val="0"/>
                  <w:color w:val="auto"/>
                  <w:lang w:val=""/>
                </w:rPr>
              </m:ctrlPr>
            </m:mPr>
            <m:mr>
              <m:e>
                <m:r>
                  <m:rPr>
                    <m:sty m:val="b"/>
                  </m:rPr>
                  <w:rPr>
                    <w:rFonts w:ascii="Cambria Math" w:hAnsi="Cambria Math"/>
                    <w:color w:val="auto"/>
                    <w:lang w:val=""/>
                  </w:rPr>
                  <m:t>f</m:t>
                </m:r>
                <m:d>
                  <m:dPr>
                    <m:ctrlPr>
                      <w:rPr>
                        <w:rFonts w:ascii="Cambria Math" w:hAnsi="Cambria Math"/>
                        <w:b w:val="0"/>
                        <w:color w:val="auto"/>
                        <w:lang w:val=""/>
                      </w:rPr>
                    </m:ctrlPr>
                  </m:dPr>
                  <m:e>
                    <m:r>
                      <m:rPr>
                        <m:sty m:val="bi"/>
                      </m:rPr>
                      <w:rPr>
                        <w:rFonts w:ascii="Cambria Math" w:hAnsi="Cambria Math"/>
                        <w:color w:val="auto"/>
                        <w:lang w:val=""/>
                      </w:rPr>
                      <m:t>t</m:t>
                    </m:r>
                  </m:e>
                </m:d>
                <m:r>
                  <m:rPr>
                    <m:sty m:val="b"/>
                  </m:rPr>
                  <w:rPr>
                    <w:rFonts w:ascii="Cambria Math" w:hAnsi="Cambria Math"/>
                    <w:color w:val="auto"/>
                    <w:lang w:val=""/>
                  </w:rPr>
                  <m:t>=</m:t>
                </m:r>
              </m:e>
              <m:e>
                <m:d>
                  <m:dPr>
                    <m:begChr m:val="{"/>
                    <m:endChr m:val=""/>
                    <m:ctrlPr>
                      <w:rPr>
                        <w:rFonts w:ascii="Cambria Math" w:hAnsi="Cambria Math"/>
                        <w:b w:val="0"/>
                        <w:color w:val="auto"/>
                        <w:lang w:val=""/>
                      </w:rPr>
                    </m:ctrlPr>
                  </m:dPr>
                  <m:e>
                    <m:m>
                      <m:mPr>
                        <m:plcHide m:val="1"/>
                        <m:mcs>
                          <m:mc>
                            <m:mcPr>
                              <m:count m:val="2"/>
                              <m:mcJc m:val="center"/>
                            </m:mcPr>
                          </m:mc>
                        </m:mcs>
                        <m:ctrlPr>
                          <w:rPr>
                            <w:rFonts w:ascii="Cambria Math" w:hAnsi="Cambria Math"/>
                            <w:b w:val="0"/>
                            <w:color w:val="auto"/>
                            <w:lang w:val=""/>
                          </w:rPr>
                        </m:ctrlPr>
                      </m:mPr>
                      <m:mr>
                        <m:e>
                          <m:r>
                            <m:rPr>
                              <m:sty m:val="b"/>
                            </m:rPr>
                            <w:rPr>
                              <w:rFonts w:ascii="Cambria Math" w:hAnsi="Cambria Math"/>
                              <w:color w:val="auto"/>
                              <w:lang w:val=""/>
                            </w:rPr>
                            <m:t>1</m:t>
                          </m:r>
                        </m:e>
                        <m:e>
                          <m:r>
                            <m:rPr>
                              <m:sty m:val="bi"/>
                            </m:rPr>
                            <w:rPr>
                              <w:rFonts w:ascii="Cambria Math" w:hAnsi="Cambria Math"/>
                              <w:color w:val="auto"/>
                              <w:lang w:val=""/>
                            </w:rPr>
                            <m:t>t</m:t>
                          </m:r>
                          <m:r>
                            <m:rPr>
                              <m:sty m:val="b"/>
                            </m:rPr>
                            <w:rPr>
                              <w:rFonts w:ascii="Cambria Math" w:hAnsi="Cambria Math"/>
                              <w:color w:val="auto"/>
                              <w:lang w:val=""/>
                            </w:rPr>
                            <m:t>≤</m:t>
                          </m:r>
                          <m:sSub>
                            <m:sSubPr>
                              <m:ctrlPr>
                                <w:rPr>
                                  <w:rFonts w:ascii="Cambria Math" w:hAnsi="Cambria Math"/>
                                  <w:b w:val="0"/>
                                  <w:color w:val="auto"/>
                                  <w:lang w:val=""/>
                                </w:rPr>
                              </m:ctrlPr>
                            </m:sSubPr>
                            <m:e>
                              <m:r>
                                <m:rPr>
                                  <m:sty m:val="bi"/>
                                </m:rPr>
                                <w:rPr>
                                  <w:rFonts w:ascii="Cambria Math" w:hAnsi="Cambria Math"/>
                                  <w:color w:val="auto"/>
                                  <w:lang w:val=""/>
                                </w:rPr>
                                <m:t>t</m:t>
                              </m:r>
                            </m:e>
                            <m:sub>
                              <m:r>
                                <m:rPr>
                                  <m:sty m:val="b"/>
                                </m:rPr>
                                <w:rPr>
                                  <w:rFonts w:ascii="Cambria Math" w:hAnsi="Cambria Math"/>
                                  <w:color w:val="auto"/>
                                  <w:lang w:val=""/>
                                </w:rPr>
                                <m:t>1</m:t>
                              </m:r>
                            </m:sub>
                          </m:sSub>
                        </m:e>
                      </m:mr>
                      <m:mr>
                        <m:e>
                          <m:r>
                            <m:rPr>
                              <m:sty m:val="b"/>
                            </m:rPr>
                            <w:rPr>
                              <w:rFonts w:ascii="Cambria Math" w:hAnsi="Cambria Math"/>
                              <w:color w:val="auto"/>
                              <w:lang w:val=""/>
                            </w:rPr>
                            <m:t>1+</m:t>
                          </m:r>
                          <m:d>
                            <m:dPr>
                              <m:ctrlPr>
                                <w:rPr>
                                  <w:rFonts w:ascii="Cambria Math" w:hAnsi="Cambria Math"/>
                                  <w:b w:val="0"/>
                                  <w:color w:val="auto"/>
                                  <w:lang w:val=""/>
                                </w:rPr>
                              </m:ctrlPr>
                            </m:dPr>
                            <m:e>
                              <m:r>
                                <m:rPr>
                                  <m:sty m:val="bi"/>
                                </m:rPr>
                                <w:rPr>
                                  <w:rFonts w:ascii="Cambria Math" w:hAnsi="Cambria Math"/>
                                  <w:color w:val="auto"/>
                                  <w:lang w:val=""/>
                                </w:rPr>
                                <m:t>t</m:t>
                              </m:r>
                              <m:r>
                                <m:rPr>
                                  <m:sty m:val="b"/>
                                </m:rPr>
                                <w:rPr>
                                  <w:rFonts w:ascii="Cambria Math" w:hAnsi="Cambria Math"/>
                                  <w:color w:val="auto"/>
                                  <w:lang w:val=""/>
                                </w:rPr>
                                <m:t>-</m:t>
                              </m:r>
                              <m:sSub>
                                <m:sSubPr>
                                  <m:ctrlPr>
                                    <w:rPr>
                                      <w:rFonts w:ascii="Cambria Math" w:hAnsi="Cambria Math"/>
                                      <w:b w:val="0"/>
                                      <w:color w:val="auto"/>
                                      <w:lang w:val=""/>
                                    </w:rPr>
                                  </m:ctrlPr>
                                </m:sSubPr>
                                <m:e>
                                  <m:r>
                                    <m:rPr>
                                      <m:sty m:val="bi"/>
                                    </m:rPr>
                                    <w:rPr>
                                      <w:rFonts w:ascii="Cambria Math" w:hAnsi="Cambria Math"/>
                                      <w:color w:val="auto"/>
                                      <w:lang w:val=""/>
                                    </w:rPr>
                                    <m:t>t</m:t>
                                  </m:r>
                                </m:e>
                                <m:sub>
                                  <m:r>
                                    <m:rPr>
                                      <m:sty m:val="b"/>
                                    </m:rPr>
                                    <w:rPr>
                                      <w:rFonts w:ascii="Cambria Math" w:hAnsi="Cambria Math"/>
                                      <w:color w:val="auto"/>
                                      <w:lang w:val=""/>
                                    </w:rPr>
                                    <m:t>1</m:t>
                                  </m:r>
                                </m:sub>
                              </m:sSub>
                            </m:e>
                          </m:d>
                          <m:d>
                            <m:dPr>
                              <m:ctrlPr>
                                <w:rPr>
                                  <w:rFonts w:ascii="Cambria Math" w:hAnsi="Cambria Math"/>
                                  <w:b w:val="0"/>
                                  <w:color w:val="auto"/>
                                  <w:lang w:val=""/>
                                </w:rPr>
                              </m:ctrlPr>
                            </m:dPr>
                            <m:e>
                              <m:sSub>
                                <m:sSubPr>
                                  <m:ctrlPr>
                                    <w:rPr>
                                      <w:rFonts w:ascii="Cambria Math" w:hAnsi="Cambria Math"/>
                                      <w:b w:val="0"/>
                                      <w:color w:val="auto"/>
                                      <w:lang w:val=""/>
                                    </w:rPr>
                                  </m:ctrlPr>
                                </m:sSubPr>
                                <m:e>
                                  <m:r>
                                    <m:rPr>
                                      <m:sty m:val="b"/>
                                    </m:rPr>
                                    <w:rPr>
                                      <w:rFonts w:ascii="Cambria Math" w:hAnsi="Cambria Math"/>
                                      <w:color w:val="auto"/>
                                      <w:lang w:val=""/>
                                    </w:rPr>
                                    <m:t>Δ</m:t>
                                  </m:r>
                                </m:e>
                                <m:sub>
                                  <m:r>
                                    <m:rPr>
                                      <m:sty m:val="b"/>
                                    </m:rPr>
                                    <w:rPr>
                                      <w:rFonts w:ascii="Cambria Math" w:hAnsi="Cambria Math"/>
                                      <w:color w:val="auto"/>
                                      <w:lang w:val=""/>
                                    </w:rPr>
                                    <m:t>1</m:t>
                                  </m:r>
                                </m:sub>
                              </m:sSub>
                              <m:r>
                                <m:rPr>
                                  <m:sty m:val="b"/>
                                </m:rPr>
                                <w:rPr>
                                  <w:rFonts w:ascii="Cambria Math" w:hAnsi="Cambria Math"/>
                                  <w:color w:val="auto"/>
                                  <w:lang w:val=""/>
                                </w:rPr>
                                <m:t>-1</m:t>
                              </m:r>
                            </m:e>
                          </m:d>
                          <m:r>
                            <m:rPr>
                              <m:sty m:val="bi"/>
                            </m:rPr>
                            <w:rPr>
                              <w:rFonts w:ascii="Cambria Math" w:hAnsi="Cambria Math"/>
                              <w:color w:val="auto"/>
                              <w:lang w:val=""/>
                            </w:rPr>
                            <m:t>/(</m:t>
                          </m:r>
                          <m:sSub>
                            <m:sSubPr>
                              <m:ctrlPr>
                                <w:rPr>
                                  <w:rFonts w:ascii="Cambria Math" w:hAnsi="Cambria Math"/>
                                  <w:b w:val="0"/>
                                  <w:i/>
                                  <w:color w:val="auto"/>
                                  <w:lang w:val=""/>
                                </w:rPr>
                              </m:ctrlPr>
                            </m:sSubPr>
                            <m:e>
                              <m:r>
                                <m:rPr>
                                  <m:sty m:val="bi"/>
                                </m:rPr>
                                <w:rPr>
                                  <w:rFonts w:ascii="Cambria Math" w:hAnsi="Cambria Math"/>
                                  <w:color w:val="auto"/>
                                  <w:lang w:val=""/>
                                </w:rPr>
                                <m:t>t</m:t>
                              </m:r>
                            </m:e>
                            <m:sub>
                              <m:r>
                                <m:rPr>
                                  <m:sty m:val="bi"/>
                                </m:rPr>
                                <w:rPr>
                                  <w:rFonts w:ascii="Cambria Math" w:hAnsi="Cambria Math"/>
                                  <w:color w:val="auto"/>
                                  <w:lang w:val=""/>
                                </w:rPr>
                                <m:t>2</m:t>
                              </m:r>
                            </m:sub>
                          </m:sSub>
                          <m:r>
                            <m:rPr>
                              <m:sty m:val="bi"/>
                            </m:rPr>
                            <w:rPr>
                              <w:rFonts w:ascii="Cambria Math" w:hAnsi="Cambria Math"/>
                              <w:color w:val="auto"/>
                              <w:lang w:val=""/>
                            </w:rPr>
                            <m:t>-</m:t>
                          </m:r>
                          <m:sSub>
                            <m:sSubPr>
                              <m:ctrlPr>
                                <w:rPr>
                                  <w:rFonts w:ascii="Cambria Math" w:hAnsi="Cambria Math"/>
                                  <w:b w:val="0"/>
                                  <w:i/>
                                  <w:color w:val="auto"/>
                                  <w:lang w:val=""/>
                                </w:rPr>
                              </m:ctrlPr>
                            </m:sSubPr>
                            <m:e>
                              <m:r>
                                <m:rPr>
                                  <m:sty m:val="bi"/>
                                </m:rPr>
                                <w:rPr>
                                  <w:rFonts w:ascii="Cambria Math" w:hAnsi="Cambria Math"/>
                                  <w:color w:val="auto"/>
                                  <w:lang w:val=""/>
                                </w:rPr>
                                <m:t>t</m:t>
                              </m:r>
                            </m:e>
                            <m:sub>
                              <m:r>
                                <m:rPr>
                                  <m:sty m:val="bi"/>
                                </m:rPr>
                                <w:rPr>
                                  <w:rFonts w:ascii="Cambria Math" w:hAnsi="Cambria Math"/>
                                  <w:color w:val="auto"/>
                                  <w:lang w:val=""/>
                                </w:rPr>
                                <m:t>1</m:t>
                              </m:r>
                            </m:sub>
                          </m:sSub>
                          <m:r>
                            <m:rPr>
                              <m:sty m:val="bi"/>
                            </m:rPr>
                            <w:rPr>
                              <w:rFonts w:ascii="Cambria Math" w:hAnsi="Cambria Math"/>
                              <w:color w:val="auto"/>
                              <w:lang w:val=""/>
                            </w:rPr>
                            <m:t>)</m:t>
                          </m:r>
                        </m:e>
                        <m:e>
                          <m:sSub>
                            <m:sSubPr>
                              <m:ctrlPr>
                                <w:rPr>
                                  <w:rFonts w:ascii="Cambria Math" w:hAnsi="Cambria Math"/>
                                  <w:b w:val="0"/>
                                  <w:color w:val="auto"/>
                                  <w:lang w:val=""/>
                                </w:rPr>
                              </m:ctrlPr>
                            </m:sSubPr>
                            <m:e>
                              <m:r>
                                <m:rPr>
                                  <m:sty m:val="bi"/>
                                </m:rPr>
                                <w:rPr>
                                  <w:rFonts w:ascii="Cambria Math" w:hAnsi="Cambria Math"/>
                                  <w:color w:val="auto"/>
                                  <w:lang w:val=""/>
                                </w:rPr>
                                <m:t>t</m:t>
                              </m:r>
                            </m:e>
                            <m:sub>
                              <m:r>
                                <m:rPr>
                                  <m:sty m:val="b"/>
                                </m:rPr>
                                <w:rPr>
                                  <w:rFonts w:ascii="Cambria Math" w:hAnsi="Cambria Math"/>
                                  <w:color w:val="auto"/>
                                  <w:lang w:val=""/>
                                </w:rPr>
                                <m:t>1</m:t>
                              </m:r>
                            </m:sub>
                          </m:sSub>
                          <m:r>
                            <m:rPr>
                              <m:sty m:val="b"/>
                            </m:rPr>
                            <w:rPr>
                              <w:rFonts w:ascii="Cambria Math" w:hAnsi="Cambria Math"/>
                              <w:color w:val="auto"/>
                              <w:lang w:val=""/>
                            </w:rPr>
                            <m:t>&lt;</m:t>
                          </m:r>
                          <m:r>
                            <m:rPr>
                              <m:sty m:val="bi"/>
                            </m:rPr>
                            <w:rPr>
                              <w:rFonts w:ascii="Cambria Math" w:hAnsi="Cambria Math"/>
                              <w:color w:val="auto"/>
                              <w:lang w:val=""/>
                            </w:rPr>
                            <m:t>t</m:t>
                          </m:r>
                          <m:r>
                            <m:rPr>
                              <m:sty m:val="b"/>
                            </m:rPr>
                            <w:rPr>
                              <w:rFonts w:ascii="Cambria Math" w:hAnsi="Cambria Math"/>
                              <w:color w:val="auto"/>
                              <w:lang w:val=""/>
                            </w:rPr>
                            <m:t>≤</m:t>
                          </m:r>
                          <m:sSub>
                            <m:sSubPr>
                              <m:ctrlPr>
                                <w:rPr>
                                  <w:rFonts w:ascii="Cambria Math" w:hAnsi="Cambria Math"/>
                                  <w:b w:val="0"/>
                                  <w:color w:val="auto"/>
                                  <w:lang w:val=""/>
                                </w:rPr>
                              </m:ctrlPr>
                            </m:sSubPr>
                            <m:e>
                              <m:r>
                                <m:rPr>
                                  <m:sty m:val="bi"/>
                                </m:rPr>
                                <w:rPr>
                                  <w:rFonts w:ascii="Cambria Math" w:hAnsi="Cambria Math"/>
                                  <w:color w:val="auto"/>
                                  <w:lang w:val=""/>
                                </w:rPr>
                                <m:t>t</m:t>
                              </m:r>
                            </m:e>
                            <m:sub>
                              <m:r>
                                <m:rPr>
                                  <m:sty m:val="b"/>
                                </m:rPr>
                                <w:rPr>
                                  <w:rFonts w:ascii="Cambria Math" w:hAnsi="Cambria Math"/>
                                  <w:color w:val="auto"/>
                                  <w:lang w:val=""/>
                                </w:rPr>
                                <m:t>2</m:t>
                              </m:r>
                            </m:sub>
                          </m:sSub>
                        </m:e>
                      </m:mr>
                      <m:mr>
                        <m:e>
                          <m:sSub>
                            <m:sSubPr>
                              <m:ctrlPr>
                                <w:rPr>
                                  <w:rFonts w:ascii="Cambria Math" w:hAnsi="Cambria Math"/>
                                  <w:b w:val="0"/>
                                  <w:color w:val="auto"/>
                                  <w:lang w:val=""/>
                                </w:rPr>
                              </m:ctrlPr>
                            </m:sSubPr>
                            <m:e>
                              <m:r>
                                <m:rPr>
                                  <m:sty m:val="b"/>
                                </m:rPr>
                                <w:rPr>
                                  <w:rFonts w:ascii="Cambria Math" w:hAnsi="Cambria Math"/>
                                  <w:color w:val="auto"/>
                                  <w:lang w:val=""/>
                                </w:rPr>
                                <m:t>Δ</m:t>
                              </m:r>
                            </m:e>
                            <m:sub>
                              <m:r>
                                <m:rPr>
                                  <m:sty m:val="b"/>
                                </m:rPr>
                                <w:rPr>
                                  <w:rFonts w:ascii="Cambria Math" w:hAnsi="Cambria Math"/>
                                  <w:color w:val="auto"/>
                                  <w:lang w:val=""/>
                                </w:rPr>
                                <m:t>1</m:t>
                              </m:r>
                            </m:sub>
                          </m:sSub>
                          <m:r>
                            <m:rPr>
                              <m:sty m:val="b"/>
                            </m:rPr>
                            <w:rPr>
                              <w:rFonts w:ascii="Cambria Math" w:hAnsi="Cambria Math"/>
                              <w:color w:val="auto"/>
                              <w:lang w:val=""/>
                            </w:rPr>
                            <m:t>+</m:t>
                          </m:r>
                          <m:d>
                            <m:dPr>
                              <m:ctrlPr>
                                <w:rPr>
                                  <w:rFonts w:ascii="Cambria Math" w:hAnsi="Cambria Math"/>
                                  <w:b w:val="0"/>
                                  <w:color w:val="auto"/>
                                  <w:lang w:val=""/>
                                </w:rPr>
                              </m:ctrlPr>
                            </m:dPr>
                            <m:e>
                              <m:r>
                                <m:rPr>
                                  <m:sty m:val="bi"/>
                                </m:rPr>
                                <w:rPr>
                                  <w:rFonts w:ascii="Cambria Math" w:hAnsi="Cambria Math"/>
                                  <w:color w:val="auto"/>
                                  <w:lang w:val=""/>
                                </w:rPr>
                                <m:t>t</m:t>
                              </m:r>
                              <m:r>
                                <m:rPr>
                                  <m:sty m:val="b"/>
                                </m:rPr>
                                <w:rPr>
                                  <w:rFonts w:ascii="Cambria Math" w:hAnsi="Cambria Math"/>
                                  <w:color w:val="auto"/>
                                  <w:lang w:val=""/>
                                </w:rPr>
                                <m:t>-</m:t>
                              </m:r>
                              <m:sSub>
                                <m:sSubPr>
                                  <m:ctrlPr>
                                    <w:rPr>
                                      <w:rFonts w:ascii="Cambria Math" w:hAnsi="Cambria Math"/>
                                      <w:b w:val="0"/>
                                      <w:color w:val="auto"/>
                                      <w:lang w:val=""/>
                                    </w:rPr>
                                  </m:ctrlPr>
                                </m:sSubPr>
                                <m:e>
                                  <m:r>
                                    <m:rPr>
                                      <m:sty m:val="bi"/>
                                    </m:rPr>
                                    <w:rPr>
                                      <w:rFonts w:ascii="Cambria Math" w:hAnsi="Cambria Math"/>
                                      <w:color w:val="auto"/>
                                      <w:lang w:val=""/>
                                    </w:rPr>
                                    <m:t>t</m:t>
                                  </m:r>
                                </m:e>
                                <m:sub>
                                  <m:r>
                                    <m:rPr>
                                      <m:sty m:val="b"/>
                                    </m:rPr>
                                    <w:rPr>
                                      <w:rFonts w:ascii="Cambria Math" w:hAnsi="Cambria Math"/>
                                      <w:color w:val="auto"/>
                                      <w:lang w:val=""/>
                                    </w:rPr>
                                    <m:t>2</m:t>
                                  </m:r>
                                </m:sub>
                              </m:sSub>
                            </m:e>
                          </m:d>
                          <m:d>
                            <m:dPr>
                              <m:ctrlPr>
                                <w:rPr>
                                  <w:rFonts w:ascii="Cambria Math" w:hAnsi="Cambria Math"/>
                                  <w:b w:val="0"/>
                                  <w:color w:val="auto"/>
                                  <w:lang w:val=""/>
                                </w:rPr>
                              </m:ctrlPr>
                            </m:dPr>
                            <m:e>
                              <m:sSub>
                                <m:sSubPr>
                                  <m:ctrlPr>
                                    <w:rPr>
                                      <w:rFonts w:ascii="Cambria Math" w:hAnsi="Cambria Math"/>
                                      <w:b w:val="0"/>
                                      <w:color w:val="auto"/>
                                      <w:lang w:val=""/>
                                    </w:rPr>
                                  </m:ctrlPr>
                                </m:sSubPr>
                                <m:e>
                                  <m:r>
                                    <m:rPr>
                                      <m:sty m:val="b"/>
                                    </m:rPr>
                                    <w:rPr>
                                      <w:rFonts w:ascii="Cambria Math" w:hAnsi="Cambria Math"/>
                                      <w:color w:val="auto"/>
                                      <w:lang w:val=""/>
                                    </w:rPr>
                                    <m:t>Δ</m:t>
                                  </m:r>
                                </m:e>
                                <m:sub>
                                  <m:r>
                                    <m:rPr>
                                      <m:sty m:val="b"/>
                                    </m:rPr>
                                    <w:rPr>
                                      <w:rFonts w:ascii="Cambria Math" w:hAnsi="Cambria Math"/>
                                      <w:color w:val="auto"/>
                                      <w:lang w:val=""/>
                                    </w:rPr>
                                    <m:t>2</m:t>
                                  </m:r>
                                </m:sub>
                              </m:sSub>
                              <m:r>
                                <m:rPr>
                                  <m:sty m:val="b"/>
                                </m:rPr>
                                <w:rPr>
                                  <w:rFonts w:ascii="Cambria Math" w:hAnsi="Cambria Math"/>
                                  <w:color w:val="auto"/>
                                  <w:lang w:val=""/>
                                </w:rPr>
                                <m:t>-</m:t>
                              </m:r>
                              <m:sSub>
                                <m:sSubPr>
                                  <m:ctrlPr>
                                    <w:rPr>
                                      <w:rFonts w:ascii="Cambria Math" w:hAnsi="Cambria Math"/>
                                      <w:b w:val="0"/>
                                      <w:color w:val="auto"/>
                                      <w:lang w:val=""/>
                                    </w:rPr>
                                  </m:ctrlPr>
                                </m:sSubPr>
                                <m:e>
                                  <m:r>
                                    <m:rPr>
                                      <m:sty m:val="b"/>
                                    </m:rPr>
                                    <w:rPr>
                                      <w:rFonts w:ascii="Cambria Math" w:hAnsi="Cambria Math"/>
                                      <w:color w:val="auto"/>
                                      <w:lang w:val=""/>
                                    </w:rPr>
                                    <m:t>Δ</m:t>
                                  </m:r>
                                </m:e>
                                <m:sub>
                                  <m:r>
                                    <m:rPr>
                                      <m:sty m:val="b"/>
                                    </m:rPr>
                                    <w:rPr>
                                      <w:rFonts w:ascii="Cambria Math" w:hAnsi="Cambria Math"/>
                                      <w:color w:val="auto"/>
                                      <w:lang w:val=""/>
                                    </w:rPr>
                                    <m:t>1</m:t>
                                  </m:r>
                                </m:sub>
                              </m:sSub>
                            </m:e>
                          </m:d>
                          <m:r>
                            <m:rPr>
                              <m:sty m:val="bi"/>
                            </m:rPr>
                            <w:rPr>
                              <w:rFonts w:ascii="Cambria Math" w:hAnsi="Cambria Math"/>
                              <w:color w:val="auto"/>
                              <w:lang w:val=""/>
                            </w:rPr>
                            <m:t>(</m:t>
                          </m:r>
                          <m:sSub>
                            <m:sSubPr>
                              <m:ctrlPr>
                                <w:rPr>
                                  <w:rFonts w:ascii="Cambria Math" w:hAnsi="Cambria Math"/>
                                  <w:b w:val="0"/>
                                  <w:i/>
                                  <w:color w:val="auto"/>
                                  <w:lang w:val=""/>
                                </w:rPr>
                              </m:ctrlPr>
                            </m:sSubPr>
                            <m:e>
                              <m:r>
                                <m:rPr>
                                  <m:sty m:val="bi"/>
                                </m:rPr>
                                <w:rPr>
                                  <w:rFonts w:ascii="Cambria Math" w:hAnsi="Cambria Math"/>
                                  <w:color w:val="auto"/>
                                  <w:lang w:val=""/>
                                </w:rPr>
                                <m:t>t</m:t>
                              </m:r>
                            </m:e>
                            <m:sub>
                              <m:r>
                                <m:rPr>
                                  <m:sty m:val="bi"/>
                                </m:rPr>
                                <w:rPr>
                                  <w:rFonts w:ascii="Cambria Math" w:hAnsi="Cambria Math"/>
                                  <w:color w:val="auto"/>
                                  <w:lang w:val=""/>
                                </w:rPr>
                                <m:t>3</m:t>
                              </m:r>
                            </m:sub>
                          </m:sSub>
                          <m:r>
                            <m:rPr>
                              <m:sty m:val="bi"/>
                            </m:rPr>
                            <w:rPr>
                              <w:rFonts w:ascii="Cambria Math" w:hAnsi="Cambria Math"/>
                              <w:color w:val="auto"/>
                              <w:lang w:val=""/>
                            </w:rPr>
                            <m:t>-</m:t>
                          </m:r>
                          <m:sSub>
                            <m:sSubPr>
                              <m:ctrlPr>
                                <w:rPr>
                                  <w:rFonts w:ascii="Cambria Math" w:hAnsi="Cambria Math"/>
                                  <w:b w:val="0"/>
                                  <w:i/>
                                  <w:color w:val="auto"/>
                                  <w:lang w:val=""/>
                                </w:rPr>
                              </m:ctrlPr>
                            </m:sSubPr>
                            <m:e>
                              <m:r>
                                <m:rPr>
                                  <m:sty m:val="bi"/>
                                </m:rPr>
                                <w:rPr>
                                  <w:rFonts w:ascii="Cambria Math" w:hAnsi="Cambria Math"/>
                                  <w:color w:val="auto"/>
                                  <w:lang w:val=""/>
                                </w:rPr>
                                <m:t>t</m:t>
                              </m:r>
                            </m:e>
                            <m:sub>
                              <m:r>
                                <m:rPr>
                                  <m:sty m:val="bi"/>
                                </m:rPr>
                                <w:rPr>
                                  <w:rFonts w:ascii="Cambria Math" w:hAnsi="Cambria Math"/>
                                  <w:color w:val="auto"/>
                                  <w:lang w:val=""/>
                                </w:rPr>
                                <m:t>2</m:t>
                              </m:r>
                            </m:sub>
                          </m:sSub>
                          <m:r>
                            <m:rPr>
                              <m:sty m:val="bi"/>
                            </m:rPr>
                            <w:rPr>
                              <w:rFonts w:ascii="Cambria Math" w:hAnsi="Cambria Math"/>
                              <w:color w:val="auto"/>
                              <w:lang w:val=""/>
                            </w:rPr>
                            <m:t>)</m:t>
                          </m:r>
                        </m:e>
                        <m:e>
                          <m:sSub>
                            <m:sSubPr>
                              <m:ctrlPr>
                                <w:rPr>
                                  <w:rFonts w:ascii="Cambria Math" w:hAnsi="Cambria Math"/>
                                  <w:b w:val="0"/>
                                  <w:color w:val="auto"/>
                                  <w:lang w:val=""/>
                                </w:rPr>
                              </m:ctrlPr>
                            </m:sSubPr>
                            <m:e>
                              <m:r>
                                <m:rPr>
                                  <m:sty m:val="bi"/>
                                </m:rPr>
                                <w:rPr>
                                  <w:rFonts w:ascii="Cambria Math" w:hAnsi="Cambria Math"/>
                                  <w:color w:val="auto"/>
                                  <w:lang w:val=""/>
                                </w:rPr>
                                <m:t>t</m:t>
                              </m:r>
                            </m:e>
                            <m:sub>
                              <m:r>
                                <m:rPr>
                                  <m:sty m:val="b"/>
                                </m:rPr>
                                <w:rPr>
                                  <w:rFonts w:ascii="Cambria Math" w:hAnsi="Cambria Math"/>
                                  <w:color w:val="auto"/>
                                  <w:lang w:val=""/>
                                </w:rPr>
                                <m:t>2</m:t>
                              </m:r>
                            </m:sub>
                          </m:sSub>
                          <m:r>
                            <m:rPr>
                              <m:sty m:val="b"/>
                            </m:rPr>
                            <w:rPr>
                              <w:rFonts w:ascii="Cambria Math" w:hAnsi="Cambria Math"/>
                              <w:color w:val="auto"/>
                              <w:lang w:val=""/>
                            </w:rPr>
                            <m:t>&lt;</m:t>
                          </m:r>
                          <m:r>
                            <m:rPr>
                              <m:sty m:val="bi"/>
                            </m:rPr>
                            <w:rPr>
                              <w:rFonts w:ascii="Cambria Math" w:hAnsi="Cambria Math"/>
                              <w:color w:val="auto"/>
                              <w:lang w:val=""/>
                            </w:rPr>
                            <m:t>t</m:t>
                          </m:r>
                          <m:r>
                            <m:rPr>
                              <m:sty m:val="b"/>
                            </m:rPr>
                            <w:rPr>
                              <w:rFonts w:ascii="Cambria Math" w:hAnsi="Cambria Math"/>
                              <w:color w:val="auto"/>
                              <w:lang w:val=""/>
                            </w:rPr>
                            <m:t>≤</m:t>
                          </m:r>
                          <m:sSub>
                            <m:sSubPr>
                              <m:ctrlPr>
                                <w:rPr>
                                  <w:rFonts w:ascii="Cambria Math" w:hAnsi="Cambria Math"/>
                                  <w:b w:val="0"/>
                                  <w:color w:val="auto"/>
                                  <w:lang w:val=""/>
                                </w:rPr>
                              </m:ctrlPr>
                            </m:sSubPr>
                            <m:e>
                              <m:r>
                                <m:rPr>
                                  <m:sty m:val="bi"/>
                                </m:rPr>
                                <w:rPr>
                                  <w:rFonts w:ascii="Cambria Math" w:hAnsi="Cambria Math"/>
                                  <w:color w:val="auto"/>
                                  <w:lang w:val=""/>
                                </w:rPr>
                                <m:t>t</m:t>
                              </m:r>
                            </m:e>
                            <m:sub>
                              <m:r>
                                <m:rPr>
                                  <m:sty m:val="bi"/>
                                </m:rPr>
                                <w:rPr>
                                  <w:rFonts w:ascii="Cambria Math" w:hAnsi="Cambria Math"/>
                                  <w:color w:val="auto"/>
                                  <w:lang w:val=""/>
                                </w:rPr>
                                <m:t>3</m:t>
                              </m:r>
                            </m:sub>
                          </m:sSub>
                        </m:e>
                      </m:mr>
                      <m:mr>
                        <m:e>
                          <m:sSub>
                            <m:sSubPr>
                              <m:ctrlPr>
                                <w:rPr>
                                  <w:rFonts w:ascii="Cambria Math" w:hAnsi="Cambria Math"/>
                                  <w:b w:val="0"/>
                                  <w:color w:val="auto"/>
                                  <w:lang w:val=""/>
                                </w:rPr>
                              </m:ctrlPr>
                            </m:sSubPr>
                            <m:e>
                              <m:r>
                                <m:rPr>
                                  <m:sty m:val="b"/>
                                </m:rPr>
                                <w:rPr>
                                  <w:rFonts w:ascii="Cambria Math" w:hAnsi="Cambria Math"/>
                                  <w:color w:val="auto"/>
                                  <w:lang w:val=""/>
                                </w:rPr>
                                <m:t>Δ</m:t>
                              </m:r>
                            </m:e>
                            <m:sub>
                              <m:r>
                                <m:rPr>
                                  <m:sty m:val="b"/>
                                </m:rPr>
                                <w:rPr>
                                  <w:rFonts w:ascii="Cambria Math" w:hAnsi="Cambria Math"/>
                                  <w:color w:val="auto"/>
                                  <w:lang w:val=""/>
                                </w:rPr>
                                <m:t>2</m:t>
                              </m:r>
                            </m:sub>
                          </m:sSub>
                        </m:e>
                        <m:e>
                          <m:r>
                            <m:rPr>
                              <m:sty m:val="bi"/>
                            </m:rPr>
                            <w:rPr>
                              <w:rFonts w:ascii="Cambria Math" w:hAnsi="Cambria Math"/>
                              <w:color w:val="auto"/>
                              <w:lang w:val=""/>
                            </w:rPr>
                            <m:t>t</m:t>
                          </m:r>
                          <m:r>
                            <m:rPr>
                              <m:sty m:val="b"/>
                            </m:rPr>
                            <w:rPr>
                              <w:rFonts w:ascii="Cambria Math" w:hAnsi="Cambria Math"/>
                              <w:color w:val="auto"/>
                              <w:lang w:val=""/>
                            </w:rPr>
                            <m:t>&gt;</m:t>
                          </m:r>
                          <m:sSub>
                            <m:sSubPr>
                              <m:ctrlPr>
                                <w:rPr>
                                  <w:rFonts w:ascii="Cambria Math" w:hAnsi="Cambria Math"/>
                                  <w:b w:val="0"/>
                                  <w:color w:val="auto"/>
                                  <w:lang w:val=""/>
                                </w:rPr>
                              </m:ctrlPr>
                            </m:sSubPr>
                            <m:e>
                              <m:r>
                                <m:rPr>
                                  <m:sty m:val="b"/>
                                </m:rPr>
                                <w:rPr>
                                  <w:rFonts w:ascii="Cambria Math" w:hAnsi="Cambria Math"/>
                                  <w:color w:val="auto"/>
                                  <w:lang w:val=""/>
                                </w:rPr>
                                <m:t>t</m:t>
                              </m:r>
                            </m:e>
                            <m:sub>
                              <m:r>
                                <m:rPr>
                                  <m:sty m:val="bi"/>
                                </m:rPr>
                                <w:rPr>
                                  <w:rFonts w:ascii="Cambria Math" w:hAnsi="Cambria Math"/>
                                  <w:color w:val="auto"/>
                                  <w:lang w:val=""/>
                                </w:rPr>
                                <m:t>3</m:t>
                              </m:r>
                            </m:sub>
                          </m:sSub>
                        </m:e>
                      </m:mr>
                    </m:m>
                    <m:r>
                      <m:rPr>
                        <m:sty m:val="bi"/>
                      </m:rPr>
                      <w:rPr>
                        <w:rFonts w:ascii="Cambria Math" w:hAnsi="Cambria Math"/>
                        <w:color w:val="auto"/>
                        <w:lang w:val=""/>
                      </w:rPr>
                      <m:t xml:space="preserve"> </m:t>
                    </m:r>
                  </m:e>
                </m:d>
              </m:e>
            </m:mr>
          </m:m>
          <m:r>
            <m:rPr>
              <m:sty m:val="b"/>
            </m:rPr>
            <w:rPr>
              <w:rFonts w:eastAsiaTheme="minorEastAsia"/>
              <w:color w:val="auto"/>
              <w:lang w:val=""/>
            </w:rPr>
            <w:br/>
          </m:r>
        </m:oMath>
      </m:oMathPara>
      <w:r w:rsidR="00EB0D45">
        <w:rPr>
          <w:rFonts w:eastAsiaTheme="minorEastAsia"/>
          <w:b w:val="0"/>
          <w:color w:val="auto"/>
          <w:lang w:val=""/>
        </w:rPr>
        <w:tab/>
      </w:r>
      <w:r w:rsidR="00EB0D45">
        <w:rPr>
          <w:rFonts w:eastAsiaTheme="minorEastAsia"/>
          <w:b w:val="0"/>
          <w:color w:val="auto"/>
          <w:lang w:val=""/>
        </w:rPr>
        <w:tab/>
      </w:r>
      <w:r w:rsidR="00EB0D45">
        <w:rPr>
          <w:rFonts w:eastAsiaTheme="minorEastAsia"/>
          <w:b w:val="0"/>
          <w:color w:val="auto"/>
          <w:lang w:val=""/>
        </w:rPr>
        <w:tab/>
      </w:r>
      <w:r w:rsidR="00EB0D45">
        <w:rPr>
          <w:rFonts w:eastAsiaTheme="minorEastAsia"/>
          <w:b w:val="0"/>
          <w:color w:val="auto"/>
          <w:lang w:val=""/>
        </w:rPr>
        <w:tab/>
      </w:r>
      <w:r w:rsidR="00EB0D45">
        <w:rPr>
          <w:rFonts w:eastAsiaTheme="minorEastAsia"/>
          <w:b w:val="0"/>
          <w:color w:val="auto"/>
          <w:lang w:val=""/>
        </w:rPr>
        <w:tab/>
      </w:r>
      <w:bookmarkEnd w:id="1"/>
    </w:p>
    <w:p w:rsidR="00DC6CC8" w:rsidRDefault="00936A30" w:rsidP="00AD3622">
      <w:r>
        <w:t xml:space="preserve">This function </w:t>
      </w:r>
      <w:r w:rsidR="00B65228">
        <w:t xml:space="preserve">accounts for overall </w:t>
      </w:r>
      <w:r>
        <w:t>(non-age-specific)</w:t>
      </w:r>
      <w:r w:rsidR="00ED2365">
        <w:t xml:space="preserve"> changes</w:t>
      </w:r>
      <w:r>
        <w:t xml:space="preserve"> in the level of HAV endem</w:t>
      </w:r>
      <w:r w:rsidR="00B65228">
        <w:t xml:space="preserve">icity in Jordan.  In the U.S., </w:t>
      </w:r>
      <w:r>
        <w:t>these changes occurred primarily in the early part of the 20</w:t>
      </w:r>
      <w:r w:rsidRPr="00936A30">
        <w:rPr>
          <w:vertAlign w:val="superscript"/>
        </w:rPr>
        <w:t>th</w:t>
      </w:r>
      <w:r>
        <w:t xml:space="preserve"> century and the resulting overall endemicity in the U.S. was extremely low, essentially in equilibrium by the time a vaccine was available in the 1990s.  In Jordan, these changes have occurred in the more recent past and may be still ongoing. </w:t>
      </w:r>
      <w:r w:rsidR="00DC6CC8">
        <w:t>Key drivers are likely to be socioeconomic development and improved sanitation and water quality as well as broadening availability of each</w:t>
      </w:r>
      <w:r w:rsidR="00DC6CC8">
        <w:fldChar w:fldCharType="begin" w:fldLock="1"/>
      </w:r>
      <w:r w:rsidR="00FA5B13">
        <w:rPr>
          <w:noProof/>
        </w:rPr>
        <w:instrText>ADDIN Docear CSL_CITATION</w:instrText>
      </w:r>
      <w:r w:rsidR="00FA5B13">
        <w:rPr>
          <w:noProof/>
        </w:rPr>
        <w:br/>
      </w:r>
      <w:r w:rsidR="00FA5B13" w:rsidRPr="00FA5B13">
        <w:rPr>
          <w:b/>
          <w:noProof/>
        </w:rPr>
        <w:instrText>THIS CITATION DATA SHOULD NOT BE MANUALLY MODIFIED!!!</w:instrText>
      </w:r>
      <w:r w:rsidR="00FA5B13">
        <w:rPr>
          <w:noProof/>
        </w:rPr>
        <w:br/>
      </w:r>
      <w:r w:rsidR="00FA5B13" w:rsidRPr="00FA5B13">
        <w:rPr>
          <w:rFonts w:ascii="Courier New" w:hAnsi="Courier New"/>
          <w:noProof/>
          <w:sz w:val="14"/>
        </w:rPr>
        <w:instrText>{</w:instrText>
      </w:r>
      <w:r w:rsidR="00FA5B13" w:rsidRPr="00FA5B13">
        <w:rPr>
          <w:rFonts w:ascii="Courier New" w:hAnsi="Courier New"/>
          <w:noProof/>
          <w:sz w:val="14"/>
        </w:rPr>
        <w:br/>
        <w:instrText xml:space="preserve"> "schema": "https://raw.github.com/citation-style-language/schema/master/csl-citation.json",</w:instrText>
      </w:r>
      <w:r w:rsidR="00FA5B13" w:rsidRPr="00FA5B13">
        <w:rPr>
          <w:rFonts w:ascii="Courier New" w:hAnsi="Courier New"/>
          <w:noProof/>
          <w:sz w:val="14"/>
        </w:rPr>
        <w:br/>
        <w:instrText xml:space="preserve"> "citationID": "{d961cc0f-e0cc-43e4-af4b-8014c3bdd8a0}",</w:instrText>
      </w:r>
      <w:r w:rsidR="00FA5B13" w:rsidRPr="00FA5B13">
        <w:rPr>
          <w:rFonts w:ascii="Courier New" w:hAnsi="Courier New"/>
          <w:noProof/>
          <w:sz w:val="14"/>
        </w:rPr>
        <w:br/>
        <w:instrText xml:space="preserve"> "properties": {</w:instrText>
      </w:r>
      <w:r w:rsidR="00FA5B13" w:rsidRPr="00FA5B13">
        <w:rPr>
          <w:rFonts w:ascii="Courier New" w:hAnsi="Courier New"/>
          <w:noProof/>
          <w:sz w:val="14"/>
        </w:rPr>
        <w:br/>
        <w:instrText xml:space="preserve">  "noteIndex": 0</w:instrText>
      </w:r>
      <w:r w:rsidR="00FA5B13" w:rsidRPr="00FA5B13">
        <w:rPr>
          <w:rFonts w:ascii="Courier New" w:hAnsi="Courier New"/>
          <w:noProof/>
          <w:sz w:val="14"/>
        </w:rPr>
        <w:br/>
        <w:instrText xml:space="preserve"> },</w:instrText>
      </w:r>
      <w:r w:rsidR="00FA5B13" w:rsidRPr="00FA5B13">
        <w:rPr>
          <w:rFonts w:ascii="Courier New" w:hAnsi="Courier New"/>
          <w:noProof/>
          <w:sz w:val="14"/>
        </w:rPr>
        <w:br/>
        <w:instrText xml:space="preserve"> "citationItems": [</w:instrText>
      </w:r>
      <w:r w:rsidR="00FA5B13" w:rsidRPr="00FA5B13">
        <w:rPr>
          <w:rFonts w:ascii="Courier New" w:hAnsi="Courier New"/>
          <w:noProof/>
          <w:sz w:val="14"/>
        </w:rPr>
        <w:br/>
        <w:instrText xml:space="preserve">  {</w:instrText>
      </w:r>
      <w:r w:rsidR="00FA5B13" w:rsidRPr="00FA5B13">
        <w:rPr>
          <w:rFonts w:ascii="Courier New" w:hAnsi="Courier New"/>
          <w:noProof/>
          <w:sz w:val="14"/>
        </w:rPr>
        <w:br/>
        <w:instrText xml:space="preserve">   "id": "ItJacNguWik2014",</w:instrText>
      </w:r>
      <w:r w:rsidR="00FA5B13" w:rsidRPr="00FA5B13">
        <w:rPr>
          <w:rFonts w:ascii="Courier New" w:hAnsi="Courier New"/>
          <w:noProof/>
          <w:sz w:val="14"/>
        </w:rPr>
        <w:br/>
        <w:instrText xml:space="preserve">   "item": {</w:instrText>
      </w:r>
      <w:r w:rsidR="00FA5B13" w:rsidRPr="00FA5B13">
        <w:rPr>
          <w:rFonts w:ascii="Courier New" w:hAnsi="Courier New"/>
          <w:noProof/>
          <w:sz w:val="14"/>
        </w:rPr>
        <w:br/>
        <w:instrText xml:space="preserve">    "id": "ItJacNguWik2014",</w:instrText>
      </w:r>
      <w:r w:rsidR="00FA5B13" w:rsidRPr="00FA5B13">
        <w:rPr>
          <w:rFonts w:ascii="Courier New" w:hAnsi="Courier New"/>
          <w:noProof/>
          <w:sz w:val="14"/>
        </w:rPr>
        <w:br/>
        <w:instrText xml:space="preserve">    "type": "article-journal",</w:instrText>
      </w:r>
      <w:r w:rsidR="00FA5B13" w:rsidRPr="00FA5B13">
        <w:rPr>
          <w:rFonts w:ascii="Courier New" w:hAnsi="Courier New"/>
          <w:noProof/>
          <w:sz w:val="14"/>
        </w:rPr>
        <w:br/>
        <w:instrText xml:space="preserve">    "author": [</w:instrText>
      </w:r>
      <w:r w:rsidR="00FA5B13" w:rsidRPr="00FA5B13">
        <w:rPr>
          <w:rFonts w:ascii="Courier New" w:hAnsi="Courier New"/>
          <w:noProof/>
          <w:sz w:val="14"/>
        </w:rPr>
        <w:br/>
        <w:instrText xml:space="preserve">     {</w:instrText>
      </w:r>
      <w:r w:rsidR="00FA5B13" w:rsidRPr="00FA5B13">
        <w:rPr>
          <w:rFonts w:ascii="Courier New" w:hAnsi="Courier New"/>
          <w:noProof/>
          <w:sz w:val="14"/>
        </w:rPr>
        <w:br/>
        <w:instrText xml:space="preserve">      "family": "Itani",</w:instrText>
      </w:r>
      <w:r w:rsidR="00FA5B13" w:rsidRPr="00FA5B13">
        <w:rPr>
          <w:rFonts w:ascii="Courier New" w:hAnsi="Courier New"/>
          <w:noProof/>
          <w:sz w:val="14"/>
        </w:rPr>
        <w:br/>
        <w:instrText xml:space="preserve">      "given": "T."</w:instrText>
      </w:r>
      <w:r w:rsidR="00FA5B13" w:rsidRPr="00FA5B13">
        <w:rPr>
          <w:rFonts w:ascii="Courier New" w:hAnsi="Courier New"/>
          <w:noProof/>
          <w:sz w:val="14"/>
        </w:rPr>
        <w:br/>
        <w:instrText xml:space="preserve">     },</w:instrText>
      </w:r>
      <w:r w:rsidR="00FA5B13" w:rsidRPr="00FA5B13">
        <w:rPr>
          <w:rFonts w:ascii="Courier New" w:hAnsi="Courier New"/>
          <w:noProof/>
          <w:sz w:val="14"/>
        </w:rPr>
        <w:br/>
        <w:instrText xml:space="preserve">     {</w:instrText>
      </w:r>
      <w:r w:rsidR="00FA5B13" w:rsidRPr="00FA5B13">
        <w:rPr>
          <w:rFonts w:ascii="Courier New" w:hAnsi="Courier New"/>
          <w:noProof/>
          <w:sz w:val="14"/>
        </w:rPr>
        <w:br/>
        <w:instrText xml:space="preserve">      "family": "Jacobsen",</w:instrText>
      </w:r>
      <w:r w:rsidR="00FA5B13" w:rsidRPr="00FA5B13">
        <w:rPr>
          <w:rFonts w:ascii="Courier New" w:hAnsi="Courier New"/>
          <w:noProof/>
          <w:sz w:val="14"/>
        </w:rPr>
        <w:br/>
        <w:instrText xml:space="preserve">      "given": "K. H."</w:instrText>
      </w:r>
      <w:r w:rsidR="00FA5B13" w:rsidRPr="00FA5B13">
        <w:rPr>
          <w:rFonts w:ascii="Courier New" w:hAnsi="Courier New"/>
          <w:noProof/>
          <w:sz w:val="14"/>
        </w:rPr>
        <w:br/>
        <w:instrText xml:space="preserve">     },</w:instrText>
      </w:r>
      <w:r w:rsidR="00FA5B13" w:rsidRPr="00FA5B13">
        <w:rPr>
          <w:rFonts w:ascii="Courier New" w:hAnsi="Courier New"/>
          <w:noProof/>
          <w:sz w:val="14"/>
        </w:rPr>
        <w:br/>
        <w:instrText xml:space="preserve">     {</w:instrText>
      </w:r>
      <w:r w:rsidR="00FA5B13" w:rsidRPr="00FA5B13">
        <w:rPr>
          <w:rFonts w:ascii="Courier New" w:hAnsi="Courier New"/>
          <w:noProof/>
          <w:sz w:val="14"/>
        </w:rPr>
        <w:br/>
        <w:instrText xml:space="preserve">      "family": "Nguyen",</w:instrText>
      </w:r>
      <w:r w:rsidR="00FA5B13" w:rsidRPr="00FA5B13">
        <w:rPr>
          <w:rFonts w:ascii="Courier New" w:hAnsi="Courier New"/>
          <w:noProof/>
          <w:sz w:val="14"/>
        </w:rPr>
        <w:br/>
        <w:instrText xml:space="preserve">      "given": "T."</w:instrText>
      </w:r>
      <w:r w:rsidR="00FA5B13" w:rsidRPr="00FA5B13">
        <w:rPr>
          <w:rFonts w:ascii="Courier New" w:hAnsi="Courier New"/>
          <w:noProof/>
          <w:sz w:val="14"/>
        </w:rPr>
        <w:br/>
        <w:instrText xml:space="preserve">     },</w:instrText>
      </w:r>
      <w:r w:rsidR="00FA5B13" w:rsidRPr="00FA5B13">
        <w:rPr>
          <w:rFonts w:ascii="Courier New" w:hAnsi="Courier New"/>
          <w:noProof/>
          <w:sz w:val="14"/>
        </w:rPr>
        <w:br/>
        <w:instrText xml:space="preserve">     {</w:instrText>
      </w:r>
      <w:r w:rsidR="00FA5B13" w:rsidRPr="00FA5B13">
        <w:rPr>
          <w:rFonts w:ascii="Courier New" w:hAnsi="Courier New"/>
          <w:noProof/>
          <w:sz w:val="14"/>
        </w:rPr>
        <w:br/>
        <w:instrText xml:space="preserve">      "family": "Wiktor",</w:instrText>
      </w:r>
      <w:r w:rsidR="00FA5B13" w:rsidRPr="00FA5B13">
        <w:rPr>
          <w:rFonts w:ascii="Courier New" w:hAnsi="Courier New"/>
          <w:noProof/>
          <w:sz w:val="14"/>
        </w:rPr>
        <w:br/>
        <w:instrText xml:space="preserve">      "given": "S. Z."</w:instrText>
      </w:r>
      <w:r w:rsidR="00FA5B13" w:rsidRPr="00FA5B13">
        <w:rPr>
          <w:rFonts w:ascii="Courier New" w:hAnsi="Courier New"/>
          <w:noProof/>
          <w:sz w:val="14"/>
        </w:rPr>
        <w:br/>
        <w:instrText xml:space="preserve">     }</w:instrText>
      </w:r>
      <w:r w:rsidR="00FA5B13" w:rsidRPr="00FA5B13">
        <w:rPr>
          <w:rFonts w:ascii="Courier New" w:hAnsi="Courier New"/>
          <w:noProof/>
          <w:sz w:val="14"/>
        </w:rPr>
        <w:br/>
        <w:instrText xml:space="preserve">    ],</w:instrText>
      </w:r>
      <w:r w:rsidR="00FA5B13" w:rsidRPr="00FA5B13">
        <w:rPr>
          <w:rFonts w:ascii="Courier New" w:hAnsi="Courier New"/>
          <w:noProof/>
          <w:sz w:val="14"/>
        </w:rPr>
        <w:br/>
        <w:instrText xml:space="preserve">    "abstract": "BACKGROUND: Few country-level estimates for hepatitis A virus (HAV) seroprevlance are available for the 23 countries in the Eastern Mediterranean region (EMRO) of the World Health Organization. METHODS: We used a three-stage approach to assign an HAV endemicity level to each country in North Africa and the Middle East based on the age at midpoint of population immunity. First, we conducted a systematic review to identify all age-seroprevalence studies conducted within the past 10 years. Second, for countries without first-stage evidence we searched for incidence data and older seroprevalence data. Third, for countries with no hepatitis A data, we estimated HAV endemicity based on socioeconomic and water indicators. RESULTS: This three-stage method allowed us to estimate country-specific endemicity levels for every country in EMRO even though first-stage evidence was only available for nine countries and for three countries only third-stage evidence was available. The region has a heterogeneous hepatitis A risk profile, with 13 countries having very high endemicity (an age at midpoint of population immunity in early childhood), three having high endemicity (late childhood), and seven having intermediate endemicity (early adulthood). CONCLUSIONS: The three-stage estimation approach enables the creation of a complete country-level map of HAV risk in EMRO. Given the heterogeneity of HAV endemicity levels in the region and the likelihood of transitions to lower incidence rates and greater adult susceptibility in the near future, enhanced surveillance for hepatitis A would strengthen decisions about vaccination policy in the region.",</w:instrText>
      </w:r>
      <w:r w:rsidR="00FA5B13" w:rsidRPr="00FA5B13">
        <w:rPr>
          <w:rFonts w:ascii="Courier New" w:hAnsi="Courier New"/>
          <w:noProof/>
          <w:sz w:val="14"/>
        </w:rPr>
        <w:br/>
        <w:instrText xml:space="preserve">    "volume": "32",</w:instrText>
      </w:r>
      <w:r w:rsidR="00FA5B13" w:rsidRPr="00FA5B13">
        <w:rPr>
          <w:rFonts w:ascii="Courier New" w:hAnsi="Courier New"/>
          <w:noProof/>
          <w:sz w:val="14"/>
        </w:rPr>
        <w:br/>
        <w:instrText xml:space="preserve">    "keyword": "Adolescent Adult Africa, Northern/epidemiology Aged Child Child, Preschool Hepatitis A/ epidemiology Hepatitis A Antibodies/ blood Hepatitis A virus Humans Infant Middle Aged Middle East/epidemiology Research Design Seroepidemiologic Studies Young Adult Decision aids Hepatitis A virus Mass vaccination Middle East North Africa Seroprevalence",</w:instrText>
      </w:r>
      <w:r w:rsidR="00FA5B13" w:rsidRPr="00FA5B13">
        <w:rPr>
          <w:rFonts w:ascii="Courier New" w:hAnsi="Courier New"/>
          <w:noProof/>
          <w:sz w:val="14"/>
        </w:rPr>
        <w:br/>
        <w:instrText xml:space="preserve">    "title": "A new method for imputing country-level estimates of hepatitis A virus endemicity levels in the Eastern Mediterranean region",</w:instrText>
      </w:r>
      <w:r w:rsidR="00FA5B13" w:rsidRPr="00FA5B13">
        <w:rPr>
          <w:rFonts w:ascii="Courier New" w:hAnsi="Courier New"/>
          <w:noProof/>
          <w:sz w:val="14"/>
        </w:rPr>
        <w:br/>
        <w:instrText xml:space="preserve">    "container-title": "Vaccine",</w:instrText>
      </w:r>
      <w:r w:rsidR="00FA5B13" w:rsidRPr="00FA5B13">
        <w:rPr>
          <w:rFonts w:ascii="Courier New" w:hAnsi="Courier New"/>
          <w:noProof/>
          <w:sz w:val="14"/>
        </w:rPr>
        <w:br/>
        <w:instrText xml:space="preserve">    "number": "46",</w:instrText>
      </w:r>
      <w:r w:rsidR="00FA5B13" w:rsidRPr="00FA5B13">
        <w:rPr>
          <w:rFonts w:ascii="Courier New" w:hAnsi="Courier New"/>
          <w:noProof/>
          <w:sz w:val="14"/>
        </w:rPr>
        <w:br/>
        <w:instrText xml:space="preserve">    "issue": "46",</w:instrText>
      </w:r>
      <w:r w:rsidR="00FA5B13" w:rsidRPr="00FA5B13">
        <w:rPr>
          <w:rFonts w:ascii="Courier New" w:hAnsi="Courier New"/>
          <w:noProof/>
          <w:sz w:val="14"/>
        </w:rPr>
        <w:br/>
        <w:instrText xml:space="preserve">    "page": "6067-74",</w:instrText>
      </w:r>
      <w:r w:rsidR="00FA5B13" w:rsidRPr="00FA5B13">
        <w:rPr>
          <w:rFonts w:ascii="Courier New" w:hAnsi="Courier New"/>
          <w:noProof/>
          <w:sz w:val="14"/>
        </w:rPr>
        <w:br/>
        <w:instrText xml:space="preserve">    "page-first": "6067",</w:instrText>
      </w:r>
      <w:r w:rsidR="00FA5B13" w:rsidRPr="00FA5B13">
        <w:rPr>
          <w:rFonts w:ascii="Courier New" w:hAnsi="Courier New"/>
          <w:noProof/>
          <w:sz w:val="14"/>
        </w:rPr>
        <w:br/>
        <w:instrText xml:space="preserve">    "number-of-pages": "-5992",</w:instrText>
      </w:r>
      <w:r w:rsidR="00FA5B13" w:rsidRPr="00FA5B13">
        <w:rPr>
          <w:rFonts w:ascii="Courier New" w:hAnsi="Courier New"/>
          <w:noProof/>
          <w:sz w:val="14"/>
        </w:rPr>
        <w:br/>
        <w:instrText xml:space="preserve">    "issued": {</w:instrText>
      </w:r>
      <w:r w:rsidR="00FA5B13" w:rsidRPr="00FA5B13">
        <w:rPr>
          <w:rFonts w:ascii="Courier New" w:hAnsi="Courier New"/>
          <w:noProof/>
          <w:sz w:val="14"/>
        </w:rPr>
        <w:br/>
        <w:instrText xml:space="preserve">     "date-parts": [</w:instrText>
      </w:r>
      <w:r w:rsidR="00FA5B13" w:rsidRPr="00FA5B13">
        <w:rPr>
          <w:rFonts w:ascii="Courier New" w:hAnsi="Courier New"/>
          <w:noProof/>
          <w:sz w:val="14"/>
        </w:rPr>
        <w:br/>
        <w:instrText xml:space="preserve">      [</w:instrText>
      </w:r>
      <w:r w:rsidR="00FA5B13" w:rsidRPr="00FA5B13">
        <w:rPr>
          <w:rFonts w:ascii="Courier New" w:hAnsi="Courier New"/>
          <w:noProof/>
          <w:sz w:val="14"/>
        </w:rPr>
        <w:br/>
        <w:instrText xml:space="preserve">       2014</w:instrText>
      </w:r>
      <w:r w:rsidR="00FA5B13" w:rsidRPr="00FA5B13">
        <w:rPr>
          <w:rFonts w:ascii="Courier New" w:hAnsi="Courier New"/>
          <w:noProof/>
          <w:sz w:val="14"/>
        </w:rPr>
        <w:br/>
        <w:instrText xml:space="preserve">      ]</w:instrText>
      </w:r>
      <w:r w:rsidR="00FA5B13" w:rsidRPr="00FA5B13">
        <w:rPr>
          <w:rFonts w:ascii="Courier New" w:hAnsi="Courier New"/>
          <w:noProof/>
          <w:sz w:val="14"/>
        </w:rPr>
        <w:br/>
        <w:instrText xml:space="preserve">     ]</w:instrText>
      </w:r>
      <w:r w:rsidR="00FA5B13" w:rsidRPr="00FA5B13">
        <w:rPr>
          <w:rFonts w:ascii="Courier New" w:hAnsi="Courier New"/>
          <w:noProof/>
          <w:sz w:val="14"/>
        </w:rPr>
        <w:br/>
        <w:instrText xml:space="preserve">    }</w:instrText>
      </w:r>
      <w:r w:rsidR="00FA5B13" w:rsidRPr="00FA5B13">
        <w:rPr>
          <w:rFonts w:ascii="Courier New" w:hAnsi="Courier New"/>
          <w:noProof/>
          <w:sz w:val="14"/>
        </w:rPr>
        <w:br/>
        <w:instrText xml:space="preserve">   }</w:instrText>
      </w:r>
      <w:r w:rsidR="00FA5B13" w:rsidRPr="00FA5B13">
        <w:rPr>
          <w:rFonts w:ascii="Courier New" w:hAnsi="Courier New"/>
          <w:noProof/>
          <w:sz w:val="14"/>
        </w:rPr>
        <w:br/>
        <w:instrText xml:space="preserve">  },</w:instrText>
      </w:r>
      <w:r w:rsidR="00FA5B13" w:rsidRPr="00FA5B13">
        <w:rPr>
          <w:rFonts w:ascii="Courier New" w:hAnsi="Courier New"/>
          <w:noProof/>
          <w:sz w:val="14"/>
        </w:rPr>
        <w:br/>
        <w:instrText xml:space="preserve">  {</w:instrText>
      </w:r>
      <w:r w:rsidR="00FA5B13" w:rsidRPr="00FA5B13">
        <w:rPr>
          <w:rFonts w:ascii="Courier New" w:hAnsi="Courier New"/>
          <w:noProof/>
          <w:sz w:val="14"/>
        </w:rPr>
        <w:br/>
        <w:instrText xml:space="preserve">   "id": "Jacobson2009",</w:instrText>
      </w:r>
      <w:r w:rsidR="00FA5B13" w:rsidRPr="00FA5B13">
        <w:rPr>
          <w:rFonts w:ascii="Courier New" w:hAnsi="Courier New"/>
          <w:noProof/>
          <w:sz w:val="14"/>
        </w:rPr>
        <w:br/>
        <w:instrText xml:space="preserve">   "item": {</w:instrText>
      </w:r>
      <w:r w:rsidR="00FA5B13" w:rsidRPr="00FA5B13">
        <w:rPr>
          <w:rFonts w:ascii="Courier New" w:hAnsi="Courier New"/>
          <w:noProof/>
          <w:sz w:val="14"/>
        </w:rPr>
        <w:br/>
        <w:instrText xml:space="preserve">    "id": "Jacobson2009",</w:instrText>
      </w:r>
      <w:r w:rsidR="00FA5B13" w:rsidRPr="00FA5B13">
        <w:rPr>
          <w:rFonts w:ascii="Courier New" w:hAnsi="Courier New"/>
          <w:noProof/>
          <w:sz w:val="14"/>
        </w:rPr>
        <w:br/>
        <w:instrText xml:space="preserve">    "type": "article-journal",</w:instrText>
      </w:r>
      <w:r w:rsidR="00FA5B13" w:rsidRPr="00FA5B13">
        <w:rPr>
          <w:rFonts w:ascii="Courier New" w:hAnsi="Courier New"/>
          <w:noProof/>
          <w:sz w:val="14"/>
        </w:rPr>
        <w:br/>
        <w:instrText xml:space="preserve">    "author": [</w:instrText>
      </w:r>
      <w:r w:rsidR="00FA5B13" w:rsidRPr="00FA5B13">
        <w:rPr>
          <w:rFonts w:ascii="Courier New" w:hAnsi="Courier New"/>
          <w:noProof/>
          <w:sz w:val="14"/>
        </w:rPr>
        <w:br/>
        <w:instrText xml:space="preserve">     {</w:instrText>
      </w:r>
      <w:r w:rsidR="00FA5B13" w:rsidRPr="00FA5B13">
        <w:rPr>
          <w:rFonts w:ascii="Courier New" w:hAnsi="Courier New"/>
          <w:noProof/>
          <w:sz w:val="14"/>
        </w:rPr>
        <w:br/>
        <w:instrText xml:space="preserve">      "family": "Jacobson",</w:instrText>
      </w:r>
      <w:r w:rsidR="00FA5B13" w:rsidRPr="00FA5B13">
        <w:rPr>
          <w:rFonts w:ascii="Courier New" w:hAnsi="Courier New"/>
          <w:noProof/>
          <w:sz w:val="14"/>
        </w:rPr>
        <w:br/>
        <w:instrText xml:space="preserve">      "given": "Kathyrn H"</w:instrText>
      </w:r>
      <w:r w:rsidR="00FA5B13" w:rsidRPr="00FA5B13">
        <w:rPr>
          <w:rFonts w:ascii="Courier New" w:hAnsi="Courier New"/>
          <w:noProof/>
          <w:sz w:val="14"/>
        </w:rPr>
        <w:br/>
        <w:instrText xml:space="preserve">     }</w:instrText>
      </w:r>
      <w:r w:rsidR="00FA5B13" w:rsidRPr="00FA5B13">
        <w:rPr>
          <w:rFonts w:ascii="Courier New" w:hAnsi="Courier New"/>
          <w:noProof/>
          <w:sz w:val="14"/>
        </w:rPr>
        <w:br/>
        <w:instrText xml:space="preserve">    ],</w:instrText>
      </w:r>
      <w:r w:rsidR="00FA5B13" w:rsidRPr="00FA5B13">
        <w:rPr>
          <w:rFonts w:ascii="Courier New" w:hAnsi="Courier New"/>
          <w:noProof/>
          <w:sz w:val="14"/>
        </w:rPr>
        <w:br/>
        <w:instrText xml:space="preserve">    "title": "The global prevalence of hepatitis A virus infection and susceptibility: a systematic review",</w:instrText>
      </w:r>
      <w:r w:rsidR="00FA5B13" w:rsidRPr="00FA5B13">
        <w:rPr>
          <w:rFonts w:ascii="Courier New" w:hAnsi="Courier New"/>
          <w:noProof/>
          <w:sz w:val="14"/>
        </w:rPr>
        <w:br/>
        <w:instrText xml:space="preserve">    "container-title": "Geneva, Switzerland: World Health Organization",</w:instrText>
      </w:r>
      <w:r w:rsidR="00FA5B13" w:rsidRPr="00FA5B13">
        <w:rPr>
          <w:rFonts w:ascii="Courier New" w:hAnsi="Courier New"/>
          <w:noProof/>
          <w:sz w:val="14"/>
        </w:rPr>
        <w:br/>
        <w:instrText xml:space="preserve">    "publisher": "World Health Organization",</w:instrText>
      </w:r>
      <w:r w:rsidR="00FA5B13" w:rsidRPr="00FA5B13">
        <w:rPr>
          <w:rFonts w:ascii="Courier New" w:hAnsi="Courier New"/>
          <w:noProof/>
          <w:sz w:val="14"/>
        </w:rPr>
        <w:br/>
        <w:instrText xml:space="preserve">    "issued": {</w:instrText>
      </w:r>
      <w:r w:rsidR="00FA5B13" w:rsidRPr="00FA5B13">
        <w:rPr>
          <w:rFonts w:ascii="Courier New" w:hAnsi="Courier New"/>
          <w:noProof/>
          <w:sz w:val="14"/>
        </w:rPr>
        <w:br/>
        <w:instrText xml:space="preserve">     "date-parts": [</w:instrText>
      </w:r>
      <w:r w:rsidR="00FA5B13" w:rsidRPr="00FA5B13">
        <w:rPr>
          <w:rFonts w:ascii="Courier New" w:hAnsi="Courier New"/>
          <w:noProof/>
          <w:sz w:val="14"/>
        </w:rPr>
        <w:br/>
        <w:instrText xml:space="preserve">      [</w:instrText>
      </w:r>
      <w:r w:rsidR="00FA5B13" w:rsidRPr="00FA5B13">
        <w:rPr>
          <w:rFonts w:ascii="Courier New" w:hAnsi="Courier New"/>
          <w:noProof/>
          <w:sz w:val="14"/>
        </w:rPr>
        <w:br/>
        <w:instrText xml:space="preserve">       2009</w:instrText>
      </w:r>
      <w:r w:rsidR="00FA5B13" w:rsidRPr="00FA5B13">
        <w:rPr>
          <w:rFonts w:ascii="Courier New" w:hAnsi="Courier New"/>
          <w:noProof/>
          <w:sz w:val="14"/>
        </w:rPr>
        <w:br/>
        <w:instrText xml:space="preserve">      ]</w:instrText>
      </w:r>
      <w:r w:rsidR="00FA5B13" w:rsidRPr="00FA5B13">
        <w:rPr>
          <w:rFonts w:ascii="Courier New" w:hAnsi="Courier New"/>
          <w:noProof/>
          <w:sz w:val="14"/>
        </w:rPr>
        <w:br/>
        <w:instrText xml:space="preserve">     ]</w:instrText>
      </w:r>
      <w:r w:rsidR="00FA5B13" w:rsidRPr="00FA5B13">
        <w:rPr>
          <w:rFonts w:ascii="Courier New" w:hAnsi="Courier New"/>
          <w:noProof/>
          <w:sz w:val="14"/>
        </w:rPr>
        <w:br/>
        <w:instrText xml:space="preserve">    }</w:instrText>
      </w:r>
      <w:r w:rsidR="00FA5B13" w:rsidRPr="00FA5B13">
        <w:rPr>
          <w:rFonts w:ascii="Courier New" w:hAnsi="Courier New"/>
          <w:noProof/>
          <w:sz w:val="14"/>
        </w:rPr>
        <w:br/>
        <w:instrText xml:space="preserve">   }</w:instrText>
      </w:r>
      <w:r w:rsidR="00FA5B13" w:rsidRPr="00FA5B13">
        <w:rPr>
          <w:rFonts w:ascii="Courier New" w:hAnsi="Courier New"/>
          <w:noProof/>
          <w:sz w:val="14"/>
        </w:rPr>
        <w:br/>
        <w:instrText xml:space="preserve">  },</w:instrText>
      </w:r>
      <w:r w:rsidR="00FA5B13" w:rsidRPr="00FA5B13">
        <w:rPr>
          <w:rFonts w:ascii="Courier New" w:hAnsi="Courier New"/>
          <w:noProof/>
          <w:sz w:val="14"/>
        </w:rPr>
        <w:br/>
        <w:instrText xml:space="preserve">  {</w:instrText>
      </w:r>
      <w:r w:rsidR="00FA5B13" w:rsidRPr="00FA5B13">
        <w:rPr>
          <w:rFonts w:ascii="Courier New" w:hAnsi="Courier New"/>
          <w:noProof/>
          <w:sz w:val="14"/>
        </w:rPr>
        <w:br/>
        <w:instrText xml:space="preserve">   "id": "JacKoo2005",</w:instrText>
      </w:r>
      <w:r w:rsidR="00FA5B13" w:rsidRPr="00FA5B13">
        <w:rPr>
          <w:rFonts w:ascii="Courier New" w:hAnsi="Courier New"/>
          <w:noProof/>
          <w:sz w:val="14"/>
        </w:rPr>
        <w:br/>
        <w:instrText xml:space="preserve">   "item": {</w:instrText>
      </w:r>
      <w:r w:rsidR="00FA5B13" w:rsidRPr="00FA5B13">
        <w:rPr>
          <w:rFonts w:ascii="Courier New" w:hAnsi="Courier New"/>
          <w:noProof/>
          <w:sz w:val="14"/>
        </w:rPr>
        <w:br/>
        <w:instrText xml:space="preserve">    "id": "JacKoo2005",</w:instrText>
      </w:r>
      <w:r w:rsidR="00FA5B13" w:rsidRPr="00FA5B13">
        <w:rPr>
          <w:rFonts w:ascii="Courier New" w:hAnsi="Courier New"/>
          <w:noProof/>
          <w:sz w:val="14"/>
        </w:rPr>
        <w:br/>
        <w:instrText xml:space="preserve">    "type": "article-journal",</w:instrText>
      </w:r>
      <w:r w:rsidR="00FA5B13" w:rsidRPr="00FA5B13">
        <w:rPr>
          <w:rFonts w:ascii="Courier New" w:hAnsi="Courier New"/>
          <w:noProof/>
          <w:sz w:val="14"/>
        </w:rPr>
        <w:br/>
        <w:instrText xml:space="preserve">    "author": [</w:instrText>
      </w:r>
      <w:r w:rsidR="00FA5B13" w:rsidRPr="00FA5B13">
        <w:rPr>
          <w:rFonts w:ascii="Courier New" w:hAnsi="Courier New"/>
          <w:noProof/>
          <w:sz w:val="14"/>
        </w:rPr>
        <w:br/>
        <w:instrText xml:space="preserve">     {</w:instrText>
      </w:r>
      <w:r w:rsidR="00FA5B13" w:rsidRPr="00FA5B13">
        <w:rPr>
          <w:rFonts w:ascii="Courier New" w:hAnsi="Courier New"/>
          <w:noProof/>
          <w:sz w:val="14"/>
        </w:rPr>
        <w:br/>
        <w:instrText xml:space="preserve">      "family": "Jacobson",</w:instrText>
      </w:r>
      <w:r w:rsidR="00FA5B13" w:rsidRPr="00FA5B13">
        <w:rPr>
          <w:rFonts w:ascii="Courier New" w:hAnsi="Courier New"/>
          <w:noProof/>
          <w:sz w:val="14"/>
        </w:rPr>
        <w:br/>
        <w:instrText xml:space="preserve">      "given": "Kathyrn H"</w:instrText>
      </w:r>
      <w:r w:rsidR="00FA5B13" w:rsidRPr="00FA5B13">
        <w:rPr>
          <w:rFonts w:ascii="Courier New" w:hAnsi="Courier New"/>
          <w:noProof/>
          <w:sz w:val="14"/>
        </w:rPr>
        <w:br/>
        <w:instrText xml:space="preserve">     },</w:instrText>
      </w:r>
      <w:r w:rsidR="00FA5B13" w:rsidRPr="00FA5B13">
        <w:rPr>
          <w:rFonts w:ascii="Courier New" w:hAnsi="Courier New"/>
          <w:noProof/>
          <w:sz w:val="14"/>
        </w:rPr>
        <w:br/>
        <w:instrText xml:space="preserve">     {</w:instrText>
      </w:r>
      <w:r w:rsidR="00FA5B13" w:rsidRPr="00FA5B13">
        <w:rPr>
          <w:rFonts w:ascii="Courier New" w:hAnsi="Courier New"/>
          <w:noProof/>
          <w:sz w:val="14"/>
        </w:rPr>
        <w:br/>
        <w:instrText xml:space="preserve">      "family": "Koopman",</w:instrText>
      </w:r>
      <w:r w:rsidR="00FA5B13" w:rsidRPr="00FA5B13">
        <w:rPr>
          <w:rFonts w:ascii="Courier New" w:hAnsi="Courier New"/>
          <w:noProof/>
          <w:sz w:val="14"/>
        </w:rPr>
        <w:br/>
        <w:instrText xml:space="preserve">      "given": "J. S."</w:instrText>
      </w:r>
      <w:r w:rsidR="00FA5B13" w:rsidRPr="00FA5B13">
        <w:rPr>
          <w:rFonts w:ascii="Courier New" w:hAnsi="Courier New"/>
          <w:noProof/>
          <w:sz w:val="14"/>
        </w:rPr>
        <w:br/>
        <w:instrText xml:space="preserve">     }</w:instrText>
      </w:r>
      <w:r w:rsidR="00FA5B13" w:rsidRPr="00FA5B13">
        <w:rPr>
          <w:rFonts w:ascii="Courier New" w:hAnsi="Courier New"/>
          <w:noProof/>
          <w:sz w:val="14"/>
        </w:rPr>
        <w:br/>
        <w:instrText xml:space="preserve">    ],</w:instrText>
      </w:r>
      <w:r w:rsidR="00FA5B13" w:rsidRPr="00FA5B13">
        <w:rPr>
          <w:rFonts w:ascii="Courier New" w:hAnsi="Courier New"/>
          <w:noProof/>
          <w:sz w:val="14"/>
        </w:rPr>
        <w:br/>
        <w:instrText xml:space="preserve">    "volume": "34",</w:instrText>
      </w:r>
      <w:r w:rsidR="00FA5B13" w:rsidRPr="00FA5B13">
        <w:rPr>
          <w:rFonts w:ascii="Courier New" w:hAnsi="Courier New"/>
          <w:noProof/>
          <w:sz w:val="14"/>
        </w:rPr>
        <w:br/>
        <w:instrText xml:space="preserve">    "title": "The effects of socioeconomic development on worldwide hepatiis A virus seroprevalence patterns",</w:instrText>
      </w:r>
      <w:r w:rsidR="00FA5B13" w:rsidRPr="00FA5B13">
        <w:rPr>
          <w:rFonts w:ascii="Courier New" w:hAnsi="Courier New"/>
          <w:noProof/>
          <w:sz w:val="14"/>
        </w:rPr>
        <w:br/>
        <w:instrText xml:space="preserve">    "container-title": "International Journal of Epidemiology",</w:instrText>
      </w:r>
      <w:r w:rsidR="00FA5B13" w:rsidRPr="00FA5B13">
        <w:rPr>
          <w:rFonts w:ascii="Courier New" w:hAnsi="Courier New"/>
          <w:noProof/>
          <w:sz w:val="14"/>
        </w:rPr>
        <w:br/>
        <w:instrText xml:space="preserve">    "page": "600-609",</w:instrText>
      </w:r>
      <w:r w:rsidR="00FA5B13" w:rsidRPr="00FA5B13">
        <w:rPr>
          <w:rFonts w:ascii="Courier New" w:hAnsi="Courier New"/>
          <w:noProof/>
          <w:sz w:val="14"/>
        </w:rPr>
        <w:br/>
        <w:instrText xml:space="preserve">    "page-first": "600",</w:instrText>
      </w:r>
      <w:r w:rsidR="00FA5B13" w:rsidRPr="00FA5B13">
        <w:rPr>
          <w:rFonts w:ascii="Courier New" w:hAnsi="Courier New"/>
          <w:noProof/>
          <w:sz w:val="14"/>
        </w:rPr>
        <w:br/>
        <w:instrText xml:space="preserve">    "issued": {</w:instrText>
      </w:r>
      <w:r w:rsidR="00FA5B13" w:rsidRPr="00FA5B13">
        <w:rPr>
          <w:rFonts w:ascii="Courier New" w:hAnsi="Courier New"/>
          <w:noProof/>
          <w:sz w:val="14"/>
        </w:rPr>
        <w:br/>
        <w:instrText xml:space="preserve">     "date-parts": [</w:instrText>
      </w:r>
      <w:r w:rsidR="00FA5B13" w:rsidRPr="00FA5B13">
        <w:rPr>
          <w:rFonts w:ascii="Courier New" w:hAnsi="Courier New"/>
          <w:noProof/>
          <w:sz w:val="14"/>
        </w:rPr>
        <w:br/>
        <w:instrText xml:space="preserve">      [</w:instrText>
      </w:r>
      <w:r w:rsidR="00FA5B13" w:rsidRPr="00FA5B13">
        <w:rPr>
          <w:rFonts w:ascii="Courier New" w:hAnsi="Courier New"/>
          <w:noProof/>
          <w:sz w:val="14"/>
        </w:rPr>
        <w:br/>
        <w:instrText xml:space="preserve">       2005</w:instrText>
      </w:r>
      <w:r w:rsidR="00FA5B13" w:rsidRPr="00FA5B13">
        <w:rPr>
          <w:rFonts w:ascii="Courier New" w:hAnsi="Courier New"/>
          <w:noProof/>
          <w:sz w:val="14"/>
        </w:rPr>
        <w:br/>
        <w:instrText xml:space="preserve">      ]</w:instrText>
      </w:r>
      <w:r w:rsidR="00FA5B13" w:rsidRPr="00FA5B13">
        <w:rPr>
          <w:rFonts w:ascii="Courier New" w:hAnsi="Courier New"/>
          <w:noProof/>
          <w:sz w:val="14"/>
        </w:rPr>
        <w:br/>
        <w:instrText xml:space="preserve">     ]</w:instrText>
      </w:r>
      <w:r w:rsidR="00FA5B13" w:rsidRPr="00FA5B13">
        <w:rPr>
          <w:rFonts w:ascii="Courier New" w:hAnsi="Courier New"/>
          <w:noProof/>
          <w:sz w:val="14"/>
        </w:rPr>
        <w:br/>
        <w:instrText xml:space="preserve">    }</w:instrText>
      </w:r>
      <w:r w:rsidR="00FA5B13" w:rsidRPr="00FA5B13">
        <w:rPr>
          <w:rFonts w:ascii="Courier New" w:hAnsi="Courier New"/>
          <w:noProof/>
          <w:sz w:val="14"/>
        </w:rPr>
        <w:br/>
        <w:instrText xml:space="preserve">   }</w:instrText>
      </w:r>
      <w:r w:rsidR="00FA5B13" w:rsidRPr="00FA5B13">
        <w:rPr>
          <w:rFonts w:ascii="Courier New" w:hAnsi="Courier New"/>
          <w:noProof/>
          <w:sz w:val="14"/>
        </w:rPr>
        <w:br/>
        <w:instrText xml:space="preserve">  }</w:instrText>
      </w:r>
      <w:r w:rsidR="00FA5B13" w:rsidRPr="00FA5B13">
        <w:rPr>
          <w:rFonts w:ascii="Courier New" w:hAnsi="Courier New"/>
          <w:noProof/>
          <w:sz w:val="14"/>
        </w:rPr>
        <w:br/>
        <w:instrText xml:space="preserve"> ]</w:instrText>
      </w:r>
      <w:r w:rsidR="00FA5B13" w:rsidRPr="00FA5B13">
        <w:rPr>
          <w:rFonts w:ascii="Courier New" w:hAnsi="Courier New"/>
          <w:noProof/>
          <w:sz w:val="14"/>
        </w:rPr>
        <w:br/>
        <w:instrText>}</w:instrText>
      </w:r>
      <w:r w:rsidR="00FA5B13" w:rsidRPr="00FA5B13">
        <w:rPr>
          <w:rFonts w:ascii="Courier New" w:hAnsi="Courier New"/>
          <w:noProof/>
          <w:sz w:val="14"/>
        </w:rPr>
        <w:br/>
      </w:r>
      <w:r w:rsidR="00DC6CC8">
        <w:fldChar w:fldCharType="separate"/>
      </w:r>
      <w:r w:rsidR="00FF1EC7" w:rsidRPr="00FF1EC7">
        <w:rPr>
          <w:noProof/>
        </w:rPr>
        <w:t>[8–10]</w:t>
      </w:r>
      <w:r w:rsidR="00DC6CC8">
        <w:fldChar w:fldCharType="end"/>
      </w:r>
      <w:r w:rsidR="00DC6CC8">
        <w:t>.  These improvements began in the</w:t>
      </w:r>
      <w:r w:rsidR="001A7EB7">
        <w:t xml:space="preserve"> late</w:t>
      </w:r>
      <w:r w:rsidR="00DC6CC8">
        <w:t xml:space="preserve"> 1970s and continued into the </w:t>
      </w:r>
      <w:r w:rsidR="001A7EB7">
        <w:t>2000</w:t>
      </w:r>
      <w:r w:rsidR="00DC6CC8">
        <w:t>s when more substantial and widely available improvement occu</w:t>
      </w:r>
      <w:r w:rsidR="00B65228">
        <w:t>r</w:t>
      </w:r>
      <w:r w:rsidR="00DC6CC8">
        <w:t>red</w:t>
      </w:r>
      <w:r w:rsidR="001A7EB7">
        <w:fldChar w:fldCharType="begin" w:fldLock="1"/>
      </w:r>
      <w:r w:rsidR="001A7EB7">
        <w:instrText>ADDIN CSL_CITATION { "citationItems" : [ { "id" : "ITEM-1", "itemData" : { "author" : [ { "dropping-particle" : "", "family" : "Jiries", "given" : "Anwar", "non-dropping-particle" : "", "parse-names" : false, "suffix" : "" } ], "container-title" : "Advanced Water Supply and Wastewater Treatment: A Road to Safer Society and Environment", "id" : "ITEM-1", "issued" : { "date-parts" : [ [ "2011" ] ] }, "page" : "193-199", "publisher" : "Springer", "title" : "Water resources in Jordan", "type" : "chapter" }, "uris" : [ "http://www.mendeley.com/documents/?uuid=1c7f12e9-e058-4f3b-bb5a-3b237f8160ae" ] }, { "id" : "ITEM-2", "itemData" : { "ISBN" : "978 92 4 150914 5", "author" : [ { "dropping-particle" : "", "family" : "WHO &amp; UNICEF", "given" : "", "non-dropping-particle" : "", "parse-names" : false, "suffix" : "" } ], "id" : "ITEM-2", "issued" : { "date-parts" : [ [ "2015" ] ] }, "publisher" : "UNICEF", "title" : "Progress on Sanitation and Drinking Water: 2015 Update and MDG Assessment", "type" : "book" }, "uris" : [ "http://www.mendeley.com/documents/?uuid=26a2e88a-641b-46b6-9023-577b88d9ff9d" ] } ], "mendeley" : { "formattedCitation" : "[12,13]", "plainTextFormattedCitation" : "[12,13]", "previouslyFormattedCitation" : "[12,13]" }, "properties" : { "noteIndex" : 0 }, "schema" : "https://github.com/citation-style-language/schema/raw/master/csl-citation.json" }</w:instrText>
      </w:r>
      <w:r w:rsidR="001A7EB7">
        <w:fldChar w:fldCharType="separate"/>
      </w:r>
      <w:r w:rsidR="001A7EB7" w:rsidRPr="001A7EB7">
        <w:rPr>
          <w:noProof/>
        </w:rPr>
        <w:t>[12,13]</w:t>
      </w:r>
      <w:r w:rsidR="001A7EB7">
        <w:fldChar w:fldCharType="end"/>
      </w:r>
      <w:r w:rsidR="00DC6CC8">
        <w:t xml:space="preserve">. </w:t>
      </w:r>
      <w:r w:rsidR="00DC6CC8" w:rsidRPr="003A2BF0">
        <w:t>More</w:t>
      </w:r>
      <w:r w:rsidR="00DC6CC8">
        <w:t xml:space="preserve"> recently, however</w:t>
      </w:r>
      <w:r w:rsidR="001A7EB7">
        <w:t xml:space="preserve">, however, the decrease in force of infection appears to have stopped which may be due to a </w:t>
      </w:r>
      <w:r w:rsidR="00DC6CC8">
        <w:t>number of factors including the Syrian refugee situation</w:t>
      </w:r>
      <w:r w:rsidR="001A7EB7">
        <w:t xml:space="preserve"> and water shortages potentially straining sanitation and supply systems</w:t>
      </w:r>
      <w:r w:rsidR="001A7EB7">
        <w:fldChar w:fldCharType="begin" w:fldLock="1"/>
      </w:r>
      <w:r w:rsidR="001A7EB7">
        <w:instrText>ADDIN CSL_CITATION { "citationItems" : [ { "id" : "ITEM-1", "itemData" : { "author" : [ { "dropping-particle" : "", "family" : "Slaih", "given" : "Ahmand Abu", "non-dropping-particle" : "", "parse-names" : false, "suffix" : "" } ], "id" : "ITEM-1", "issued" : { "date-parts" : [ [ "2013", "12" ] ] }, "title" : "Impact of Syrian Refugees on Jordan's health sector", "type" : "article" }, "uris" : [ "http://www.mendeley.com/documents/?uuid=59f6a911-1d30-44ed-8b87-01036d926e05" ] }, { "id" : "ITEM-2", "itemData" : { "author" : [ { "dropping-particle" : "", "family" : "UN Refugee Agency", "given" : "", "non-dropping-particle" : "", "parse-names" : false, "suffix" : "" } ], "id" : "ITEM-2", "issued" : { "date-parts" : [ [ "2015", "9" ] ] }, "title" : "Syrian Regional Refugee Response: Inter-agency Information Sharing Portal", "type" : "article" }, "uris" : [ "http://www.mendeley.com/documents/?uuid=f2581bb7-165e-4572-8035-6614d18096a6" ] }, { "id" : "ITEM-3", "itemData" : { "author" : [ { "dropping-particle" : "", "family" : "Carrion", "given" : "Doris", "non-dropping-particle" : "", "parse-names" : false, "suffix" : "" } ], "id" : "ITEM-3", "issued" : { "date-parts" : [ [ "2015", "9" ] ] }, "publisher-place" : "London", "title" : "Syrian Refugees in Jordan: Confronting Difficult Truths", "type" : "report" }, "uris" : [ "http://www.mendeley.com/documents/?uuid=dc3ab860-8096-4400-904a-4c0ce1946400" ] } ], "mendeley" : { "formattedCitation" : "[14\u201316]", "plainTextFormattedCitation" : "[14\u201316]", "previouslyFormattedCitation" : "[14\u201316]" }, "properties" : { "noteIndex" : 0 }, "schema" : "https://github.com/citation-style-language/schema/raw/master/csl-citation.json" }</w:instrText>
      </w:r>
      <w:r w:rsidR="001A7EB7">
        <w:fldChar w:fldCharType="separate"/>
      </w:r>
      <w:r w:rsidR="001A7EB7" w:rsidRPr="001A7EB7">
        <w:rPr>
          <w:noProof/>
        </w:rPr>
        <w:t>[14–16]</w:t>
      </w:r>
      <w:r w:rsidR="001A7EB7">
        <w:fldChar w:fldCharType="end"/>
      </w:r>
      <w:r w:rsidR="00DC6CC8">
        <w:t>.</w:t>
      </w:r>
      <w:r w:rsidR="003A2BF0">
        <w:t xml:space="preserve">  The expectation is that t</w:t>
      </w:r>
      <w:r w:rsidR="003A2BF0">
        <w:rPr>
          <w:vertAlign w:val="subscript"/>
        </w:rPr>
        <w:t>1</w:t>
      </w:r>
      <w:r w:rsidR="001A7EB7">
        <w:t xml:space="preserve">, </w:t>
      </w:r>
      <w:r w:rsidR="003A2BF0">
        <w:t>t</w:t>
      </w:r>
      <w:r w:rsidR="003A2BF0" w:rsidRPr="003A2BF0">
        <w:rPr>
          <w:vertAlign w:val="subscript"/>
        </w:rPr>
        <w:t>2</w:t>
      </w:r>
      <w:r w:rsidR="003A2BF0">
        <w:t xml:space="preserve"> </w:t>
      </w:r>
      <w:r w:rsidR="001A7EB7">
        <w:t>, and t</w:t>
      </w:r>
      <w:r w:rsidR="001A7EB7">
        <w:rPr>
          <w:vertAlign w:val="subscript"/>
        </w:rPr>
        <w:t>3</w:t>
      </w:r>
      <w:r w:rsidR="001A7EB7">
        <w:t xml:space="preserve"> </w:t>
      </w:r>
      <w:r w:rsidR="003A2BF0">
        <w:t>will be dates in the 19</w:t>
      </w:r>
      <w:r w:rsidR="001A7EB7">
        <w:t>80s,</w:t>
      </w:r>
      <w:r w:rsidR="003A2BF0">
        <w:t xml:space="preserve"> 1990s</w:t>
      </w:r>
      <w:r w:rsidR="001A7EB7">
        <w:t>, and late 2000s</w:t>
      </w:r>
      <w:r w:rsidR="003A2BF0">
        <w:t xml:space="preserve"> respectively.  </w:t>
      </w:r>
    </w:p>
    <w:p w:rsidR="00B65228" w:rsidRDefault="00B65228" w:rsidP="00AD3622"/>
    <w:p w:rsidR="00B65228" w:rsidRDefault="00B65228" w:rsidP="00AD3622">
      <w:r>
        <w:t xml:space="preserve">The equilibrium forces of infection </w:t>
      </w:r>
      <w:r>
        <w:rPr>
          <w:position w:val="-10"/>
        </w:rPr>
        <w:object w:dxaOrig="330" w:dyaOrig="345" w14:anchorId="587D6061">
          <v:shape id="_x0000_i1033" type="#_x0000_t75" style="width:17.25pt;height:17.25pt" o:ole="">
            <v:imagedata r:id="rId25" o:title=""/>
          </v:shape>
          <o:OLEObject Type="Embed" ProgID="Equation.3" ShapeID="_x0000_i1033" DrawAspect="Content" ObjectID="_1580737743" r:id="rId26"/>
        </w:object>
      </w:r>
      <w:r>
        <w:t xml:space="preserve"> </w:t>
      </w:r>
      <w:r w:rsidR="003A2BF0">
        <w:t>are</w:t>
      </w:r>
      <w:r>
        <w:t xml:space="preserve"> assumed to take the gamma form</w:t>
      </w:r>
      <w:r w:rsidR="001A7EB7">
        <w:fldChar w:fldCharType="begin" w:fldLock="1"/>
      </w:r>
      <w:r w:rsidR="001A7EB7">
        <w:instrText>ADDIN CSL_CITATION { "citationItems" : [ { "id" : "ITEM-1", "itemData" : { "author" : [ { "dropping-particle" : "", "family" : "Whitaker H. J. Farrington", "given" : "C P", "non-dropping-particle" : "", "parse-names" : false, "suffix" : "" } ], "container-title" : "Statistics in Medicine", "id" : "ITEM-1", "issued" : { "date-parts" : [ [ "2004" ] ] }, "page" : "2429-2443", "title" : "Estimation of infections disease parameters from serological survey data: the impact of regular epidemics", "type" : "article-journal", "volume" : "23" }, "uris" : [ "http://www.mendeley.com/documents/?uuid=685e1e9c-5c71-4c6f-b64c-123585e70cc0" ] } ], "mendeley" : { "formattedCitation" : "[17]", "plainTextFormattedCitation" : "[17]", "previouslyFormattedCitation" : "[17]" }, "properties" : { "noteIndex" : 0 }, "schema" : "https://github.com/citation-style-language/schema/raw/master/csl-citation.json" }</w:instrText>
      </w:r>
      <w:r w:rsidR="001A7EB7">
        <w:fldChar w:fldCharType="separate"/>
      </w:r>
      <w:r w:rsidR="001A7EB7" w:rsidRPr="001A7EB7">
        <w:rPr>
          <w:noProof/>
        </w:rPr>
        <w:t>[17]</w:t>
      </w:r>
      <w:r w:rsidR="001A7EB7">
        <w:fldChar w:fldCharType="end"/>
      </w:r>
    </w:p>
    <w:p w:rsidR="00B65228" w:rsidRDefault="00B65228" w:rsidP="002B074E">
      <w:pPr>
        <w:jc w:val="center"/>
      </w:pPr>
      <w:r>
        <w:object w:dxaOrig="1725" w:dyaOrig="375" w14:anchorId="31D0E7BD">
          <v:shape id="_x0000_i1034" type="#_x0000_t75" style="width:86.25pt;height:18pt" o:ole="">
            <v:imagedata r:id="rId27" o:title=""/>
          </v:shape>
          <o:OLEObject Type="Embed" ProgID="Equation.3" ShapeID="_x0000_i1034" DrawAspect="Content" ObjectID="_1580737744" r:id="rId28"/>
        </w:object>
      </w:r>
    </w:p>
    <w:p w:rsidR="00B65228" w:rsidRDefault="00B65228" w:rsidP="00AD3622">
      <w:r>
        <w:t xml:space="preserve">Because a high proportion of Hepatitis A virus infections are anicteric (i.e. are not recognized), we adjusted the model predicted disease incidence by the age-specific probability of developing jaundice </w:t>
      </w:r>
      <w:r>
        <w:rPr>
          <w:i/>
          <w:iCs/>
        </w:rPr>
        <w:sym w:font="Symbol" w:char="F061"/>
      </w:r>
      <w:r>
        <w:rPr>
          <w:i/>
          <w:iCs/>
          <w:vertAlign w:val="subscript"/>
        </w:rPr>
        <w:t>j</w:t>
      </w:r>
      <w:r w:rsidR="001A7EB7">
        <w:rPr>
          <w:i/>
          <w:iCs/>
          <w:vertAlign w:val="subscript"/>
        </w:rPr>
        <w:fldChar w:fldCharType="begin" w:fldLock="1"/>
      </w:r>
      <w:r w:rsidR="00A769BD">
        <w:rPr>
          <w:i/>
          <w:iCs/>
          <w:vertAlign w:val="subscript"/>
        </w:rPr>
        <w:instrText>ADDIN CSL_CITATION { "citationItems" : [ { "id" : "ITEM-1", "itemData" : { "author" : [ { "dropping-particle" : "", "family" : "Armstrong", "given" : "Gregory L", "non-dropping-particle" : "", "parse-names" : false, "suffix" : "" }, { "dropping-particle" : "", "family" : "Bell", "given" : "Beth P", "non-dropping-particle" : "", "parse-names" : false, "suffix" : "" } ], "container-title" : "Pediatrics", "id" : "ITEM-1", "issue" : "5", "issued" : { "date-parts" : [ [ "2002" ] ] }, "title" : "Hepatitis A Virus infections in the United States: Model-Based Estimates and Implications for Childhood Immunization", "type" : "article-journal", "volume" : "109" }, "uris" : [ "http://www.mendeley.com/documents/?uuid=872461ad-643b-4955-94a0-48ac57cc2b9c" ] } ], "mendeley" : { "formattedCitation" : "[5]", "plainTextFormattedCitation" : "[5]", "previouslyFormattedCitation" : "[5]" }, "properties" : { "noteIndex" : 0 }, "schema" : "https://github.com/citation-style-language/schema/raw/master/csl-citation.json" }</w:instrText>
      </w:r>
      <w:r w:rsidR="001A7EB7">
        <w:rPr>
          <w:i/>
          <w:iCs/>
          <w:vertAlign w:val="subscript"/>
        </w:rPr>
        <w:fldChar w:fldCharType="separate"/>
      </w:r>
      <w:r w:rsidR="001A7EB7" w:rsidRPr="001A7EB7">
        <w:rPr>
          <w:iCs/>
          <w:noProof/>
        </w:rPr>
        <w:t>[5]</w:t>
      </w:r>
      <w:r w:rsidR="001A7EB7">
        <w:rPr>
          <w:i/>
          <w:iCs/>
          <w:vertAlign w:val="subscript"/>
        </w:rPr>
        <w:fldChar w:fldCharType="end"/>
      </w:r>
      <w:r>
        <w:t>:</w:t>
      </w:r>
    </w:p>
    <w:p w:rsidR="00B65228" w:rsidRDefault="00B65228" w:rsidP="00B65228">
      <w:pPr>
        <w:pStyle w:val="Subsubsection"/>
        <w:spacing w:line="480" w:lineRule="auto"/>
        <w:jc w:val="center"/>
        <w:rPr>
          <w:rFonts w:ascii="Times New Roman" w:hAnsi="Times New Roman" w:cs="Times New Roman"/>
          <w:sz w:val="24"/>
          <w:szCs w:val="24"/>
        </w:rPr>
      </w:pPr>
      <w:r>
        <w:rPr>
          <w:rFonts w:ascii="Times New Roman" w:hAnsi="Times New Roman" w:cs="Times New Roman"/>
          <w:position w:val="-14"/>
          <w:sz w:val="24"/>
          <w:szCs w:val="24"/>
        </w:rPr>
        <w:object w:dxaOrig="3510" w:dyaOrig="420" w14:anchorId="441098E8">
          <v:shape id="_x0000_i1035" type="#_x0000_t75" style="width:176.25pt;height:21pt" o:ole="">
            <v:imagedata r:id="rId29" o:title=""/>
          </v:shape>
          <o:OLEObject Type="Embed" ProgID="Equation.3" ShapeID="_x0000_i1035" DrawAspect="Content" ObjectID="_1580737745" r:id="rId30"/>
        </w:object>
      </w:r>
    </w:p>
    <w:p w:rsidR="00B65228" w:rsidRPr="00AD3622" w:rsidRDefault="00B65228" w:rsidP="00AD3622">
      <w:r>
        <w:t>To account for underreporting</w:t>
      </w:r>
      <w:r w:rsidR="001A7EB7">
        <w:t xml:space="preserve"> when fitting the incidence data we include an underreporting factor</w:t>
      </w:r>
      <w:r>
        <w:rPr>
          <w:i/>
          <w:iCs/>
        </w:rPr>
        <w:sym w:font="Symbol" w:char="F072"/>
      </w:r>
      <w:r w:rsidR="00490897">
        <w:rPr>
          <w:i/>
          <w:iCs/>
        </w:rPr>
        <w:t xml:space="preserve"> (5)</w:t>
      </w:r>
      <w:r>
        <w:t>.</w:t>
      </w:r>
      <w:r w:rsidR="001A7EB7">
        <w:t xml:space="preserve">  Additionally, we assume that all </w:t>
      </w:r>
      <w:r w:rsidR="000C45AD">
        <w:t xml:space="preserve">underreported cases are ultimately treated.  </w:t>
      </w:r>
    </w:p>
    <w:p w:rsidR="00336DCD" w:rsidRDefault="00336DCD" w:rsidP="00AD3622">
      <w:pPr>
        <w:pStyle w:val="Heading1"/>
      </w:pPr>
      <w:r>
        <w:t>Model fitting procedure</w:t>
      </w:r>
    </w:p>
    <w:p w:rsidR="00336DCD" w:rsidRDefault="00336DCD" w:rsidP="00AD3622">
      <w:r>
        <w:t xml:space="preserve">To simplify the fitting procedure, we reformulated the model by excluding all symptomatic infections (those in classes </w:t>
      </w:r>
      <w:r>
        <w:rPr>
          <w:i/>
          <w:iCs/>
        </w:rPr>
        <w:t>H</w:t>
      </w:r>
      <w:r>
        <w:t xml:space="preserve">, </w:t>
      </w:r>
      <w:r>
        <w:rPr>
          <w:i/>
          <w:iCs/>
        </w:rPr>
        <w:t>F</w:t>
      </w:r>
      <w:r>
        <w:t xml:space="preserve">, </w:t>
      </w:r>
      <w:r>
        <w:rPr>
          <w:i/>
          <w:iCs/>
        </w:rPr>
        <w:t>O</w:t>
      </w:r>
      <w:r>
        <w:t xml:space="preserve">, </w:t>
      </w:r>
      <w:r>
        <w:rPr>
          <w:i/>
          <w:iCs/>
        </w:rPr>
        <w:t>L</w:t>
      </w:r>
      <w:r>
        <w:rPr>
          <w:vertAlign w:val="subscript"/>
        </w:rPr>
        <w:t>1</w:t>
      </w:r>
      <w:r>
        <w:t xml:space="preserve">, </w:t>
      </w:r>
      <w:r>
        <w:rPr>
          <w:i/>
          <w:iCs/>
        </w:rPr>
        <w:t>L</w:t>
      </w:r>
      <w:r>
        <w:rPr>
          <w:vertAlign w:val="subscript"/>
        </w:rPr>
        <w:t>2</w:t>
      </w:r>
      <w:r>
        <w:t xml:space="preserve">) and focusing only on variables that are relevant for transmission or immunity (those in classes </w:t>
      </w:r>
      <w:r>
        <w:rPr>
          <w:i/>
          <w:iCs/>
        </w:rPr>
        <w:t>M</w:t>
      </w:r>
      <w:r>
        <w:t xml:space="preserve">, </w:t>
      </w:r>
      <w:r>
        <w:rPr>
          <w:i/>
          <w:iCs/>
        </w:rPr>
        <w:t>S</w:t>
      </w:r>
      <w:r>
        <w:t xml:space="preserve">, </w:t>
      </w:r>
      <w:r>
        <w:rPr>
          <w:i/>
          <w:iCs/>
        </w:rPr>
        <w:t>E</w:t>
      </w:r>
      <w:r>
        <w:t xml:space="preserve">, </w:t>
      </w:r>
      <w:r>
        <w:rPr>
          <w:i/>
          <w:iCs/>
        </w:rPr>
        <w:t>I</w:t>
      </w:r>
      <w:r>
        <w:t xml:space="preserve">, </w:t>
      </w:r>
      <w:r>
        <w:rPr>
          <w:i/>
          <w:iCs/>
        </w:rPr>
        <w:t>R</w:t>
      </w:r>
      <w:r>
        <w:t xml:space="preserve">).  We also define a new variable </w:t>
      </w:r>
      <w:r>
        <w:rPr>
          <w:i/>
          <w:iCs/>
        </w:rPr>
        <w:t>P</w:t>
      </w:r>
      <w:r>
        <w:rPr>
          <w:i/>
          <w:iCs/>
          <w:vertAlign w:val="subscript"/>
        </w:rPr>
        <w:t>j</w:t>
      </w:r>
      <w:r>
        <w:rPr>
          <w:i/>
          <w:iCs/>
        </w:rPr>
        <w:t xml:space="preserve"> </w:t>
      </w:r>
      <w:r>
        <w:t xml:space="preserve">for all persons who are currently exposed, currently infected, or previously infected: </w:t>
      </w:r>
      <w:r>
        <w:rPr>
          <w:i/>
          <w:iCs/>
        </w:rPr>
        <w:t>P</w:t>
      </w:r>
      <w:r>
        <w:rPr>
          <w:i/>
          <w:iCs/>
          <w:vertAlign w:val="subscript"/>
        </w:rPr>
        <w:t>j</w:t>
      </w:r>
      <w:r>
        <w:t xml:space="preserve"> = </w:t>
      </w:r>
      <w:r>
        <w:rPr>
          <w:i/>
          <w:iCs/>
        </w:rPr>
        <w:t>M</w:t>
      </w:r>
      <w:r>
        <w:rPr>
          <w:i/>
          <w:iCs/>
          <w:vertAlign w:val="subscript"/>
        </w:rPr>
        <w:t>j</w:t>
      </w:r>
      <w:r>
        <w:t xml:space="preserve"> +</w:t>
      </w:r>
      <w:r>
        <w:rPr>
          <w:i/>
          <w:iCs/>
        </w:rPr>
        <w:t xml:space="preserve"> E</w:t>
      </w:r>
      <w:r>
        <w:rPr>
          <w:i/>
          <w:iCs/>
          <w:vertAlign w:val="subscript"/>
        </w:rPr>
        <w:t>j</w:t>
      </w:r>
      <w:r>
        <w:t xml:space="preserve"> +</w:t>
      </w:r>
      <w:r>
        <w:rPr>
          <w:i/>
          <w:iCs/>
        </w:rPr>
        <w:t xml:space="preserve"> I</w:t>
      </w:r>
      <w:r>
        <w:rPr>
          <w:i/>
          <w:iCs/>
          <w:vertAlign w:val="subscript"/>
        </w:rPr>
        <w:t>j</w:t>
      </w:r>
      <w:r>
        <w:t xml:space="preserve"> +</w:t>
      </w:r>
      <w:r>
        <w:rPr>
          <w:i/>
          <w:iCs/>
        </w:rPr>
        <w:t xml:space="preserve"> R</w:t>
      </w:r>
      <w:r>
        <w:rPr>
          <w:i/>
          <w:iCs/>
          <w:vertAlign w:val="subscript"/>
        </w:rPr>
        <w:t>j</w:t>
      </w:r>
      <w:r>
        <w:t xml:space="preserve">. Because we assumed a stationary population we have </w:t>
      </w:r>
      <w:r>
        <w:rPr>
          <w:i/>
          <w:iCs/>
        </w:rPr>
        <w:t>S</w:t>
      </w:r>
      <w:r>
        <w:rPr>
          <w:i/>
          <w:iCs/>
          <w:vertAlign w:val="subscript"/>
        </w:rPr>
        <w:t>j</w:t>
      </w:r>
      <w:r>
        <w:t xml:space="preserve"> = </w:t>
      </w:r>
      <w:r>
        <w:rPr>
          <w:i/>
          <w:iCs/>
        </w:rPr>
        <w:t>N</w:t>
      </w:r>
      <w:r>
        <w:rPr>
          <w:i/>
          <w:iCs/>
          <w:vertAlign w:val="subscript"/>
        </w:rPr>
        <w:t>j</w:t>
      </w:r>
      <w:r>
        <w:t xml:space="preserve"> –</w:t>
      </w:r>
      <w:r>
        <w:rPr>
          <w:i/>
          <w:iCs/>
        </w:rPr>
        <w:t xml:space="preserve"> P</w:t>
      </w:r>
      <w:r>
        <w:rPr>
          <w:i/>
          <w:iCs/>
          <w:vertAlign w:val="subscript"/>
        </w:rPr>
        <w:t>j</w:t>
      </w:r>
      <w:r>
        <w:t xml:space="preserve"> for all </w:t>
      </w:r>
      <w:r>
        <w:rPr>
          <w:i/>
          <w:iCs/>
        </w:rPr>
        <w:t>j</w:t>
      </w:r>
      <w:r>
        <w:t xml:space="preserve"> = 0, 1, 2, …, 100. The model without vaccination is</w:t>
      </w:r>
    </w:p>
    <w:p w:rsidR="00336DCD" w:rsidRDefault="00336DCD" w:rsidP="00336DCD">
      <w:pPr>
        <w:pStyle w:val="Subsubsection"/>
        <w:spacing w:line="480" w:lineRule="auto"/>
        <w:jc w:val="center"/>
        <w:rPr>
          <w:rFonts w:ascii="Times New Roman" w:hAnsi="Times New Roman" w:cs="Times New Roman"/>
          <w:sz w:val="24"/>
          <w:szCs w:val="24"/>
        </w:rPr>
      </w:pPr>
      <w:r>
        <w:rPr>
          <w:rFonts w:ascii="Times New Roman" w:hAnsi="Times New Roman" w:cs="Times New Roman"/>
          <w:position w:val="-184"/>
          <w:sz w:val="24"/>
          <w:szCs w:val="24"/>
        </w:rPr>
        <w:object w:dxaOrig="5340" w:dyaOrig="3795" w14:anchorId="257BBBA9">
          <v:shape id="_x0000_i1036" type="#_x0000_t75" style="width:267pt;height:191.25pt" o:ole="">
            <v:imagedata r:id="rId31" o:title=""/>
          </v:shape>
          <o:OLEObject Type="Embed" ProgID="Equation.3" ShapeID="_x0000_i1036" DrawAspect="Content" ObjectID="_1580737746" r:id="rId32"/>
        </w:object>
      </w:r>
    </w:p>
    <w:p w:rsidR="00336DCD" w:rsidRDefault="00336DCD" w:rsidP="00AD3622">
      <w:r>
        <w:t>The initial conditions for this model are given by the equilibrium values:</w:t>
      </w:r>
    </w:p>
    <w:p w:rsidR="00336DCD" w:rsidRDefault="00336DCD" w:rsidP="00336DCD">
      <w:pPr>
        <w:pStyle w:val="Subsubsection"/>
        <w:spacing w:line="480" w:lineRule="auto"/>
        <w:jc w:val="center"/>
        <w:rPr>
          <w:rFonts w:ascii="Times New Roman" w:hAnsi="Times New Roman" w:cs="Times New Roman"/>
          <w:sz w:val="24"/>
          <w:szCs w:val="24"/>
        </w:rPr>
      </w:pPr>
      <w:r>
        <w:rPr>
          <w:rFonts w:ascii="Times New Roman" w:hAnsi="Times New Roman" w:cs="Times New Roman"/>
          <w:position w:val="-198"/>
          <w:sz w:val="24"/>
          <w:szCs w:val="24"/>
        </w:rPr>
        <w:object w:dxaOrig="5850" w:dyaOrig="4080" w14:anchorId="6C6457A9">
          <v:shape id="_x0000_i1037" type="#_x0000_t75" style="width:292.5pt;height:204pt" o:ole="">
            <v:imagedata r:id="rId33" o:title=""/>
          </v:shape>
          <o:OLEObject Type="Embed" ProgID="Equation.3" ShapeID="_x0000_i1037" DrawAspect="Content" ObjectID="_1580737747" r:id="rId34"/>
        </w:object>
      </w:r>
    </w:p>
    <w:p w:rsidR="00336DCD" w:rsidRDefault="00336DCD" w:rsidP="00AD3622">
      <w:r>
        <w:t xml:space="preserve">The equilibrium forces of infection </w:t>
      </w:r>
      <w:r>
        <w:rPr>
          <w:i/>
          <w:iCs/>
        </w:rPr>
        <w:t>λ</w:t>
      </w:r>
      <w:r>
        <w:rPr>
          <w:i/>
          <w:iCs/>
          <w:vertAlign w:val="subscript"/>
        </w:rPr>
        <w:t>j</w:t>
      </w:r>
      <w:r>
        <w:t xml:space="preserve"> is given by</w:t>
      </w:r>
    </w:p>
    <w:p w:rsidR="00336DCD" w:rsidRDefault="00336DCD" w:rsidP="00336DCD">
      <w:pPr>
        <w:pStyle w:val="Subsubsection"/>
        <w:spacing w:line="480" w:lineRule="auto"/>
        <w:jc w:val="center"/>
        <w:rPr>
          <w:rFonts w:ascii="Times New Roman" w:hAnsi="Times New Roman" w:cs="Times New Roman"/>
          <w:sz w:val="24"/>
          <w:szCs w:val="24"/>
        </w:rPr>
      </w:pPr>
      <w:r>
        <w:rPr>
          <w:rFonts w:ascii="Times New Roman" w:hAnsi="Times New Roman" w:cs="Times New Roman"/>
          <w:position w:val="-12"/>
          <w:sz w:val="24"/>
          <w:szCs w:val="24"/>
        </w:rPr>
        <w:object w:dxaOrig="1725" w:dyaOrig="375" w14:anchorId="3CFB5CA5">
          <v:shape id="_x0000_i1038" type="#_x0000_t75" style="width:86.25pt;height:18pt" o:ole="">
            <v:imagedata r:id="rId35" o:title=""/>
          </v:shape>
          <o:OLEObject Type="Embed" ProgID="Equation.3" ShapeID="_x0000_i1038" DrawAspect="Content" ObjectID="_1580737748" r:id="rId36"/>
        </w:object>
      </w:r>
    </w:p>
    <w:p w:rsidR="00336DCD" w:rsidRDefault="00336DCD" w:rsidP="00AD3622">
      <w:r>
        <w:t>We fixed all other parameters</w:t>
      </w:r>
      <w:r w:rsidR="003A2BF0">
        <w:t xml:space="preserve"> and used the nine parameters, </w:t>
      </w:r>
      <w:r>
        <w:rPr>
          <w:i/>
          <w:iCs/>
        </w:rPr>
        <w:t>b</w:t>
      </w:r>
      <w:r>
        <w:rPr>
          <w:vertAlign w:val="subscript"/>
        </w:rPr>
        <w:t>0</w:t>
      </w:r>
      <w:r>
        <w:t xml:space="preserve">, </w:t>
      </w:r>
      <w:r>
        <w:rPr>
          <w:i/>
          <w:iCs/>
        </w:rPr>
        <w:t>b</w:t>
      </w:r>
      <w:r>
        <w:rPr>
          <w:vertAlign w:val="subscript"/>
        </w:rPr>
        <w:t>1</w:t>
      </w:r>
      <w:r>
        <w:t>,</w:t>
      </w:r>
      <w:r>
        <w:rPr>
          <w:i/>
          <w:iCs/>
        </w:rPr>
        <w:t xml:space="preserve"> b</w:t>
      </w:r>
      <w:r>
        <w:rPr>
          <w:vertAlign w:val="subscript"/>
        </w:rPr>
        <w:t>2</w:t>
      </w:r>
      <w:r>
        <w:t>,</w:t>
      </w:r>
      <w:r w:rsidRPr="00A26A84">
        <w:rPr>
          <w:i/>
        </w:rPr>
        <w:t xml:space="preserve"> </w:t>
      </w:r>
      <w:r>
        <w:sym w:font="Symbol" w:char="F044"/>
      </w:r>
      <w:r w:rsidR="007A4AC2">
        <w:rPr>
          <w:vertAlign w:val="subscript"/>
        </w:rPr>
        <w:t>1</w:t>
      </w:r>
      <w:r>
        <w:t>,</w:t>
      </w:r>
      <w:r>
        <w:rPr>
          <w:i/>
          <w:iCs/>
        </w:rPr>
        <w:t xml:space="preserve"> </w:t>
      </w:r>
      <w:r>
        <w:sym w:font="Symbol" w:char="F044"/>
      </w:r>
      <w:r w:rsidR="007A4AC2">
        <w:rPr>
          <w:vertAlign w:val="subscript"/>
        </w:rPr>
        <w:t>2</w:t>
      </w:r>
      <w:r>
        <w:t>,</w:t>
      </w:r>
      <w:r>
        <w:rPr>
          <w:i/>
          <w:iCs/>
        </w:rPr>
        <w:t xml:space="preserve"> t</w:t>
      </w:r>
      <w:r>
        <w:rPr>
          <w:vertAlign w:val="subscript"/>
        </w:rPr>
        <w:t>1</w:t>
      </w:r>
      <w:r>
        <w:t>,</w:t>
      </w:r>
      <w:r>
        <w:rPr>
          <w:i/>
          <w:iCs/>
        </w:rPr>
        <w:t xml:space="preserve"> t</w:t>
      </w:r>
      <w:r>
        <w:rPr>
          <w:vertAlign w:val="subscript"/>
        </w:rPr>
        <w:t>2</w:t>
      </w:r>
      <w:r>
        <w:t>,</w:t>
      </w:r>
      <w:r w:rsidR="00A769BD">
        <w:t xml:space="preserve"> t</w:t>
      </w:r>
      <w:r w:rsidR="00A769BD">
        <w:rPr>
          <w:vertAlign w:val="subscript"/>
        </w:rPr>
        <w:t>3</w:t>
      </w:r>
      <w:r>
        <w:t xml:space="preserve"> and </w:t>
      </w:r>
      <w:r>
        <w:rPr>
          <w:i/>
          <w:iCs/>
        </w:rPr>
        <w:sym w:font="Symbol" w:char="F072"/>
      </w:r>
      <w:r>
        <w:t xml:space="preserve"> for fitting the model.  As a function of these nine parameters, the model-predicted reported incidence in all age groups at time </w:t>
      </w:r>
      <w:r>
        <w:rPr>
          <w:i/>
          <w:iCs/>
        </w:rPr>
        <w:t>t</w:t>
      </w:r>
      <w:r>
        <w:t xml:space="preserve"> is given by:</w:t>
      </w:r>
    </w:p>
    <w:p w:rsidR="00336DCD" w:rsidRDefault="00336DCD" w:rsidP="00336DCD">
      <w:pPr>
        <w:pStyle w:val="Subsubsection"/>
        <w:spacing w:line="480" w:lineRule="auto"/>
        <w:jc w:val="center"/>
        <w:rPr>
          <w:rFonts w:ascii="Times New Roman" w:hAnsi="Times New Roman" w:cs="Times New Roman"/>
          <w:sz w:val="24"/>
          <w:szCs w:val="24"/>
        </w:rPr>
      </w:pPr>
      <w:r>
        <w:rPr>
          <w:rFonts w:ascii="Times New Roman" w:hAnsi="Times New Roman" w:cs="Times New Roman"/>
          <w:position w:val="-30"/>
          <w:sz w:val="24"/>
          <w:szCs w:val="24"/>
        </w:rPr>
        <w:object w:dxaOrig="2439" w:dyaOrig="700">
          <v:shape id="_x0000_i1039" type="#_x0000_t75" style="width:122.25pt;height:35.25pt" o:ole="">
            <v:imagedata r:id="rId37" o:title=""/>
          </v:shape>
          <o:OLEObject Type="Embed" ProgID="Equation.3" ShapeID="_x0000_i1039" DrawAspect="Content" ObjectID="_1580737749" r:id="rId38"/>
        </w:object>
      </w:r>
    </w:p>
    <w:p w:rsidR="00336DCD" w:rsidRDefault="00336DCD" w:rsidP="00AD3622">
      <w:r>
        <w:t xml:space="preserve">The model-predicted seroprevalence in age group </w:t>
      </w:r>
      <w:r>
        <w:rPr>
          <w:i/>
          <w:iCs/>
        </w:rPr>
        <w:t>j</w:t>
      </w:r>
      <w:r>
        <w:t xml:space="preserve"> at time </w:t>
      </w:r>
      <w:r>
        <w:rPr>
          <w:i/>
          <w:iCs/>
        </w:rPr>
        <w:t>t</w:t>
      </w:r>
      <w:r>
        <w:t xml:space="preserve"> is given by:</w:t>
      </w:r>
    </w:p>
    <w:p w:rsidR="00336DCD" w:rsidRDefault="001C56DB" w:rsidP="0091425D">
      <w:pPr>
        <w:pStyle w:val="Subsubsection"/>
        <w:spacing w:line="480" w:lineRule="auto"/>
        <w:jc w:val="center"/>
        <w:rPr>
          <w:rFonts w:ascii="Times New Roman" w:hAnsi="Times New Roman" w:cs="Times New Roman"/>
          <w:sz w:val="24"/>
          <w:szCs w:val="24"/>
        </w:rPr>
      </w:pPr>
      <w:r w:rsidRPr="001C56DB">
        <w:rPr>
          <w:rFonts w:ascii="Times New Roman" w:hAnsi="Times New Roman" w:cs="Times New Roman"/>
          <w:position w:val="-14"/>
          <w:sz w:val="24"/>
          <w:szCs w:val="24"/>
        </w:rPr>
        <w:object w:dxaOrig="1960" w:dyaOrig="420" w14:anchorId="1CF638A3">
          <v:shape id="_x0000_i1040" type="#_x0000_t75" style="width:97.5pt;height:21pt" o:ole="">
            <v:imagedata r:id="rId39" o:title=""/>
          </v:shape>
          <o:OLEObject Type="Embed" ProgID="Equation.3" ShapeID="_x0000_i1040" DrawAspect="Content" ObjectID="_1580737750" r:id="rId40"/>
        </w:object>
      </w:r>
    </w:p>
    <w:p w:rsidR="00420A71" w:rsidRDefault="00336DCD" w:rsidP="00AD3622">
      <w:r>
        <w:t>Our calibration approach will be to minimize a least square function consisting of</w:t>
      </w:r>
      <w:r w:rsidR="0091425D">
        <w:t xml:space="preserve"> three components.  The first is the least square deviation in age-specific seroprevalence predicted by the model for 2008</w:t>
      </w:r>
      <w:r w:rsidR="0065735D">
        <w:t xml:space="preserve"> and from the seroprevalence from Hayajneh, et al.</w:t>
      </w:r>
      <w:r w:rsidR="00A769BD">
        <w:fldChar w:fldCharType="begin" w:fldLock="1"/>
      </w:r>
      <w:r w:rsidR="00A769BD">
        <w:instrText>ADDIN CSL_CITATION { "citationItems" : [ { "id" : "ITEM-1", "itemData" : { "abstract" : "Hepatitis A Virus (HAV) has been a significant cause of infections among the children and adolescents of Jordan. Availability of safe vaccines made it necessary to identify the ill-defined temporal immunity trends for HAV and possible age-specific prevalence transitions. This community-based cross sectional study was conducted during the period July-August 2008 on 3,066 recruited subjects from the 12 governorates of Jordan, with pre-defined criteria. Several households were chosen at random within each selected block to enroll the subjects. They were interviewed and data were collected. Their sera were tested for total antibodies against HAV. A multivariate model was then performed to identify the possible risk factors. The HAV sero-prevalence rates among the age categories-second year, 2-4 years, 5-9 years, 10-14 years, 15-19 years, and those above 20 years were 26%, 32%, 44%, 63%, 78%, and 94%, respectively. The model revealed the association of several risk factors for higher HAV sero-prevalence rates: (i) older age groups; (ii) lower maternal education levels; (iii) residing in certain governorates; (iv) using public net drinking water; and (v) avoiding use of public net sewage system. This study provided strong evidence for continuous transition of HAV epidemiology towards intermediate endemicity in Jordan, with more susceptible adolescents and adults. Following the World Health Organization (WHO) recommendations for countries with intermediate endemicity, large-scale hepatitis A vaccination is recommended for children in Jordan. This is strengthened by the availability of effective and safe HAV vaccines, improving the socio-economic status of the Jordanians, and increasing life expectancy among Jordanians.", "author" : [ { "dropping-particle" : "", "family" : "Hayajneh", "given" : "W A", "non-dropping-particle" : "", "parse-names" : false, "suffix" : "" }, { "dropping-particle" : "", "family" : "Balbeesi", "given" : "A", "non-dropping-particle" : "", "parse-names" : false, "suffix" : "" }, { "dropping-particle" : "", "family" : "Faouri", "given" : "S", "non-dropping-particle" : "", "parse-names" : false, "suffix" : "" } ], "container-title" : "J. Med. Virol.", "id" : "ITEM-1", "issue" : "4", "issued" : { "date-parts" : [ [ "2015" ] ] }, "page" : "569-574", "title" : "Hepatitis A virus age-specific sero-prevalence and risk factors among Jordanian children", "type" : "article-journal", "volume" : "87" }, "uris" : [ "http://www.mendeley.com/documents/?uuid=937ab979-7631-4904-a7e0-f2c21751db2c" ] } ], "mendeley" : { "formattedCitation" : "[6]", "plainTextFormattedCitation" : "[6]", "previouslyFormattedCitation" : "[6]" }, "properties" : { "noteIndex" : 0 }, "schema" : "https://github.com/citation-style-language/schema/raw/master/csl-citation.json" }</w:instrText>
      </w:r>
      <w:r w:rsidR="00A769BD">
        <w:fldChar w:fldCharType="separate"/>
      </w:r>
      <w:r w:rsidR="00A769BD" w:rsidRPr="00A769BD">
        <w:rPr>
          <w:noProof/>
        </w:rPr>
        <w:t>[6]</w:t>
      </w:r>
      <w:r w:rsidR="00A769BD">
        <w:fldChar w:fldCharType="end"/>
      </w:r>
      <w:r w:rsidR="00A769BD">
        <w:t xml:space="preserve"> </w:t>
      </w:r>
      <w:r w:rsidR="0091425D">
        <w:t xml:space="preserve"> for Jordan in 2008</w:t>
      </w:r>
      <w:r w:rsidR="0065735D">
        <w:t xml:space="preserve"> and </w:t>
      </w:r>
      <w:r w:rsidR="001C56DB">
        <w:t xml:space="preserve"> represented as </w:t>
      </w:r>
      <m:oMath>
        <m:sSub>
          <m:sSubPr>
            <m:ctrlPr>
              <w:rPr>
                <w:rFonts w:ascii="Cambria Math" w:hAnsi="Cambria Math"/>
                <w:i/>
              </w:rPr>
            </m:ctrlPr>
          </m:sSubPr>
          <m:e>
            <m:r>
              <w:rPr>
                <w:rFonts w:ascii="Cambria Math" w:hAnsi="Cambria Math"/>
              </w:rPr>
              <m:t>Z</m:t>
            </m:r>
          </m:e>
          <m:sub>
            <m:r>
              <w:rPr>
                <w:rFonts w:ascii="Cambria Math" w:hAnsi="Cambria Math"/>
              </w:rPr>
              <m:t>i</m:t>
            </m:r>
          </m:sub>
        </m:sSub>
        <m:d>
          <m:dPr>
            <m:ctrlPr>
              <w:rPr>
                <w:rFonts w:ascii="Cambria Math" w:hAnsi="Cambria Math"/>
                <w:i/>
              </w:rPr>
            </m:ctrlPr>
          </m:dPr>
          <m:e>
            <m:r>
              <w:rPr>
                <w:rFonts w:ascii="Cambria Math" w:hAnsi="Cambria Math"/>
              </w:rPr>
              <m:t>2008</m:t>
            </m:r>
          </m:e>
        </m:d>
      </m:oMath>
      <w:r w:rsidR="0091425D">
        <w:t>.  The second component is the least square deviation between ser</w:t>
      </w:r>
      <w:r w:rsidR="00A769BD">
        <w:t>o</w:t>
      </w:r>
      <w:r w:rsidR="0091425D">
        <w:t>prevalence predicted by the model for 1988 and from the seroprevalence data from</w:t>
      </w:r>
      <w:r w:rsidR="0065735D">
        <w:t xml:space="preserve"> Toukan, et al</w:t>
      </w:r>
      <w:r w:rsidR="00A769BD">
        <w:t>.</w:t>
      </w:r>
      <w:r w:rsidR="00A769BD">
        <w:fldChar w:fldCharType="begin" w:fldLock="1"/>
      </w:r>
      <w:r w:rsidR="00A769BD">
        <w:instrText>ADDIN CSL_CITATION { "citationItems" : [ { "id" : "ITEM-1", "itemData" : { "author" : [ { "dropping-particle" : "", "family" : "Toukan", "given" : "A U", "non-dropping-particle" : "", "parse-names" : false, "suffix" : "" }, { "dropping-particle" : "", "family" : "Sharaiha", "given" : "Z K", "non-dropping-particle" : "", "parse-names" : false, "suffix" : "" }, { "dropping-particle" : "", "family" : "Abu-el-Rob", "given" : "O A", "non-dropping-particle" : "", "parse-names" : false, "suffix" : "" } ], "container-title" : "Tropical Gastroenterology", "id" : "ITEM-1", "issued" : { "date-parts" : [ [ "1988" ] ] }, "page" : "76-79", "title" : "The seroepidemiology of hepatitis A virus infection in Jordan", "type" : "article-journal", "volume" : "9" }, "uris" : [ "http://www.mendeley.com/documents/?uuid=6a66de9b-8cac-4aed-9f9b-a10496432572" ] } ], "mendeley" : { "formattedCitation" : "[9]", "plainTextFormattedCitation" : "[9]", "previouslyFormattedCitation" : "[9]" }, "properties" : { "noteIndex" : 0 }, "schema" : "https://github.com/citation-style-language/schema/raw/master/csl-citation.json" }</w:instrText>
      </w:r>
      <w:r w:rsidR="00A769BD">
        <w:fldChar w:fldCharType="separate"/>
      </w:r>
      <w:r w:rsidR="00A769BD" w:rsidRPr="00A769BD">
        <w:rPr>
          <w:noProof/>
        </w:rPr>
        <w:t>[9]</w:t>
      </w:r>
      <w:r w:rsidR="00A769BD">
        <w:fldChar w:fldCharType="end"/>
      </w:r>
      <w:r w:rsidR="0065735D">
        <w:t xml:space="preserve">  </w:t>
      </w:r>
      <w:r w:rsidR="0091425D">
        <w:t xml:space="preserve"> </w:t>
      </w:r>
      <w:r w:rsidR="0065735D">
        <w:t xml:space="preserve">for </w:t>
      </w:r>
      <w:r w:rsidR="0091425D">
        <w:t>Jordan in 1988</w:t>
      </w:r>
      <w:r w:rsidR="0065735D">
        <w:t xml:space="preserve"> and </w:t>
      </w:r>
      <w:r w:rsidR="001C56DB">
        <w:t xml:space="preserve">represented as </w:t>
      </w:r>
      <m:oMath>
        <m:sSub>
          <m:sSubPr>
            <m:ctrlPr>
              <w:rPr>
                <w:rFonts w:ascii="Cambria Math" w:hAnsi="Cambria Math"/>
                <w:i/>
              </w:rPr>
            </m:ctrlPr>
          </m:sSubPr>
          <m:e>
            <m:r>
              <w:rPr>
                <w:rFonts w:ascii="Cambria Math" w:hAnsi="Cambria Math"/>
              </w:rPr>
              <m:t>Z</m:t>
            </m:r>
          </m:e>
          <m:sub>
            <m:r>
              <w:rPr>
                <w:rFonts w:ascii="Cambria Math" w:hAnsi="Cambria Math"/>
              </w:rPr>
              <m:t>i</m:t>
            </m:r>
          </m:sub>
        </m:sSub>
        <m:d>
          <m:dPr>
            <m:ctrlPr>
              <w:rPr>
                <w:rFonts w:ascii="Cambria Math" w:hAnsi="Cambria Math"/>
                <w:i/>
              </w:rPr>
            </m:ctrlPr>
          </m:dPr>
          <m:e>
            <m:r>
              <w:rPr>
                <w:rFonts w:ascii="Cambria Math" w:hAnsi="Cambria Math"/>
              </w:rPr>
              <m:t>1988</m:t>
            </m:r>
          </m:e>
        </m:d>
      </m:oMath>
      <w:r w:rsidR="001C56DB">
        <w:t xml:space="preserve">.  </w:t>
      </w:r>
      <w:r w:rsidR="0091425D">
        <w:t xml:space="preserve">  The final component is the least square deviation between model predicted incidence from 200</w:t>
      </w:r>
      <w:r w:rsidR="00A769BD">
        <w:t>4</w:t>
      </w:r>
      <w:r w:rsidR="0091425D">
        <w:t xml:space="preserve"> through 201</w:t>
      </w:r>
      <w:r w:rsidR="00A769BD">
        <w:t>4 from the Jordanian Ministry of Health</w:t>
      </w:r>
      <w:r w:rsidR="00A769BD">
        <w:fldChar w:fldCharType="begin" w:fldLock="1"/>
      </w:r>
      <w:r w:rsidR="00245AF5">
        <w:instrText>ADDIN CSL_CITATION { "citationItems" : [ { "id" : "ITEM-1", "itemData" : { "author" : [ { "dropping-particle" : "", "family" : "Directorate of Vital information Studies Preparation", "given" : "", "non-dropping-particle" : "", "parse-names" : false, "suffix" : "" } ], "collection-title" : "Ministry of Health Annual Statistics Book", "id" : "ITEM-1", "issued" : { "date-parts" : [ [ "2015" ] ] }, "publisher" : "Jordan Ministry of Health", "publisher-place" : "Amman, Jordan", "title" : "Ministry of Health Annual Statistical Book 2014", "type" : "book" }, "uris" : [ "http://www.mendeley.com/documents/?uuid=3872a2f9-9e62-4367-bdbf-079169e7b86f" ] } ], "mendeley" : { "formattedCitation" : "[10]", "plainTextFormattedCitation" : "[10]", "previouslyFormattedCitation" : "[10]" }, "properties" : { "noteIndex" : 0 }, "schema" : "https://github.com/citation-style-language/schema/raw/master/csl-citation.json" }</w:instrText>
      </w:r>
      <w:r w:rsidR="00A769BD">
        <w:fldChar w:fldCharType="separate"/>
      </w:r>
      <w:r w:rsidR="00A769BD" w:rsidRPr="00A769BD">
        <w:rPr>
          <w:noProof/>
        </w:rPr>
        <w:t>[10]</w:t>
      </w:r>
      <w:r w:rsidR="00A769BD">
        <w:fldChar w:fldCharType="end"/>
      </w:r>
      <w:r w:rsidR="00A769BD">
        <w:t xml:space="preserve"> </w:t>
      </w:r>
      <w:r w:rsidR="001C56DB">
        <w:t xml:space="preserve">represented by </w:t>
      </w:r>
      <m:oMath>
        <m:r>
          <w:rPr>
            <w:rFonts w:ascii="Cambria Math" w:hAnsi="Cambria Math"/>
          </w:rPr>
          <m:t>Y(t)</m:t>
        </m:r>
      </m:oMath>
      <w:r w:rsidR="0091425D">
        <w:t>.</w:t>
      </w:r>
      <w:r w:rsidR="003B61C8">
        <w:t xml:space="preserve">  </w:t>
      </w:r>
      <w:r w:rsidR="00936B1D">
        <w:t xml:space="preserve">We standardize the components by dividing each element by the standard deviation of the measured data. </w:t>
      </w:r>
      <w:r w:rsidR="001C56DB">
        <w:t>The resulting function to be minimized is</w:t>
      </w:r>
    </w:p>
    <w:p w:rsidR="00A769BD" w:rsidRDefault="00A769BD" w:rsidP="00AD3622">
      <m:oMathPara>
        <m:oMath>
          <m:r>
            <w:rPr>
              <w:rFonts w:ascii="Cambria Math" w:hAnsi="Cambria Math"/>
            </w:rPr>
            <m:t>RSS=</m:t>
          </m:r>
          <m:f>
            <m:fPr>
              <m:ctrlPr>
                <w:rPr>
                  <w:rFonts w:ascii="Cambria Math" w:hAnsi="Cambria Math"/>
                  <w:i/>
                </w:rPr>
              </m:ctrlPr>
            </m:fPr>
            <m:num>
              <m:nary>
                <m:naryPr>
                  <m:chr m:val="∑"/>
                  <m:limLoc m:val="undOvr"/>
                  <m:ctrlPr>
                    <w:rPr>
                      <w:rFonts w:ascii="Cambria Math" w:hAnsi="Cambria Math"/>
                      <w:i/>
                    </w:rPr>
                  </m:ctrlPr>
                </m:naryPr>
                <m:sub>
                  <m:r>
                    <w:rPr>
                      <w:rFonts w:ascii="Cambria Math" w:hAnsi="Cambria Math"/>
                    </w:rPr>
                    <m:t>t=2004</m:t>
                  </m:r>
                </m:sub>
                <m:sup>
                  <m:r>
                    <w:rPr>
                      <w:rFonts w:ascii="Cambria Math" w:hAnsi="Cambria Math"/>
                    </w:rPr>
                    <m:t>2014</m:t>
                  </m:r>
                </m:sup>
                <m:e>
                  <m:sSup>
                    <m:sSupPr>
                      <m:ctrlPr>
                        <w:rPr>
                          <w:rFonts w:ascii="Cambria Math" w:hAnsi="Cambria Math"/>
                          <w:i/>
                        </w:rPr>
                      </m:ctrlPr>
                    </m:sSupPr>
                    <m:e>
                      <m:d>
                        <m:dPr>
                          <m:begChr m:val="["/>
                          <m:endChr m:val="]"/>
                          <m:ctrlPr>
                            <w:rPr>
                              <w:rFonts w:ascii="Cambria Math" w:hAnsi="Cambria Math"/>
                              <w:i/>
                            </w:rPr>
                          </m:ctrlPr>
                        </m:dPr>
                        <m:e>
                          <m:r>
                            <w:rPr>
                              <w:rFonts w:ascii="Cambria Math" w:hAnsi="Cambria Math"/>
                            </w:rPr>
                            <m:t>Y</m:t>
                          </m:r>
                          <m:d>
                            <m:dPr>
                              <m:ctrlPr>
                                <w:rPr>
                                  <w:rFonts w:ascii="Cambria Math" w:hAnsi="Cambria Math"/>
                                  <w:i/>
                                </w:rPr>
                              </m:ctrlPr>
                            </m:dPr>
                            <m:e>
                              <m:r>
                                <w:rPr>
                                  <w:rFonts w:ascii="Cambria Math" w:hAnsi="Cambria Math"/>
                                </w:rPr>
                                <m:t>t</m:t>
                              </m:r>
                            </m:e>
                          </m:d>
                          <m:r>
                            <w:rPr>
                              <w:rFonts w:ascii="Cambria Math" w:hAnsi="Cambria Math"/>
                            </w:rPr>
                            <m:t>-</m:t>
                          </m:r>
                          <m:acc>
                            <m:accPr>
                              <m:ctrlPr>
                                <w:rPr>
                                  <w:rFonts w:ascii="Cambria Math" w:hAnsi="Cambria Math"/>
                                  <w:i/>
                                </w:rPr>
                              </m:ctrlPr>
                            </m:accPr>
                            <m:e>
                              <m:r>
                                <w:rPr>
                                  <w:rFonts w:ascii="Cambria Math" w:hAnsi="Cambria Math"/>
                                </w:rPr>
                                <m:t>Y</m:t>
                              </m:r>
                            </m:e>
                          </m:acc>
                          <m:r>
                            <w:rPr>
                              <w:rFonts w:ascii="Cambria Math" w:hAnsi="Cambria Math"/>
                            </w:rPr>
                            <m:t>(t)</m:t>
                          </m:r>
                        </m:e>
                      </m:d>
                    </m:e>
                    <m:sup>
                      <m:r>
                        <w:rPr>
                          <w:rFonts w:ascii="Cambria Math" w:hAnsi="Cambria Math"/>
                        </w:rPr>
                        <m:t>2</m:t>
                      </m:r>
                    </m:sup>
                  </m:sSup>
                </m:e>
              </m:nary>
            </m:num>
            <m:den>
              <m:r>
                <m:rPr>
                  <m:nor/>
                </m:rPr>
                <w:rPr>
                  <w:rFonts w:ascii="Cambria Math" w:hAnsi="Cambria Math"/>
                </w:rPr>
                <m:t>var</m:t>
              </m:r>
              <m:r>
                <w:rPr>
                  <w:rFonts w:ascii="Cambria Math" w:hAnsi="Cambria Math"/>
                </w:rPr>
                <m:t>[</m:t>
              </m:r>
              <m:sSub>
                <m:sSubPr>
                  <m:ctrlPr>
                    <w:rPr>
                      <w:rFonts w:ascii="Cambria Math" w:hAnsi="Cambria Math"/>
                      <w:i/>
                    </w:rPr>
                  </m:ctrlPr>
                </m:sSubPr>
                <m:e>
                  <m:d>
                    <m:dPr>
                      <m:begChr m:val="{"/>
                      <m:endChr m:val="}"/>
                      <m:ctrlPr>
                        <w:rPr>
                          <w:rFonts w:ascii="Cambria Math" w:hAnsi="Cambria Math"/>
                          <w:i/>
                        </w:rPr>
                      </m:ctrlPr>
                    </m:dPr>
                    <m:e>
                      <m:sSub>
                        <m:sSubPr>
                          <m:ctrlPr>
                            <w:rPr>
                              <w:rFonts w:ascii="Cambria Math" w:hAnsi="Cambria Math"/>
                              <w:i/>
                            </w:rPr>
                          </m:ctrlPr>
                        </m:sSubPr>
                        <m:e>
                          <m:r>
                            <w:rPr>
                              <w:rFonts w:ascii="Cambria Math" w:hAnsi="Cambria Math"/>
                            </w:rPr>
                            <m:t>Y</m:t>
                          </m:r>
                        </m:e>
                        <m:sub>
                          <m:r>
                            <w:rPr>
                              <w:rFonts w:ascii="Cambria Math" w:hAnsi="Cambria Math"/>
                            </w:rPr>
                            <m:t>j</m:t>
                          </m:r>
                        </m:sub>
                      </m:sSub>
                      <m:r>
                        <w:rPr>
                          <w:rFonts w:ascii="Cambria Math" w:hAnsi="Cambria Math"/>
                        </w:rPr>
                        <m:t>(t)</m:t>
                      </m:r>
                    </m:e>
                  </m:d>
                </m:e>
                <m:sub>
                  <m:r>
                    <w:rPr>
                      <w:rFonts w:ascii="Cambria Math" w:hAnsi="Cambria Math"/>
                    </w:rPr>
                    <m:t>t={2004,…,2014}</m:t>
                  </m:r>
                </m:sub>
              </m:sSub>
              <m:r>
                <w:rPr>
                  <w:rFonts w:ascii="Cambria Math" w:hAnsi="Cambria Math"/>
                </w:rPr>
                <m:t>]</m:t>
              </m:r>
            </m:den>
          </m:f>
          <m:r>
            <w:rPr>
              <w:rFonts w:ascii="Cambria Math" w:hAnsi="Cambria Math"/>
            </w:rPr>
            <m:t>+</m:t>
          </m:r>
          <m:f>
            <m:fPr>
              <m:ctrlPr>
                <w:rPr>
                  <w:rFonts w:ascii="Cambria Math" w:hAnsi="Cambria Math"/>
                  <w:i/>
                </w:rPr>
              </m:ctrlPr>
            </m:fPr>
            <m:num>
              <m:nary>
                <m:naryPr>
                  <m:chr m:val="∑"/>
                  <m:limLoc m:val="undOvr"/>
                  <m:supHide m:val="1"/>
                  <m:ctrlPr>
                    <w:rPr>
                      <w:rFonts w:ascii="Cambria Math" w:hAnsi="Cambria Math"/>
                      <w:i/>
                    </w:rPr>
                  </m:ctrlPr>
                </m:naryPr>
                <m:sub>
                  <m:r>
                    <w:rPr>
                      <w:rFonts w:ascii="Cambria Math" w:hAnsi="Cambria Math"/>
                    </w:rPr>
                    <m:t>j={0,1,2,5,10,15,20}</m:t>
                  </m:r>
                </m:sub>
                <m:sup/>
                <m:e>
                  <m:sSup>
                    <m:sSupPr>
                      <m:ctrlPr>
                        <w:rPr>
                          <w:rFonts w:ascii="Cambria Math" w:hAnsi="Cambria Math"/>
                          <w:i/>
                        </w:rPr>
                      </m:ctrlPr>
                    </m:sSupPr>
                    <m:e>
                      <m:d>
                        <m:dPr>
                          <m:begChr m:val="["/>
                          <m:endChr m:val="]"/>
                          <m:ctrlPr>
                            <w:rPr>
                              <w:rFonts w:ascii="Cambria Math" w:hAnsi="Cambria Math"/>
                              <w:i/>
                            </w:rPr>
                          </m:ctrlPr>
                        </m:dPr>
                        <m:e>
                          <m:sSub>
                            <m:sSubPr>
                              <m:ctrlPr>
                                <w:rPr>
                                  <w:rFonts w:ascii="Cambria Math" w:hAnsi="Cambria Math"/>
                                  <w:i/>
                                </w:rPr>
                              </m:ctrlPr>
                            </m:sSubPr>
                            <m:e>
                              <m:r>
                                <w:rPr>
                                  <w:rFonts w:ascii="Cambria Math" w:hAnsi="Cambria Math"/>
                                </w:rPr>
                                <m:t>Z</m:t>
                              </m:r>
                            </m:e>
                            <m:sub>
                              <m:r>
                                <w:rPr>
                                  <w:rFonts w:ascii="Cambria Math" w:hAnsi="Cambria Math"/>
                                </w:rPr>
                                <m:t>j</m:t>
                              </m:r>
                            </m:sub>
                          </m:sSub>
                          <m:r>
                            <w:rPr>
                              <w:rFonts w:ascii="Cambria Math" w:hAnsi="Cambria Math"/>
                            </w:rPr>
                            <m:t>(2008)-</m:t>
                          </m:r>
                          <m:sSub>
                            <m:sSubPr>
                              <m:ctrlPr>
                                <w:rPr>
                                  <w:rFonts w:ascii="Cambria Math" w:hAnsi="Cambria Math"/>
                                  <w:i/>
                                </w:rPr>
                              </m:ctrlPr>
                            </m:sSubPr>
                            <m:e>
                              <m:acc>
                                <m:accPr>
                                  <m:ctrlPr>
                                    <w:rPr>
                                      <w:rFonts w:ascii="Cambria Math" w:hAnsi="Cambria Math"/>
                                      <w:i/>
                                    </w:rPr>
                                  </m:ctrlPr>
                                </m:accPr>
                                <m:e>
                                  <m:r>
                                    <w:rPr>
                                      <w:rFonts w:ascii="Cambria Math" w:hAnsi="Cambria Math"/>
                                    </w:rPr>
                                    <m:t>Z</m:t>
                                  </m:r>
                                </m:e>
                              </m:acc>
                            </m:e>
                            <m:sub>
                              <m:r>
                                <w:rPr>
                                  <w:rFonts w:ascii="Cambria Math" w:hAnsi="Cambria Math"/>
                                </w:rPr>
                                <m:t>j</m:t>
                              </m:r>
                            </m:sub>
                          </m:sSub>
                          <m:r>
                            <w:rPr>
                              <w:rFonts w:ascii="Cambria Math" w:hAnsi="Cambria Math"/>
                            </w:rPr>
                            <m:t>(2008)</m:t>
                          </m:r>
                        </m:e>
                      </m:d>
                    </m:e>
                    <m:sup>
                      <m:r>
                        <w:rPr>
                          <w:rFonts w:ascii="Cambria Math" w:hAnsi="Cambria Math"/>
                        </w:rPr>
                        <m:t>2</m:t>
                      </m:r>
                    </m:sup>
                  </m:sSup>
                </m:e>
              </m:nary>
            </m:num>
            <m:den>
              <m:r>
                <m:rPr>
                  <m:nor/>
                </m:rPr>
                <w:rPr>
                  <w:rFonts w:ascii="Cambria Math" w:hAnsi="Cambria Math"/>
                </w:rPr>
                <m:t>var</m:t>
              </m:r>
              <m:r>
                <w:rPr>
                  <w:rFonts w:ascii="Cambria Math" w:hAnsi="Cambria Math"/>
                </w:rPr>
                <m:t>[</m:t>
              </m:r>
              <m:sSub>
                <m:sSubPr>
                  <m:ctrlPr>
                    <w:rPr>
                      <w:rFonts w:ascii="Cambria Math" w:hAnsi="Cambria Math"/>
                      <w:i/>
                    </w:rPr>
                  </m:ctrlPr>
                </m:sSubPr>
                <m:e>
                  <m:d>
                    <m:dPr>
                      <m:begChr m:val="{"/>
                      <m:endChr m:val="}"/>
                      <m:ctrlPr>
                        <w:rPr>
                          <w:rFonts w:ascii="Cambria Math" w:hAnsi="Cambria Math"/>
                          <w:i/>
                        </w:rPr>
                      </m:ctrlPr>
                    </m:dPr>
                    <m:e>
                      <m:sSub>
                        <m:sSubPr>
                          <m:ctrlPr>
                            <w:rPr>
                              <w:rFonts w:ascii="Cambria Math" w:hAnsi="Cambria Math"/>
                              <w:i/>
                            </w:rPr>
                          </m:ctrlPr>
                        </m:sSubPr>
                        <m:e>
                          <m:r>
                            <w:rPr>
                              <w:rFonts w:ascii="Cambria Math" w:hAnsi="Cambria Math"/>
                            </w:rPr>
                            <m:t>Z</m:t>
                          </m:r>
                        </m:e>
                        <m:sub>
                          <m:r>
                            <w:rPr>
                              <w:rFonts w:ascii="Cambria Math" w:hAnsi="Cambria Math"/>
                            </w:rPr>
                            <m:t>j</m:t>
                          </m:r>
                        </m:sub>
                      </m:sSub>
                      <m:r>
                        <w:rPr>
                          <w:rFonts w:ascii="Cambria Math" w:hAnsi="Cambria Math"/>
                        </w:rPr>
                        <m:t>(2008)</m:t>
                      </m:r>
                    </m:e>
                  </m:d>
                </m:e>
                <m:sub>
                  <m:r>
                    <w:rPr>
                      <w:rFonts w:ascii="Cambria Math" w:hAnsi="Cambria Math"/>
                    </w:rPr>
                    <m:t>j={0,1,2,5,10,15,20}</m:t>
                  </m:r>
                </m:sub>
              </m:sSub>
              <m:r>
                <w:rPr>
                  <w:rFonts w:ascii="Cambria Math" w:hAnsi="Cambria Math"/>
                </w:rPr>
                <m:t>]</m:t>
              </m:r>
            </m:den>
          </m:f>
          <m:r>
            <w:rPr>
              <w:rFonts w:ascii="Cambria Math" w:hAnsi="Cambria Math"/>
            </w:rPr>
            <m:t>+</m:t>
          </m:r>
          <m:f>
            <m:fPr>
              <m:ctrlPr>
                <w:rPr>
                  <w:rFonts w:ascii="Cambria Math" w:hAnsi="Cambria Math"/>
                  <w:i/>
                </w:rPr>
              </m:ctrlPr>
            </m:fPr>
            <m:num>
              <m:nary>
                <m:naryPr>
                  <m:chr m:val="∑"/>
                  <m:limLoc m:val="undOvr"/>
                  <m:supHide m:val="1"/>
                  <m:ctrlPr>
                    <w:rPr>
                      <w:rFonts w:ascii="Cambria Math" w:hAnsi="Cambria Math"/>
                      <w:i/>
                    </w:rPr>
                  </m:ctrlPr>
                </m:naryPr>
                <m:sub>
                  <m:r>
                    <w:rPr>
                      <w:rFonts w:ascii="Cambria Math" w:hAnsi="Cambria Math"/>
                    </w:rPr>
                    <m:t>j={0,1,2,3,4,5,10,20,40}</m:t>
                  </m:r>
                </m:sub>
                <m:sup/>
                <m:e>
                  <m:sSup>
                    <m:sSupPr>
                      <m:ctrlPr>
                        <w:rPr>
                          <w:rFonts w:ascii="Cambria Math" w:hAnsi="Cambria Math"/>
                          <w:i/>
                        </w:rPr>
                      </m:ctrlPr>
                    </m:sSupPr>
                    <m:e>
                      <m:d>
                        <m:dPr>
                          <m:begChr m:val="["/>
                          <m:endChr m:val="]"/>
                          <m:ctrlPr>
                            <w:rPr>
                              <w:rFonts w:ascii="Cambria Math" w:hAnsi="Cambria Math"/>
                              <w:i/>
                            </w:rPr>
                          </m:ctrlPr>
                        </m:dPr>
                        <m:e>
                          <m:sSub>
                            <m:sSubPr>
                              <m:ctrlPr>
                                <w:rPr>
                                  <w:rFonts w:ascii="Cambria Math" w:hAnsi="Cambria Math"/>
                                  <w:i/>
                                </w:rPr>
                              </m:ctrlPr>
                            </m:sSubPr>
                            <m:e>
                              <m:r>
                                <w:rPr>
                                  <w:rFonts w:ascii="Cambria Math" w:hAnsi="Cambria Math"/>
                                </w:rPr>
                                <m:t>Z</m:t>
                              </m:r>
                            </m:e>
                            <m:sub>
                              <m:r>
                                <w:rPr>
                                  <w:rFonts w:ascii="Cambria Math" w:hAnsi="Cambria Math"/>
                                </w:rPr>
                                <m:t>j</m:t>
                              </m:r>
                            </m:sub>
                          </m:sSub>
                          <m:r>
                            <w:rPr>
                              <w:rFonts w:ascii="Cambria Math" w:hAnsi="Cambria Math"/>
                            </w:rPr>
                            <m:t>(1988)-</m:t>
                          </m:r>
                          <m:sSub>
                            <m:sSubPr>
                              <m:ctrlPr>
                                <w:rPr>
                                  <w:rFonts w:ascii="Cambria Math" w:hAnsi="Cambria Math"/>
                                  <w:i/>
                                </w:rPr>
                              </m:ctrlPr>
                            </m:sSubPr>
                            <m:e>
                              <m:acc>
                                <m:accPr>
                                  <m:ctrlPr>
                                    <w:rPr>
                                      <w:rFonts w:ascii="Cambria Math" w:hAnsi="Cambria Math"/>
                                      <w:i/>
                                    </w:rPr>
                                  </m:ctrlPr>
                                </m:accPr>
                                <m:e>
                                  <m:r>
                                    <w:rPr>
                                      <w:rFonts w:ascii="Cambria Math" w:hAnsi="Cambria Math"/>
                                    </w:rPr>
                                    <m:t>Z</m:t>
                                  </m:r>
                                </m:e>
                              </m:acc>
                            </m:e>
                            <m:sub>
                              <m:r>
                                <w:rPr>
                                  <w:rFonts w:ascii="Cambria Math" w:hAnsi="Cambria Math"/>
                                </w:rPr>
                                <m:t>j</m:t>
                              </m:r>
                            </m:sub>
                          </m:sSub>
                          <m:r>
                            <w:rPr>
                              <w:rFonts w:ascii="Cambria Math" w:hAnsi="Cambria Math"/>
                            </w:rPr>
                            <m:t>(1988)</m:t>
                          </m:r>
                        </m:e>
                      </m:d>
                    </m:e>
                    <m:sup>
                      <m:r>
                        <w:rPr>
                          <w:rFonts w:ascii="Cambria Math" w:hAnsi="Cambria Math"/>
                        </w:rPr>
                        <m:t>2</m:t>
                      </m:r>
                    </m:sup>
                  </m:sSup>
                </m:e>
              </m:nary>
            </m:num>
            <m:den>
              <m:r>
                <m:rPr>
                  <m:nor/>
                </m:rPr>
                <w:rPr>
                  <w:rFonts w:ascii="Cambria Math" w:hAnsi="Cambria Math"/>
                </w:rPr>
                <m:t>var</m:t>
              </m:r>
              <m:r>
                <w:rPr>
                  <w:rFonts w:ascii="Cambria Math" w:hAnsi="Cambria Math"/>
                </w:rPr>
                <m:t>[</m:t>
              </m:r>
              <m:sSub>
                <m:sSubPr>
                  <m:ctrlPr>
                    <w:rPr>
                      <w:rFonts w:ascii="Cambria Math" w:hAnsi="Cambria Math"/>
                      <w:i/>
                    </w:rPr>
                  </m:ctrlPr>
                </m:sSubPr>
                <m:e>
                  <m:d>
                    <m:dPr>
                      <m:begChr m:val="{"/>
                      <m:endChr m:val="}"/>
                      <m:ctrlPr>
                        <w:rPr>
                          <w:rFonts w:ascii="Cambria Math" w:hAnsi="Cambria Math"/>
                          <w:i/>
                        </w:rPr>
                      </m:ctrlPr>
                    </m:dPr>
                    <m:e>
                      <m:sSub>
                        <m:sSubPr>
                          <m:ctrlPr>
                            <w:rPr>
                              <w:rFonts w:ascii="Cambria Math" w:hAnsi="Cambria Math"/>
                              <w:i/>
                            </w:rPr>
                          </m:ctrlPr>
                        </m:sSubPr>
                        <m:e>
                          <m:r>
                            <w:rPr>
                              <w:rFonts w:ascii="Cambria Math" w:hAnsi="Cambria Math"/>
                            </w:rPr>
                            <m:t>Z</m:t>
                          </m:r>
                        </m:e>
                        <m:sub>
                          <m:r>
                            <w:rPr>
                              <w:rFonts w:ascii="Cambria Math" w:hAnsi="Cambria Math"/>
                            </w:rPr>
                            <m:t>j</m:t>
                          </m:r>
                        </m:sub>
                      </m:sSub>
                      <m:r>
                        <w:rPr>
                          <w:rFonts w:ascii="Cambria Math" w:hAnsi="Cambria Math"/>
                        </w:rPr>
                        <m:t>(1988)</m:t>
                      </m:r>
                    </m:e>
                  </m:d>
                </m:e>
                <m:sub>
                  <m:r>
                    <w:rPr>
                      <w:rFonts w:ascii="Cambria Math" w:hAnsi="Cambria Math"/>
                    </w:rPr>
                    <m:t>j={0,1,2,3,4,5,10,20,40}</m:t>
                  </m:r>
                </m:sub>
              </m:sSub>
              <m:r>
                <w:rPr>
                  <w:rFonts w:ascii="Cambria Math" w:hAnsi="Cambria Math"/>
                </w:rPr>
                <m:t>]</m:t>
              </m:r>
            </m:den>
          </m:f>
        </m:oMath>
      </m:oMathPara>
    </w:p>
    <w:p w:rsidR="0091425D" w:rsidRPr="00336DCD" w:rsidRDefault="0091425D" w:rsidP="0091425D">
      <w:pPr>
        <w:pStyle w:val="Subsubsection"/>
        <w:spacing w:line="480" w:lineRule="auto"/>
        <w:rPr>
          <w:rFonts w:ascii="Times New Roman" w:hAnsi="Times New Roman" w:cs="Times New Roman"/>
          <w:sz w:val="24"/>
          <w:szCs w:val="24"/>
        </w:rPr>
      </w:pPr>
    </w:p>
    <w:p w:rsidR="00936B1D" w:rsidRPr="00396EB6" w:rsidRDefault="00936B1D" w:rsidP="00AD3622">
      <w:r>
        <w:t xml:space="preserve">We use Mathematica 10.2 for all simulations and analysis including model fitting.  The build-in function, NMinimize was utilized to minimize RSS with respect to the parameters </w:t>
      </w:r>
      <w:r>
        <w:rPr>
          <w:i/>
          <w:iCs/>
        </w:rPr>
        <w:t>b</w:t>
      </w:r>
      <w:r>
        <w:rPr>
          <w:vertAlign w:val="subscript"/>
        </w:rPr>
        <w:t>0</w:t>
      </w:r>
      <w:r>
        <w:t xml:space="preserve">, </w:t>
      </w:r>
      <w:r>
        <w:rPr>
          <w:i/>
          <w:iCs/>
        </w:rPr>
        <w:t>b</w:t>
      </w:r>
      <w:r>
        <w:rPr>
          <w:vertAlign w:val="subscript"/>
        </w:rPr>
        <w:t>1</w:t>
      </w:r>
      <w:r>
        <w:t>,</w:t>
      </w:r>
      <w:r>
        <w:rPr>
          <w:i/>
          <w:iCs/>
        </w:rPr>
        <w:t xml:space="preserve"> b</w:t>
      </w:r>
      <w:r>
        <w:rPr>
          <w:vertAlign w:val="subscript"/>
        </w:rPr>
        <w:t>2</w:t>
      </w:r>
      <w:r>
        <w:t xml:space="preserve">, </w:t>
      </w:r>
      <w:r>
        <w:sym w:font="Symbol" w:char="F044"/>
      </w:r>
      <w:r>
        <w:rPr>
          <w:vertAlign w:val="subscript"/>
        </w:rPr>
        <w:t>1</w:t>
      </w:r>
      <w:r>
        <w:t>,</w:t>
      </w:r>
      <w:r>
        <w:rPr>
          <w:i/>
          <w:iCs/>
        </w:rPr>
        <w:t xml:space="preserve"> </w:t>
      </w:r>
      <w:r>
        <w:sym w:font="Symbol" w:char="F044"/>
      </w:r>
      <w:r>
        <w:rPr>
          <w:vertAlign w:val="subscript"/>
        </w:rPr>
        <w:t>2</w:t>
      </w:r>
      <w:r>
        <w:t>,,</w:t>
      </w:r>
      <w:r>
        <w:rPr>
          <w:i/>
          <w:iCs/>
        </w:rPr>
        <w:t xml:space="preserve"> t</w:t>
      </w:r>
      <w:r>
        <w:rPr>
          <w:vertAlign w:val="subscript"/>
        </w:rPr>
        <w:t>1</w:t>
      </w:r>
      <w:r>
        <w:t>,</w:t>
      </w:r>
      <w:r w:rsidR="00396EB6">
        <w:rPr>
          <w:i/>
          <w:iCs/>
        </w:rPr>
        <w:t xml:space="preserve"> t</w:t>
      </w:r>
      <w:r w:rsidR="00396EB6">
        <w:rPr>
          <w:vertAlign w:val="subscript"/>
        </w:rPr>
        <w:t>2</w:t>
      </w:r>
      <w:r w:rsidR="00396EB6">
        <w:t>, t</w:t>
      </w:r>
      <w:r w:rsidR="00396EB6">
        <w:rPr>
          <w:vertAlign w:val="subscript"/>
        </w:rPr>
        <w:t>3</w:t>
      </w:r>
      <w:r w:rsidR="00396EB6">
        <w:t xml:space="preserve">, and  </w:t>
      </w:r>
      <w:r>
        <w:rPr>
          <w:i/>
          <w:iCs/>
        </w:rPr>
        <w:sym w:font="Symbol" w:char="F072"/>
      </w:r>
      <w:r>
        <w:rPr>
          <w:i/>
          <w:iCs/>
        </w:rPr>
        <w:t xml:space="preserve">. </w:t>
      </w:r>
      <w:r>
        <w:rPr>
          <w:iCs/>
        </w:rPr>
        <w:t xml:space="preserve">The results are presented in </w:t>
      </w:r>
      <w:r w:rsidR="00A66E73" w:rsidRPr="00A66E73">
        <w:fldChar w:fldCharType="begin"/>
      </w:r>
      <w:r w:rsidR="00A66E73" w:rsidRPr="00A66E73">
        <w:instrText xml:space="preserve"> REF _Ref431279903 \h  \* MERGEFORMAT </w:instrText>
      </w:r>
      <w:r w:rsidR="00A66E73" w:rsidRPr="00A66E73">
        <w:fldChar w:fldCharType="separate"/>
      </w:r>
      <w:r w:rsidR="00722964">
        <w:t>Table S2</w:t>
      </w:r>
      <w:r w:rsidR="00A66E73" w:rsidRPr="00A66E73">
        <w:fldChar w:fldCharType="end"/>
      </w:r>
      <w:r w:rsidR="00AD3622">
        <w:t xml:space="preserve">.  Plots of data and fitted curves are in the </w:t>
      </w:r>
      <w:r w:rsidR="00AD3622">
        <w:fldChar w:fldCharType="begin"/>
      </w:r>
      <w:r w:rsidR="00AD3622">
        <w:instrText xml:space="preserve"> REF _Ref431280540 \h </w:instrText>
      </w:r>
      <w:r w:rsidR="00AD3622">
        <w:fldChar w:fldCharType="separate"/>
      </w:r>
      <w:r w:rsidR="00722964">
        <w:t>Calibration Results</w:t>
      </w:r>
      <w:r w:rsidR="00AD3622">
        <w:fldChar w:fldCharType="end"/>
      </w:r>
      <w:r w:rsidR="00AD3622">
        <w:t xml:space="preserve"> appendix.</w:t>
      </w:r>
    </w:p>
    <w:p w:rsidR="00F8453F" w:rsidRDefault="00F8453F" w:rsidP="00396EB6"/>
    <w:p w:rsidR="00F80A13" w:rsidRDefault="00F80A13" w:rsidP="00F80A13">
      <w:pPr>
        <w:pStyle w:val="Heading3"/>
      </w:pPr>
      <w:r>
        <w:lastRenderedPageBreak/>
        <w:t>Estimating the Proportion of Hospitalization Outcomes</w:t>
      </w:r>
    </w:p>
    <w:p w:rsidR="003C4D7A" w:rsidRDefault="00396EB6" w:rsidP="00B55346">
      <w:r>
        <w:t>In addition</w:t>
      </w:r>
      <w:r w:rsidR="00F80A13">
        <w:t>,</w:t>
      </w:r>
      <w:r>
        <w:t xml:space="preserve"> we used unpublished HAV hospitalization data from King Abdullah University Hospital</w:t>
      </w:r>
      <w:r w:rsidR="003C4D7A">
        <w:t xml:space="preserve"> (</w:t>
      </w:r>
      <w:r w:rsidR="006A432B">
        <w:t>KAUH</w:t>
      </w:r>
      <w:r w:rsidR="003C4D7A">
        <w:t>)</w:t>
      </w:r>
      <w:r>
        <w:t xml:space="preserve"> in Irbid, Jordan to </w:t>
      </w:r>
      <w:r w:rsidR="00F80A13">
        <w:t>estimate</w:t>
      </w:r>
      <w:r>
        <w:t xml:space="preserve"> the proportion of HAV cases tha</w:t>
      </w:r>
      <w:r w:rsidR="003C4D7A">
        <w:t>t required inpatient care</w:t>
      </w:r>
      <w:r w:rsidR="00223ED9">
        <w:t xml:space="preserve"> (see</w:t>
      </w:r>
      <w:r w:rsidR="009217B1">
        <w:t xml:space="preserve"> </w:t>
      </w:r>
      <w:r w:rsidR="00B55346">
        <w:fldChar w:fldCharType="begin"/>
      </w:r>
      <w:r w:rsidR="00B55346">
        <w:instrText xml:space="preserve"> REF _Ref442083410 \h </w:instrText>
      </w:r>
      <w:r w:rsidR="00B55346">
        <w:fldChar w:fldCharType="separate"/>
      </w:r>
      <w:r w:rsidR="00722964">
        <w:t>Analysis of KAUH data</w:t>
      </w:r>
      <w:r w:rsidR="00B55346">
        <w:fldChar w:fldCharType="end"/>
      </w:r>
      <w:r w:rsidR="00B55346">
        <w:t xml:space="preserve"> in Appendix </w:t>
      </w:r>
      <w:r w:rsidR="009217B1">
        <w:t xml:space="preserve">for details) </w:t>
      </w:r>
      <w:r w:rsidR="00223ED9">
        <w:t xml:space="preserve"> </w:t>
      </w:r>
    </w:p>
    <w:p w:rsidR="00245AF5" w:rsidRDefault="001E1C74" w:rsidP="00396EB6">
      <w:r>
        <w:t xml:space="preserve">Further we assumed that all unreported cases were treated and therefore required health-care resources.  We used the KAUH data and the calculated underreporting factor to estimate the proportion of the treated cases that were in-patient and assumed the rest were treated as outpatients.  </w:t>
      </w:r>
      <w:r w:rsidR="00245AF5">
        <w:t xml:space="preserve"> The assumption that was made in the U.S. HAV model was that all unreported cases were treated and that all reported cases represented inpatient treatment, the rest being treated as outpatient</w:t>
      </w:r>
      <w:r w:rsidR="00245AF5">
        <w:fldChar w:fldCharType="begin" w:fldLock="1"/>
      </w:r>
      <w:r w:rsidR="003F3712">
        <w:instrText>ADDIN CSL_CITATION { "citationItems" : [ { "id" : "ITEM-1", "itemData" : { "abstract" : "OBJECTIVE: To assess the population-level impact and cost-effectiveness of hepatitis A vaccination programs in the United States. METHODS: We developed an age-structured population model of hepatitis A transmission dynamics to evaluate two policies of administering a two-dose hepatitis A vaccine to children aged 12 to 18 months: 1) universal routine vaccination as recommended by the Advisory Committee on Immunization Practices in 2006 and 2) Advisory Committee on Immunization Practices's previous regional policy of routine vaccination of children living in states with high hepatitis A incidence. Inputs were obtained from the published literature, public sources, and clinical trial data. The model was fitted to hepatitis A seroprevalence (National Health and Nutrition Examination Survey II and III) and reported incidence from the National Notifiable Diseases Surveillance System (1980-1995). We used a societal perspective and projected costs (in 2013 US ), quality-adjusted life-years, incremental cost-effectiveness ratio, and other outcomes over the period 2006 to 2106. RESULTS: On average, universal routine hepatitis A vaccination prevented 259,776 additional infections, 167,094 outpatient visits, 4781 hospitalizations, and 228 deaths annually. Compared with the regional vaccination policy, universal routine hepatitis A vaccination was cost saving. In scenario analysis, universal vaccination prevented 94,957 infections, 46,179 outpatient visits, 1286 hospitalizations, and 15 deaths annually and had an incremental cost-effectiveness ratio of 21,223/quality-adjusted life-year when herd protection was ignored. CONCLUSIONS: Our model predicted that universal childhood hepatitis A vaccination led to significant reductions in hepatitis A mortality and morbidity. Consequently, universal vaccination was cost saving compared with a regional vaccination policy. Herd protection effects of hepatitis A vaccination programs had a significant impact on hepatitis A mortality, morbidity, and cost-effectiveness ratios.", "author" : [ { "dropping-particle" : "", "family" : "Dhankhar", "given" : "P", "non-dropping-particle" : "", "parse-names" : false, "suffix" : "" }, { "dropping-particle" : "", "family" : "Nwankwo", "given" : "C", "non-dropping-particle" : "", "parse-names" : false, "suffix" : "" }, { "dropping-particle" : "", "family" : "Pillsbury", "given" : "M", "non-dropping-particle" : "", "parse-names" : false, "suffix" : "" }, { "dropping-particle" : "", "family" : "Lauschke", "given" : "A", "non-dropping-particle" : "", "parse-names" : false, "suffix" : "" }, { "dropping-particle" : "", "family" : "Goveia", "given" : "M G", "non-dropping-particle" : "", "parse-names" : false, "suffix" : "" }, { "dropping-particle" : "", "family" : "Acosta", "given" : "C J", "non-dropping-particle" : "", "parse-names" : false, "suffix" : "" }, { "dropping-particle" : "", "family" : "Elbasha", "given" : "E H", "non-dropping-particle" : "", "parse-names" : false, "suffix" : "" } ], "container-title" : "Value Health", "id" : "ITEM-1", "issue" : "4", "issued" : { "date-parts" : [ [ "2015" ] ] }, "page" : "358-367", "publisher" : "Elsevier", "title" : "Public Health Impact and Cost-Effectiveness of Hepatitis A Vaccination in the United States: A Disease Transmission Dynamic Modeling Approach", "type" : "article-journal", "volume" : "18" }, "uris" : [ "http://www.mendeley.com/documents/?uuid=cfd82008-edf2-4ebe-a43b-00ae3b68d956" ] } ], "mendeley" : { "formattedCitation" : "[11]", "plainTextFormattedCitation" : "[11]", "previouslyFormattedCitation" : "[11]" }, "properties" : { "noteIndex" : 0 }, "schema" : "https://github.com/citation-style-language/schema/raw/master/csl-citation.json" }</w:instrText>
      </w:r>
      <w:r w:rsidR="00245AF5">
        <w:fldChar w:fldCharType="separate"/>
      </w:r>
      <w:r w:rsidR="00245AF5" w:rsidRPr="00245AF5">
        <w:rPr>
          <w:noProof/>
        </w:rPr>
        <w:t>[11]</w:t>
      </w:r>
      <w:r w:rsidR="00245AF5">
        <w:fldChar w:fldCharType="end"/>
      </w:r>
      <w:r w:rsidR="00245AF5">
        <w:t>.  We use the following rationale:</w:t>
      </w:r>
    </w:p>
    <w:p w:rsidR="003F3712" w:rsidRDefault="003F3712" w:rsidP="00396EB6">
      <w:r>
        <w:t>In general, we can assume that the number of cases of any infections disease can be split into a proportions representing those reported to a surveillance system (</w:t>
      </w:r>
      <w:r>
        <w:br/>
        <w:t>R), those that are un-reported (UR), and those that are un-assessed (UA)</w:t>
      </w:r>
      <w:r>
        <w:fldChar w:fldCharType="begin" w:fldLock="1"/>
      </w:r>
      <w:r w:rsidR="00A871B1">
        <w:instrText>ADDIN CSL_CITATION { "citationItems" : [ { "id" : "ITEM-1", "itemData" : { "ISSN" : "1471-2458", "abstract" : "BACKGROUND: Efficient and reliable surveillance and notification systems are vital for monitoring public health and disease outbreaks. However, most surveillance and notification systems are affected by a degree of underestimation (UE) and therefore uncertainty surrounds the 'true\u2019 incidence of disease affecting morbidity and mortality rates. Surveillance systems fail to capture cases at two distinct levels of the surveillance pyramid: from the community since not all cases seek healthcare (under-ascertainment), and at the healthcare-level, representing a failure to adequately report symptomatic cases that have sought medical advice (underreporting). There are several methods to estimate the extent of under-ascertainment and underreporting. METHODS: Within the context of the ECDC-funded Burden of Communicable Diseases in Europe (BCoDE)-project, an extensive literature review was conducted to identify studies that estimate ascertainment or reporting rates for salmonellosis and campylobacteriosis in European Union Member States (MS) plus European Free Trade Area (EFTA) countries Iceland, Norway and Switzerland and four other OECD countries (USA, Canada, Australia and Japan). Multiplication factors (MFs), a measure of the magnitude of underestimation, were taken directly from the literature or derived (where the proportion of underestimated, under-ascertained, or underreported cases was known) and compared for the two pathogens. RESULTS: MFs varied between and within diseases and countries, representing a need to carefully select the most appropriate MFs and methods for calculating them. The most appropriate MFs are often disease-, country-, age-, and sex-specific. CONCLUSIONS: When routine data are used to make decisions on resource allocation or to estimate epidemiological parameters in populations, it becomes important to understand when, where and to what extent these data represent the true picture of disease, and in some instances (such as priority setting) it is necessary to adjust for underestimation. MFs can be used to adjust notification and surveillance data to provide more realistic estimates of incidence.", "author" : [ { "dropping-particle" : "", "family" : "Gibbons", "given" : "Cheryl L", "non-dropping-particle" : "", "parse-names" : false, "suffix" : "" }, { "dropping-particle" : "", "family" : "Mangen", "given" : "Marie-Jos\u00e9e J", "non-dropping-particle" : "", "parse-names" : false, "suffix" : "" }, { "dropping-particle" : "", "family" : "Plass", "given" : "Dietrich", "non-dropping-particle" : "", "parse-names" : false, "suffix" : "" }, { "dropping-particle" : "", "family" : "Havelaar", "given" : "Arie H", "non-dropping-particle" : "", "parse-names" : false, "suffix" : "" }, { "dropping-particle" : "", "family" : "Brooke", "given" : "Russell John", "non-dropping-particle" : "", "parse-names" : false, "suffix" : "" }, { "dropping-particle" : "", "family" : "Kramarz", "given" : "Piotr", "non-dropping-particle" : "", "parse-names" : false, "suffix" : "" }, { "dropping-particle" : "", "family" : "Peterson", "given" : "Karen L", "non-dropping-particle" : "", "parse-names" : false, "suffix" : "" }, { "dropping-particle" : "", "family" : "Stuurman", "given" : "Anke L", "non-dropping-particle" : "", "parse-names" : false, "suffix" : "" }, { "dropping-particle" : "", "family" : "Cassini", "given" : "Alessandro", "non-dropping-particle" : "", "parse-names" : false, "suffix" : "" }, { "dropping-particle" : "", "family" : "F\u00e8vre", "given" : "Eric M", "non-dropping-particle" : "", "parse-names" : false, "suffix" : "" }, { "dropping-particle" : "", "family" : "Kretzschmar", "given" : "Mirjam E E", "non-dropping-particle" : "", "parse-names" : false, "suffix" : "" } ], "container-title" : "BMC Public Health", "id" : "ITEM-1", "issued" : { "date-parts" : [ [ "2014", "2" ] ] }, "note" : "1471-2458-14-147[PII] 24517715[pmid] 24517715[pmid]", "page" : "147", "publisher" : "BioMed Central", "title" : "Measuring underreporting and under-ascertainment in infectious disease datasets: a comparison of methods", "type" : "article-journal", "volume" : "14" }, "uris" : [ "http://www.mendeley.com/documents/?uuid=a53edca3-2c25-45cc-877e-f06fe4bad5a5" ] } ], "mendeley" : { "formattedCitation" : "[18]", "plainTextFormattedCitation" : "[18]", "previouslyFormattedCitation" : "[18]" }, "properties" : { "noteIndex" : 0 }, "schema" : "https://github.com/citation-style-language/schema/raw/master/csl-citation.json" }</w:instrText>
      </w:r>
      <w:r>
        <w:fldChar w:fldCharType="separate"/>
      </w:r>
      <w:r w:rsidRPr="003F3712">
        <w:rPr>
          <w:noProof/>
        </w:rPr>
        <w:t>[18]</w:t>
      </w:r>
      <w:r>
        <w:fldChar w:fldCharType="end"/>
      </w:r>
      <w:r>
        <w:t xml:space="preserve">.  Further the underestimation factor is </w:t>
      </w:r>
      <w:r w:rsidR="00961D24">
        <w:t xml:space="preserve">UE = </w:t>
      </w:r>
      <w:r>
        <w:t>UR</w:t>
      </w:r>
      <w:r w:rsidR="00961D24">
        <w:t xml:space="preserve"> </w:t>
      </w:r>
      <w:r>
        <w:t>+</w:t>
      </w:r>
      <w:r w:rsidR="00961D24">
        <w:t xml:space="preserve"> </w:t>
      </w:r>
      <w:r>
        <w:t xml:space="preserve">UA.  The factor UA general represents both symptomatic and asymptomatic cases that do not get treated.  In the case of the HAV model, we have a factor to separate out the asymptomatic cases so </w:t>
      </w:r>
      <w:r w:rsidR="00961D24">
        <w:t>we can then consider the factor UA’ as representing all symptomatic, un</w:t>
      </w:r>
      <w:r w:rsidR="006D2F67">
        <w:t>-</w:t>
      </w:r>
      <w:r w:rsidR="00961D24">
        <w:t>assessed cases.  The assumption that all underestimated cases are assessed and therefore treated is UA’ = 0, and UE = UR.  Using this framework we have the proportion of under-reported cases which is</w:t>
      </w:r>
    </w:p>
    <w:p w:rsidR="00961D24" w:rsidRDefault="00961D24" w:rsidP="00961D24">
      <w:pPr>
        <w:ind w:firstLine="720"/>
      </w:pPr>
      <w:r>
        <w:t>UE = UR = Reported Cases / All symptomatic cases</w:t>
      </w:r>
    </w:p>
    <w:p w:rsidR="00961D24" w:rsidRDefault="00B657CB" w:rsidP="00961D24">
      <w:r>
        <w:t xml:space="preserve">To determine the number of cases treated as inpatient we use the ratio of </w:t>
      </w:r>
    </w:p>
    <w:p w:rsidR="00961D24" w:rsidRDefault="00F50954" w:rsidP="00B657CB">
      <w:pPr>
        <w:ind w:firstLine="720"/>
      </w:pPr>
      <w:r>
        <w:t>[</w:t>
      </w:r>
      <w:r w:rsidR="00961D24">
        <w:t>KAUH</w:t>
      </w:r>
      <w:r>
        <w:t>(t)/MOH(t)]</w:t>
      </w:r>
      <w:r>
        <w:rPr>
          <w:vertAlign w:val="subscript"/>
        </w:rPr>
        <w:t>avg</w:t>
      </w:r>
      <w:r w:rsidR="00961D24">
        <w:t xml:space="preserve"> = Hospitalized Cases/Reported Cases</w:t>
      </w:r>
    </w:p>
    <w:p w:rsidR="00961D24" w:rsidRDefault="00A871B1" w:rsidP="00961D24">
      <w:r>
        <w:lastRenderedPageBreak/>
        <w:t>We used the years 200</w:t>
      </w:r>
      <w:r w:rsidR="00F50954">
        <w:t>5</w:t>
      </w:r>
      <w:r>
        <w:t xml:space="preserve"> through 201</w:t>
      </w:r>
      <w:r w:rsidR="00F50954">
        <w:t>3</w:t>
      </w:r>
      <w:r>
        <w:t xml:space="preserve"> to determine this ratio.  </w:t>
      </w:r>
      <w:r w:rsidR="00B657CB">
        <w:t xml:space="preserve">We can then use this ratio to modify the calculated under reporting factor, </w:t>
      </w:r>
      <w:r w:rsidR="00B657CB">
        <w:rPr>
          <w:rFonts w:cstheme="minorHAnsi"/>
        </w:rPr>
        <w:t>ρ</w:t>
      </w:r>
      <w:r w:rsidR="00B657CB">
        <w:t xml:space="preserve">, </w:t>
      </w:r>
      <w:r w:rsidR="0022363C">
        <w:t>to be used as the hospitalization factor</w:t>
      </w:r>
    </w:p>
    <w:p w:rsidR="00B657CB" w:rsidRDefault="00B657CB" w:rsidP="00961D24">
      <w:pPr>
        <w:rPr>
          <w:rFonts w:cstheme="minorHAnsi"/>
        </w:rPr>
      </w:pPr>
      <w:r>
        <w:rPr>
          <w:rFonts w:cstheme="minorHAnsi"/>
        </w:rPr>
        <w:tab/>
      </w:r>
      <w:r>
        <w:rPr>
          <w:rFonts w:cstheme="minorHAnsi"/>
        </w:rPr>
        <w:tab/>
      </w:r>
      <m:oMath>
        <m:sSup>
          <m:sSupPr>
            <m:ctrlPr>
              <w:rPr>
                <w:rFonts w:ascii="Cambria Math" w:hAnsi="Cambria Math" w:cstheme="minorHAnsi"/>
                <w:i/>
              </w:rPr>
            </m:ctrlPr>
          </m:sSupPr>
          <m:e>
            <m:r>
              <w:rPr>
                <w:rFonts w:ascii="Cambria Math" w:hAnsi="Cambria Math" w:cstheme="minorHAnsi"/>
              </w:rPr>
              <m:t>ρ</m:t>
            </m:r>
          </m:e>
          <m:sup>
            <m:r>
              <w:rPr>
                <w:rFonts w:ascii="Cambria Math" w:hAnsi="Cambria Math" w:cstheme="minorHAnsi"/>
              </w:rPr>
              <m:t>'</m:t>
            </m:r>
          </m:sup>
        </m:sSup>
        <m:r>
          <w:rPr>
            <w:rFonts w:ascii="Cambria Math" w:hAnsi="Cambria Math" w:cstheme="minorHAnsi"/>
          </w:rPr>
          <m:t xml:space="preserve">=ρ </m:t>
        </m:r>
        <m:sSub>
          <m:sSubPr>
            <m:ctrlPr>
              <w:rPr>
                <w:rFonts w:ascii="Cambria Math" w:hAnsi="Cambria Math"/>
                <w:vertAlign w:val="subscript"/>
              </w:rPr>
            </m:ctrlPr>
          </m:sSubPr>
          <m:e>
            <m:d>
              <m:dPr>
                <m:begChr m:val="["/>
                <m:endChr m:val="]"/>
                <m:ctrlPr>
                  <w:rPr>
                    <w:rFonts w:ascii="Cambria Math" w:hAnsi="Cambria Math"/>
                  </w:rPr>
                </m:ctrlPr>
              </m:dPr>
              <m:e>
                <m:f>
                  <m:fPr>
                    <m:ctrlPr>
                      <w:rPr>
                        <w:rFonts w:ascii="Cambria Math" w:hAnsi="Cambria Math"/>
                      </w:rPr>
                    </m:ctrlPr>
                  </m:fPr>
                  <m:num>
                    <m:r>
                      <m:rPr>
                        <m:sty m:val="p"/>
                      </m:rPr>
                      <w:rPr>
                        <w:rFonts w:ascii="Cambria Math" w:hAnsi="Cambria Math"/>
                      </w:rPr>
                      <m:t>KAUH(t)</m:t>
                    </m:r>
                  </m:num>
                  <m:den>
                    <m:r>
                      <m:rPr>
                        <m:sty m:val="p"/>
                      </m:rPr>
                      <w:rPr>
                        <w:rFonts w:ascii="Cambria Math" w:hAnsi="Cambria Math"/>
                      </w:rPr>
                      <m:t>MOH(t)</m:t>
                    </m:r>
                  </m:den>
                </m:f>
              </m:e>
            </m:d>
          </m:e>
          <m:sub>
            <m:r>
              <m:rPr>
                <m:nor/>
              </m:rPr>
              <w:rPr>
                <w:rFonts w:ascii="Cambria Math" w:hAnsi="Cambria Math"/>
                <w:vertAlign w:val="subscript"/>
              </w:rPr>
              <m:t>avg</m:t>
            </m:r>
          </m:sub>
        </m:sSub>
        <m:r>
          <w:rPr>
            <w:rFonts w:ascii="Cambria Math" w:hAnsi="Cambria Math" w:cstheme="minorHAnsi"/>
          </w:rPr>
          <m:t>=</m:t>
        </m:r>
        <m:f>
          <m:fPr>
            <m:ctrlPr>
              <w:rPr>
                <w:rFonts w:ascii="Cambria Math" w:hAnsi="Cambria Math" w:cstheme="minorHAnsi"/>
                <w:i/>
              </w:rPr>
            </m:ctrlPr>
          </m:fPr>
          <m:num>
            <m:r>
              <m:rPr>
                <m:nor/>
              </m:rPr>
              <w:rPr>
                <w:rFonts w:ascii="Cambria Math" w:hAnsi="Cambria Math" w:cstheme="minorHAnsi"/>
              </w:rPr>
              <m:t>All Cases</m:t>
            </m:r>
          </m:num>
          <m:den>
            <m:r>
              <m:rPr>
                <m:sty m:val="p"/>
              </m:rPr>
              <w:rPr>
                <w:rFonts w:ascii="Cambria Math" w:hAnsi="Cambria Math" w:cstheme="minorHAnsi"/>
              </w:rPr>
              <m:t>Reported Cases</m:t>
            </m:r>
          </m:den>
        </m:f>
        <m:r>
          <w:rPr>
            <w:rFonts w:ascii="Cambria Math" w:hAnsi="Cambria Math" w:cstheme="minorHAnsi"/>
          </w:rPr>
          <m:t xml:space="preserve">  </m:t>
        </m:r>
        <m:sSub>
          <m:sSubPr>
            <m:ctrlPr>
              <w:rPr>
                <w:rFonts w:ascii="Cambria Math" w:hAnsi="Cambria Math"/>
                <w:vertAlign w:val="subscript"/>
              </w:rPr>
            </m:ctrlPr>
          </m:sSubPr>
          <m:e>
            <m:d>
              <m:dPr>
                <m:begChr m:val="["/>
                <m:endChr m:val="]"/>
                <m:ctrlPr>
                  <w:rPr>
                    <w:rFonts w:ascii="Cambria Math" w:hAnsi="Cambria Math"/>
                  </w:rPr>
                </m:ctrlPr>
              </m:dPr>
              <m:e>
                <m:f>
                  <m:fPr>
                    <m:ctrlPr>
                      <w:rPr>
                        <w:rFonts w:ascii="Cambria Math" w:hAnsi="Cambria Math"/>
                      </w:rPr>
                    </m:ctrlPr>
                  </m:fPr>
                  <m:num>
                    <m:r>
                      <m:rPr>
                        <m:sty m:val="p"/>
                      </m:rPr>
                      <w:rPr>
                        <w:rFonts w:ascii="Cambria Math" w:hAnsi="Cambria Math"/>
                      </w:rPr>
                      <m:t>KAUH(t)</m:t>
                    </m:r>
                  </m:num>
                  <m:den>
                    <m:r>
                      <m:rPr>
                        <m:sty m:val="p"/>
                      </m:rPr>
                      <w:rPr>
                        <w:rFonts w:ascii="Cambria Math" w:hAnsi="Cambria Math"/>
                      </w:rPr>
                      <m:t>MOH(t)</m:t>
                    </m:r>
                  </m:den>
                </m:f>
              </m:e>
            </m:d>
          </m:e>
          <m:sub>
            <m:r>
              <m:rPr>
                <m:nor/>
              </m:rPr>
              <w:rPr>
                <w:rFonts w:ascii="Cambria Math" w:hAnsi="Cambria Math"/>
                <w:vertAlign w:val="subscript"/>
              </w:rPr>
              <m:t>avg</m:t>
            </m:r>
          </m:sub>
        </m:sSub>
        <m:r>
          <w:rPr>
            <w:rFonts w:ascii="Cambria Math" w:hAnsi="Cambria Math" w:cstheme="minorHAnsi"/>
          </w:rPr>
          <m:t>=24.9451*</m:t>
        </m:r>
        <m:f>
          <m:fPr>
            <m:ctrlPr>
              <w:rPr>
                <w:rFonts w:ascii="Cambria Math" w:hAnsi="Cambria Math" w:cstheme="minorHAnsi"/>
                <w:i/>
              </w:rPr>
            </m:ctrlPr>
          </m:fPr>
          <m:num>
            <m:r>
              <w:rPr>
                <w:rFonts w:ascii="Cambria Math" w:hAnsi="Cambria Math" w:cstheme="minorHAnsi"/>
              </w:rPr>
              <m:t>1</m:t>
            </m:r>
          </m:num>
          <m:den>
            <m:r>
              <w:rPr>
                <w:rFonts w:ascii="Cambria Math" w:hAnsi="Cambria Math" w:cstheme="minorHAnsi"/>
              </w:rPr>
              <m:t>2.1209</m:t>
            </m:r>
          </m:den>
        </m:f>
        <m:r>
          <w:rPr>
            <w:rFonts w:ascii="Cambria Math" w:hAnsi="Cambria Math" w:cstheme="minorHAnsi"/>
          </w:rPr>
          <m:t>= 11.7616=</m:t>
        </m:r>
        <m:f>
          <m:fPr>
            <m:ctrlPr>
              <w:rPr>
                <w:rFonts w:ascii="Cambria Math" w:hAnsi="Cambria Math" w:cstheme="minorHAnsi"/>
                <w:i/>
              </w:rPr>
            </m:ctrlPr>
          </m:fPr>
          <m:num>
            <m:r>
              <m:rPr>
                <m:nor/>
              </m:rPr>
              <w:rPr>
                <w:rFonts w:ascii="Cambria Math" w:hAnsi="Cambria Math" w:cstheme="minorHAnsi"/>
              </w:rPr>
              <m:t>All Cases</m:t>
            </m:r>
          </m:num>
          <m:den>
            <m:r>
              <m:rPr>
                <m:nor/>
              </m:rPr>
              <w:rPr>
                <w:rFonts w:ascii="Cambria Math" w:hAnsi="Cambria Math" w:cstheme="minorHAnsi"/>
              </w:rPr>
              <m:t xml:space="preserve">Hospitalized Case </m:t>
            </m:r>
          </m:den>
        </m:f>
      </m:oMath>
    </w:p>
    <w:p w:rsidR="00341DE3" w:rsidRDefault="00391DEB" w:rsidP="00396EB6">
      <w:r>
        <w:t>We use this factor to</w:t>
      </w:r>
      <w:r w:rsidR="00341DE3">
        <w:t xml:space="preserve"> estimate the proportion of symptomatic </w:t>
      </w:r>
      <w:r>
        <w:t xml:space="preserve">(icteric) </w:t>
      </w:r>
      <w:r w:rsidR="00341DE3">
        <w:t xml:space="preserve">incident cases that lead to hospitalization using </w:t>
      </w:r>
    </w:p>
    <w:p w:rsidR="00341DE3" w:rsidRPr="006C6FC7" w:rsidRDefault="00DE10EC" w:rsidP="00396EB6">
      <w:pPr>
        <w:rPr>
          <w:rFonts w:eastAsiaTheme="minorEastAsia"/>
        </w:rPr>
      </w:pPr>
      <m:oMathPara>
        <m:oMath>
          <m:sSub>
            <m:sSubPr>
              <m:ctrlPr>
                <w:rPr>
                  <w:rFonts w:ascii="Cambria Math" w:hAnsi="Cambria Math"/>
                  <w:i/>
                </w:rPr>
              </m:ctrlPr>
            </m:sSubPr>
            <m:e>
              <m:r>
                <w:rPr>
                  <w:rFonts w:ascii="Cambria Math" w:hAnsi="Cambria Math"/>
                </w:rPr>
                <m:t>I</m:t>
              </m:r>
            </m:e>
            <m:sub>
              <m:r>
                <w:rPr>
                  <w:rFonts w:ascii="Cambria Math" w:hAnsi="Cambria Math"/>
                </w:rPr>
                <m:t>hospitalized</m:t>
              </m:r>
            </m:sub>
          </m:sSub>
          <m:r>
            <w:rPr>
              <w:rFonts w:ascii="Cambria Math" w:hAnsi="Cambria Math"/>
            </w:rPr>
            <m:t xml:space="preserve">=H+L1+F+ </m:t>
          </m:r>
          <m:sSub>
            <m:sSubPr>
              <m:ctrlPr>
                <w:rPr>
                  <w:rFonts w:ascii="Cambria Math" w:hAnsi="Cambria Math"/>
                  <w:i/>
                </w:rPr>
              </m:ctrlPr>
            </m:sSubPr>
            <m:e>
              <m:r>
                <w:rPr>
                  <w:rFonts w:ascii="Cambria Math" w:hAnsi="Cambria Math"/>
                </w:rPr>
                <m:t>I</m:t>
              </m:r>
            </m:e>
            <m:sub>
              <m:r>
                <w:rPr>
                  <w:rFonts w:ascii="Cambria Math" w:hAnsi="Cambria Math"/>
                </w:rPr>
                <m:t>death</m:t>
              </m:r>
            </m:sub>
          </m:sSub>
          <m:r>
            <w:rPr>
              <w:rFonts w:ascii="Cambria Math" w:hAnsi="Cambria Math"/>
            </w:rPr>
            <m:t xml:space="preserve">= </m:t>
          </m:r>
          <m:f>
            <m:fPr>
              <m:ctrlPr>
                <w:rPr>
                  <w:rFonts w:ascii="Cambria Math" w:hAnsi="Cambria Math"/>
                  <w:i/>
                </w:rPr>
              </m:ctrlPr>
            </m:fPr>
            <m:num>
              <m:sSub>
                <m:sSubPr>
                  <m:ctrlPr>
                    <w:rPr>
                      <w:rFonts w:ascii="Cambria Math" w:hAnsi="Cambria Math"/>
                      <w:i/>
                    </w:rPr>
                  </m:ctrlPr>
                </m:sSubPr>
                <m:e>
                  <m:r>
                    <w:rPr>
                      <w:rFonts w:ascii="Cambria Math" w:hAnsi="Cambria Math"/>
                    </w:rPr>
                    <m:t>I</m:t>
                  </m:r>
                </m:e>
                <m:sub>
                  <m:r>
                    <w:rPr>
                      <w:rFonts w:ascii="Cambria Math" w:hAnsi="Cambria Math"/>
                    </w:rPr>
                    <m:t>symptomatic</m:t>
                  </m:r>
                </m:sub>
              </m:sSub>
            </m:num>
            <m:den>
              <m:sSup>
                <m:sSupPr>
                  <m:ctrlPr>
                    <w:rPr>
                      <w:rFonts w:ascii="Cambria Math" w:hAnsi="Cambria Math"/>
                      <w:i/>
                    </w:rPr>
                  </m:ctrlPr>
                </m:sSupPr>
                <m:e>
                  <m:r>
                    <w:rPr>
                      <w:rFonts w:ascii="Cambria Math" w:hAnsi="Cambria Math"/>
                    </w:rPr>
                    <m:t>ρ</m:t>
                  </m:r>
                </m:e>
                <m:sup>
                  <m:r>
                    <w:rPr>
                      <w:rFonts w:ascii="Cambria Math" w:hAnsi="Cambria Math"/>
                    </w:rPr>
                    <m:t>'</m:t>
                  </m:r>
                </m:sup>
              </m:sSup>
            </m:den>
          </m:f>
          <m:r>
            <w:rPr>
              <w:rFonts w:ascii="Cambria Math" w:hAnsi="Cambria Math"/>
            </w:rPr>
            <m:t xml:space="preserve">~0.085 </m:t>
          </m:r>
          <m:sSub>
            <m:sSubPr>
              <m:ctrlPr>
                <w:rPr>
                  <w:rFonts w:ascii="Cambria Math" w:hAnsi="Cambria Math"/>
                  <w:i/>
                </w:rPr>
              </m:ctrlPr>
            </m:sSubPr>
            <m:e>
              <m:r>
                <w:rPr>
                  <w:rFonts w:ascii="Cambria Math" w:hAnsi="Cambria Math"/>
                </w:rPr>
                <m:t>I</m:t>
              </m:r>
            </m:e>
            <m:sub>
              <m:r>
                <w:rPr>
                  <w:rFonts w:ascii="Cambria Math" w:hAnsi="Cambria Math"/>
                </w:rPr>
                <m:t>symptomatic</m:t>
              </m:r>
            </m:sub>
          </m:sSub>
        </m:oMath>
      </m:oMathPara>
    </w:p>
    <w:p w:rsidR="00843980" w:rsidRDefault="00843980" w:rsidP="00396EB6">
      <w:pPr>
        <w:rPr>
          <w:rFonts w:eastAsiaTheme="minorEastAsia"/>
        </w:rPr>
      </w:pPr>
      <w:r>
        <w:rPr>
          <w:rFonts w:eastAsiaTheme="minorEastAsia"/>
        </w:rPr>
        <w:t xml:space="preserve">The rest of the symptomatic cases are considered outpatient </w:t>
      </w:r>
    </w:p>
    <w:p w:rsidR="00843980" w:rsidRPr="006C6FC7" w:rsidRDefault="00DE10EC" w:rsidP="00396EB6">
      <w:pPr>
        <w:rPr>
          <w:rFonts w:eastAsiaTheme="minorEastAsia"/>
        </w:rPr>
      </w:pPr>
      <m:oMathPara>
        <m:oMath>
          <m:sSub>
            <m:sSubPr>
              <m:ctrlPr>
                <w:rPr>
                  <w:rFonts w:ascii="Cambria Math" w:hAnsi="Cambria Math"/>
                  <w:i/>
                </w:rPr>
              </m:ctrlPr>
            </m:sSubPr>
            <m:e>
              <m:r>
                <w:rPr>
                  <w:rFonts w:ascii="Cambria Math" w:hAnsi="Cambria Math"/>
                </w:rPr>
                <m:t>I</m:t>
              </m:r>
            </m:e>
            <m:sub>
              <m:r>
                <w:rPr>
                  <w:rFonts w:ascii="Cambria Math" w:hAnsi="Cambria Math"/>
                </w:rPr>
                <m:t>outpatient</m:t>
              </m:r>
            </m:sub>
          </m:sSub>
          <m:r>
            <w:rPr>
              <w:rFonts w:ascii="Cambria Math" w:hAnsi="Cambria Math"/>
            </w:rPr>
            <m:t xml:space="preserve">=O= </m:t>
          </m:r>
          <m:f>
            <m:fPr>
              <m:ctrlPr>
                <w:rPr>
                  <w:rFonts w:ascii="Cambria Math" w:hAnsi="Cambria Math"/>
                  <w:i/>
                </w:rPr>
              </m:ctrlPr>
            </m:fPr>
            <m:num>
              <m:r>
                <w:rPr>
                  <w:rFonts w:ascii="Cambria Math" w:hAnsi="Cambria Math"/>
                </w:rPr>
                <m:t>(</m:t>
              </m:r>
              <m:sSup>
                <m:sSupPr>
                  <m:ctrlPr>
                    <w:rPr>
                      <w:rFonts w:ascii="Cambria Math" w:hAnsi="Cambria Math"/>
                      <w:i/>
                    </w:rPr>
                  </m:ctrlPr>
                </m:sSupPr>
                <m:e>
                  <m:r>
                    <w:rPr>
                      <w:rFonts w:ascii="Cambria Math" w:hAnsi="Cambria Math"/>
                    </w:rPr>
                    <m:t>ρ</m:t>
                  </m:r>
                </m:e>
                <m:sup>
                  <m:r>
                    <w:rPr>
                      <w:rFonts w:ascii="Cambria Math" w:hAnsi="Cambria Math"/>
                    </w:rPr>
                    <m:t>'</m:t>
                  </m:r>
                </m:sup>
              </m:sSup>
              <m:r>
                <w:rPr>
                  <w:rFonts w:ascii="Cambria Math" w:hAnsi="Cambria Math"/>
                </w:rPr>
                <m:t>-1)</m:t>
              </m:r>
            </m:num>
            <m:den>
              <m:sSup>
                <m:sSupPr>
                  <m:ctrlPr>
                    <w:rPr>
                      <w:rFonts w:ascii="Cambria Math" w:hAnsi="Cambria Math"/>
                      <w:i/>
                    </w:rPr>
                  </m:ctrlPr>
                </m:sSupPr>
                <m:e>
                  <m:r>
                    <w:rPr>
                      <w:rFonts w:ascii="Cambria Math" w:hAnsi="Cambria Math"/>
                    </w:rPr>
                    <m:t>ρ</m:t>
                  </m:r>
                </m:e>
                <m:sup>
                  <m:r>
                    <w:rPr>
                      <w:rFonts w:ascii="Cambria Math" w:hAnsi="Cambria Math"/>
                    </w:rPr>
                    <m:t>'</m:t>
                  </m:r>
                </m:sup>
              </m:sSup>
            </m:den>
          </m:f>
          <m:sSub>
            <m:sSubPr>
              <m:ctrlPr>
                <w:rPr>
                  <w:rFonts w:ascii="Cambria Math" w:hAnsi="Cambria Math"/>
                  <w:i/>
                </w:rPr>
              </m:ctrlPr>
            </m:sSubPr>
            <m:e>
              <m:r>
                <w:rPr>
                  <w:rFonts w:ascii="Cambria Math" w:hAnsi="Cambria Math"/>
                </w:rPr>
                <m:t>I</m:t>
              </m:r>
            </m:e>
            <m:sub>
              <m:r>
                <w:rPr>
                  <w:rFonts w:ascii="Cambria Math" w:hAnsi="Cambria Math"/>
                </w:rPr>
                <m:t>symptomatic</m:t>
              </m:r>
            </m:sub>
          </m:sSub>
          <m:r>
            <w:rPr>
              <w:rFonts w:ascii="Cambria Math" w:hAnsi="Cambria Math"/>
            </w:rPr>
            <m:t xml:space="preserve">~0.915 </m:t>
          </m:r>
          <m:sSub>
            <m:sSubPr>
              <m:ctrlPr>
                <w:rPr>
                  <w:rFonts w:ascii="Cambria Math" w:hAnsi="Cambria Math"/>
                  <w:i/>
                </w:rPr>
              </m:ctrlPr>
            </m:sSubPr>
            <m:e>
              <m:r>
                <w:rPr>
                  <w:rFonts w:ascii="Cambria Math" w:hAnsi="Cambria Math"/>
                </w:rPr>
                <m:t>I</m:t>
              </m:r>
            </m:e>
            <m:sub>
              <m:r>
                <w:rPr>
                  <w:rFonts w:ascii="Cambria Math" w:hAnsi="Cambria Math"/>
                </w:rPr>
                <m:t>symptomatic</m:t>
              </m:r>
            </m:sub>
          </m:sSub>
        </m:oMath>
      </m:oMathPara>
    </w:p>
    <w:p w:rsidR="00391DEB" w:rsidRDefault="00843980" w:rsidP="006C6FC7">
      <w:r>
        <w:t>The hospitalization probability is further divided into probability of icteric infection resulting in  hospitalization</w:t>
      </w:r>
      <w:r w:rsidR="00391DEB">
        <w:t>,</w:t>
      </w:r>
      <w:r>
        <w:t xml:space="preserve"> fulminant infection, liver tran</w:t>
      </w:r>
      <w:r w:rsidR="00391DEB">
        <w:t>splant, death using conditional probabilities from Rein, et al.</w:t>
      </w:r>
      <w:r w:rsidR="00391DEB">
        <w:fldChar w:fldCharType="begin" w:fldLock="1"/>
      </w:r>
      <w:r w:rsidR="00391DEB">
        <w:instrText>ADDIN CSL_CITATION { "citationItems" : [ { "id" : "ITEM-1", "itemData" : { "author" : [ { "dropping-particle" : "", "family" : "Rein", "given" : "David B", "non-dropping-particle" : "", "parse-names" : false, "suffix" : "" }, { "dropping-particle" : "", "family" : "Hicks", "given" : "Katherine A", "non-dropping-particle" : "", "parse-names" : false, "suffix" : "" }, { "dropping-particle" : "", "family" : "Wirth", "given" : "Kathleen E", "non-dropping-particle" : "", "parse-names" : false, "suffix" : "" }, { "dropping-particle" : "", "family" : "Billah", "given" : "Kaafee", "non-dropping-particle" : "", "parse-names" : false, "suffix" : "" }, { "dropping-particle" : "", "family" : "Finelli", "given" : "Lyn", "non-dropping-particle" : "", "parse-names" : false, "suffix" : "" }, { "dropping-particle" : "", "family" : "Fiore", "given" : "Anthony E", "non-dropping-particle" : "", "parse-names" : false, "suffix" : "" }, { "dropping-particle" : "", "family" : "Hoerger", "given" : "Thomas J", "non-dropping-particle" : "", "parse-names" : false, "suffix" : "" }, { "dropping-particle" : "", "family" : "Bell", "given" : "Beth P", "non-dropping-particle" : "", "parse-names" : false, "suffix" : "" }, { "dropping-particle" : "", "family" : "Armstrong", "given" : "Gregory L", "non-dropping-particle" : "", "parse-names" : false, "suffix" : "" } ], "container-title" : "Pediatrics", "id" : "ITEM-1", "issue" : "1", "issued" : { "date-parts" : [ [ "2007" ] ] }, "page" : "e12-e21", "title" : "Cost-effectiveness of routine childhood vaccination for hepatitis A in the United States", "type" : "article-journal", "volume" : "119" }, "uris" : [ "http://www.mendeley.com/documents/?uuid=770ef851-e841-4ab4-873b-6aabe31d11f7" ] } ], "mendeley" : { "formattedCitation" : "[19]", "plainTextFormattedCitation" : "[19]" }, "properties" : { "noteIndex" : 0 }, "schema" : "https://github.com/citation-style-language/schema/raw/master/csl-citation.json" }</w:instrText>
      </w:r>
      <w:r w:rsidR="00391DEB">
        <w:fldChar w:fldCharType="separate"/>
      </w:r>
      <w:r w:rsidR="00391DEB" w:rsidRPr="00391DEB">
        <w:rPr>
          <w:noProof/>
        </w:rPr>
        <w:t>[19]</w:t>
      </w:r>
      <w:r w:rsidR="00391DEB">
        <w:fldChar w:fldCharType="end"/>
      </w:r>
      <w:r w:rsidR="00391DEB">
        <w:t>, resulting in the values presented in Table 1 of the main manuscript.</w:t>
      </w:r>
    </w:p>
    <w:p w:rsidR="00F50954" w:rsidRDefault="00245AF5" w:rsidP="006C6FC7">
      <w:r>
        <w:t xml:space="preserve"> </w:t>
      </w:r>
      <w:bookmarkStart w:id="2" w:name="_Ref431279903"/>
      <w:r w:rsidR="00F50954">
        <w:t xml:space="preserve">Table </w:t>
      </w:r>
      <w:r w:rsidR="009217B1">
        <w:t>S</w:t>
      </w:r>
      <w:r w:rsidR="00DE10EC">
        <w:fldChar w:fldCharType="begin"/>
      </w:r>
      <w:r w:rsidR="00DE10EC">
        <w:instrText xml:space="preserve"> SEQ Table \* ARABIC </w:instrText>
      </w:r>
      <w:r w:rsidR="00DE10EC">
        <w:fldChar w:fldCharType="separate"/>
      </w:r>
      <w:r w:rsidR="00722964">
        <w:rPr>
          <w:noProof/>
        </w:rPr>
        <w:t>2</w:t>
      </w:r>
      <w:r w:rsidR="00DE10EC">
        <w:rPr>
          <w:noProof/>
        </w:rPr>
        <w:fldChar w:fldCharType="end"/>
      </w:r>
      <w:bookmarkEnd w:id="2"/>
      <w:r w:rsidR="00F50954">
        <w:t>:  Parameter values for force of infection functions and under reporting factor</w:t>
      </w:r>
    </w:p>
    <w:tbl>
      <w:tblPr>
        <w:tblStyle w:val="TableGrid"/>
        <w:tblW w:w="0" w:type="auto"/>
        <w:tblLayout w:type="fixed"/>
        <w:tblLook w:val="0420" w:firstRow="1" w:lastRow="0" w:firstColumn="0" w:lastColumn="0" w:noHBand="0" w:noVBand="1"/>
      </w:tblPr>
      <w:tblGrid>
        <w:gridCol w:w="4869"/>
        <w:gridCol w:w="1295"/>
        <w:gridCol w:w="2818"/>
      </w:tblGrid>
      <w:tr w:rsidR="00F50954" w:rsidRPr="00F8453F" w:rsidTr="00F50954">
        <w:trPr>
          <w:trHeight w:val="426"/>
        </w:trPr>
        <w:tc>
          <w:tcPr>
            <w:tcW w:w="4869" w:type="dxa"/>
            <w:hideMark/>
          </w:tcPr>
          <w:p w:rsidR="00F50954" w:rsidRPr="00F8453F" w:rsidRDefault="00F50954" w:rsidP="008C01D0">
            <w:pPr>
              <w:pStyle w:val="Subsubsection"/>
              <w:spacing w:line="360" w:lineRule="auto"/>
              <w:rPr>
                <w:rFonts w:ascii="Times New Roman" w:hAnsi="Times New Roman" w:cs="Times New Roman"/>
                <w:b/>
                <w:sz w:val="22"/>
                <w:szCs w:val="24"/>
              </w:rPr>
            </w:pPr>
            <w:r w:rsidRPr="00F8453F">
              <w:rPr>
                <w:rFonts w:ascii="Times New Roman" w:hAnsi="Times New Roman" w:cs="Times New Roman"/>
                <w:b/>
                <w:sz w:val="22"/>
                <w:szCs w:val="24"/>
              </w:rPr>
              <w:t>Parameter</w:t>
            </w:r>
          </w:p>
        </w:tc>
        <w:tc>
          <w:tcPr>
            <w:tcW w:w="1295" w:type="dxa"/>
            <w:hideMark/>
          </w:tcPr>
          <w:p w:rsidR="00F50954" w:rsidRPr="00F8453F" w:rsidRDefault="00F50954" w:rsidP="008C01D0">
            <w:pPr>
              <w:pStyle w:val="Subsubsection"/>
              <w:spacing w:line="360" w:lineRule="auto"/>
              <w:rPr>
                <w:rFonts w:ascii="Times New Roman" w:hAnsi="Times New Roman" w:cs="Times New Roman"/>
                <w:b/>
                <w:sz w:val="22"/>
                <w:szCs w:val="24"/>
              </w:rPr>
            </w:pPr>
            <w:r w:rsidRPr="00F8453F">
              <w:rPr>
                <w:rFonts w:ascii="Times New Roman" w:hAnsi="Times New Roman" w:cs="Times New Roman"/>
                <w:b/>
                <w:sz w:val="22"/>
                <w:szCs w:val="24"/>
              </w:rPr>
              <w:t>Symbol</w:t>
            </w:r>
          </w:p>
        </w:tc>
        <w:tc>
          <w:tcPr>
            <w:tcW w:w="2818" w:type="dxa"/>
            <w:hideMark/>
          </w:tcPr>
          <w:p w:rsidR="00F50954" w:rsidRPr="00F8453F" w:rsidRDefault="00F50954" w:rsidP="008C01D0">
            <w:pPr>
              <w:pStyle w:val="Subsubsection"/>
              <w:spacing w:line="360" w:lineRule="auto"/>
              <w:rPr>
                <w:rFonts w:ascii="Times New Roman" w:hAnsi="Times New Roman" w:cs="Times New Roman"/>
                <w:b/>
                <w:sz w:val="22"/>
                <w:szCs w:val="24"/>
              </w:rPr>
            </w:pPr>
            <w:r w:rsidRPr="00F8453F">
              <w:rPr>
                <w:rFonts w:ascii="Times New Roman" w:hAnsi="Times New Roman" w:cs="Times New Roman"/>
                <w:b/>
                <w:sz w:val="22"/>
                <w:szCs w:val="24"/>
              </w:rPr>
              <w:t>Value</w:t>
            </w:r>
          </w:p>
        </w:tc>
      </w:tr>
      <w:tr w:rsidR="00F50954" w:rsidRPr="00F8453F" w:rsidTr="00F50954">
        <w:trPr>
          <w:trHeight w:val="426"/>
        </w:trPr>
        <w:tc>
          <w:tcPr>
            <w:tcW w:w="4869" w:type="dxa"/>
            <w:hideMark/>
          </w:tcPr>
          <w:p w:rsidR="00F50954" w:rsidRPr="00F8453F" w:rsidRDefault="00F50954" w:rsidP="008C01D0">
            <w:pPr>
              <w:pStyle w:val="Subsubsection"/>
              <w:spacing w:line="360" w:lineRule="auto"/>
              <w:rPr>
                <w:rFonts w:ascii="Times New Roman" w:hAnsi="Times New Roman" w:cs="Times New Roman"/>
                <w:sz w:val="22"/>
                <w:szCs w:val="24"/>
              </w:rPr>
            </w:pPr>
            <w:r w:rsidRPr="00F8453F">
              <w:rPr>
                <w:rFonts w:ascii="Times New Roman" w:hAnsi="Times New Roman" w:cs="Times New Roman"/>
                <w:sz w:val="22"/>
                <w:szCs w:val="24"/>
              </w:rPr>
              <w:t>Scale parameter for the force of infection</w:t>
            </w:r>
          </w:p>
        </w:tc>
        <w:tc>
          <w:tcPr>
            <w:tcW w:w="1295" w:type="dxa"/>
            <w:hideMark/>
          </w:tcPr>
          <w:p w:rsidR="00F50954" w:rsidRPr="00F8453F" w:rsidRDefault="00F50954" w:rsidP="008C01D0">
            <w:pPr>
              <w:pStyle w:val="Subsubsection"/>
              <w:spacing w:line="360" w:lineRule="auto"/>
              <w:jc w:val="center"/>
              <w:rPr>
                <w:rFonts w:ascii="Times New Roman" w:hAnsi="Times New Roman" w:cs="Times New Roman"/>
                <w:sz w:val="22"/>
                <w:szCs w:val="24"/>
              </w:rPr>
            </w:pPr>
            <w:r w:rsidRPr="00F8453F">
              <w:rPr>
                <w:rFonts w:ascii="Times New Roman" w:hAnsi="Times New Roman" w:cs="Times New Roman"/>
                <w:i/>
                <w:iCs/>
                <w:sz w:val="22"/>
                <w:szCs w:val="24"/>
              </w:rPr>
              <w:t>b</w:t>
            </w:r>
            <w:r w:rsidRPr="00F8453F">
              <w:rPr>
                <w:rFonts w:ascii="Times New Roman" w:hAnsi="Times New Roman" w:cs="Times New Roman"/>
                <w:sz w:val="22"/>
                <w:szCs w:val="24"/>
                <w:vertAlign w:val="subscript"/>
              </w:rPr>
              <w:t>0</w:t>
            </w:r>
          </w:p>
        </w:tc>
        <w:tc>
          <w:tcPr>
            <w:tcW w:w="2818" w:type="dxa"/>
            <w:hideMark/>
          </w:tcPr>
          <w:p w:rsidR="00F50954" w:rsidRPr="00F8453F" w:rsidRDefault="00F50954" w:rsidP="008C01D0">
            <w:pPr>
              <w:pStyle w:val="Subsubsection"/>
              <w:spacing w:line="360" w:lineRule="auto"/>
              <w:rPr>
                <w:rFonts w:ascii="Times New Roman" w:hAnsi="Times New Roman" w:cs="Times New Roman"/>
                <w:sz w:val="22"/>
                <w:szCs w:val="24"/>
              </w:rPr>
            </w:pPr>
            <w:r w:rsidRPr="00A871B1">
              <w:rPr>
                <w:rFonts w:ascii="Times New Roman" w:hAnsi="Times New Roman" w:cs="Times New Roman"/>
                <w:sz w:val="22"/>
                <w:szCs w:val="24"/>
              </w:rPr>
              <w:t>0.901466</w:t>
            </w:r>
          </w:p>
        </w:tc>
      </w:tr>
      <w:tr w:rsidR="00F50954" w:rsidRPr="00F8453F" w:rsidTr="00F50954">
        <w:trPr>
          <w:trHeight w:val="426"/>
        </w:trPr>
        <w:tc>
          <w:tcPr>
            <w:tcW w:w="4869" w:type="dxa"/>
            <w:hideMark/>
          </w:tcPr>
          <w:p w:rsidR="00F50954" w:rsidRPr="00F8453F" w:rsidRDefault="00F50954" w:rsidP="008C01D0">
            <w:pPr>
              <w:pStyle w:val="Subsubsection"/>
              <w:spacing w:line="360" w:lineRule="auto"/>
              <w:rPr>
                <w:rFonts w:ascii="Times New Roman" w:hAnsi="Times New Roman" w:cs="Times New Roman"/>
                <w:sz w:val="22"/>
                <w:szCs w:val="24"/>
              </w:rPr>
            </w:pPr>
            <w:r w:rsidRPr="00F8453F">
              <w:rPr>
                <w:rFonts w:ascii="Times New Roman" w:hAnsi="Times New Roman" w:cs="Times New Roman"/>
                <w:sz w:val="22"/>
                <w:szCs w:val="24"/>
              </w:rPr>
              <w:t>Shape parameter for the force of infection</w:t>
            </w:r>
          </w:p>
        </w:tc>
        <w:tc>
          <w:tcPr>
            <w:tcW w:w="1295" w:type="dxa"/>
            <w:hideMark/>
          </w:tcPr>
          <w:p w:rsidR="00F50954" w:rsidRPr="00F8453F" w:rsidRDefault="00F50954" w:rsidP="008C01D0">
            <w:pPr>
              <w:pStyle w:val="Subsubsection"/>
              <w:spacing w:line="360" w:lineRule="auto"/>
              <w:jc w:val="center"/>
              <w:rPr>
                <w:rFonts w:ascii="Times New Roman" w:hAnsi="Times New Roman" w:cs="Times New Roman"/>
                <w:sz w:val="22"/>
                <w:szCs w:val="24"/>
              </w:rPr>
            </w:pPr>
            <w:r w:rsidRPr="00F8453F">
              <w:rPr>
                <w:rFonts w:ascii="Times New Roman" w:hAnsi="Times New Roman" w:cs="Times New Roman"/>
                <w:i/>
                <w:iCs/>
                <w:sz w:val="22"/>
                <w:szCs w:val="24"/>
              </w:rPr>
              <w:t>b</w:t>
            </w:r>
            <w:r w:rsidRPr="00F8453F">
              <w:rPr>
                <w:rFonts w:ascii="Times New Roman" w:hAnsi="Times New Roman" w:cs="Times New Roman"/>
                <w:sz w:val="22"/>
                <w:szCs w:val="24"/>
                <w:vertAlign w:val="subscript"/>
              </w:rPr>
              <w:t>1</w:t>
            </w:r>
          </w:p>
        </w:tc>
        <w:tc>
          <w:tcPr>
            <w:tcW w:w="2818" w:type="dxa"/>
            <w:hideMark/>
          </w:tcPr>
          <w:p w:rsidR="00F50954" w:rsidRPr="00F8453F" w:rsidRDefault="00F50954" w:rsidP="008C01D0">
            <w:pPr>
              <w:pStyle w:val="Subsubsection"/>
              <w:spacing w:line="360" w:lineRule="auto"/>
              <w:rPr>
                <w:rFonts w:ascii="Times New Roman" w:hAnsi="Times New Roman" w:cs="Times New Roman"/>
                <w:sz w:val="22"/>
                <w:szCs w:val="24"/>
              </w:rPr>
            </w:pPr>
            <w:r w:rsidRPr="00A871B1">
              <w:rPr>
                <w:rFonts w:ascii="Times New Roman" w:hAnsi="Times New Roman" w:cs="Times New Roman"/>
                <w:sz w:val="22"/>
                <w:szCs w:val="24"/>
              </w:rPr>
              <w:t>0.00207163</w:t>
            </w:r>
          </w:p>
        </w:tc>
      </w:tr>
      <w:tr w:rsidR="00F50954" w:rsidRPr="00F8453F" w:rsidTr="00F50954">
        <w:trPr>
          <w:trHeight w:val="426"/>
        </w:trPr>
        <w:tc>
          <w:tcPr>
            <w:tcW w:w="4869" w:type="dxa"/>
            <w:hideMark/>
          </w:tcPr>
          <w:p w:rsidR="00F50954" w:rsidRPr="00F8453F" w:rsidRDefault="00F50954" w:rsidP="008C01D0">
            <w:pPr>
              <w:pStyle w:val="Subsubsection"/>
              <w:spacing w:line="360" w:lineRule="auto"/>
              <w:rPr>
                <w:rFonts w:ascii="Times New Roman" w:hAnsi="Times New Roman" w:cs="Times New Roman"/>
                <w:sz w:val="22"/>
                <w:szCs w:val="24"/>
              </w:rPr>
            </w:pPr>
            <w:r w:rsidRPr="00F8453F">
              <w:rPr>
                <w:rFonts w:ascii="Times New Roman" w:hAnsi="Times New Roman" w:cs="Times New Roman"/>
                <w:sz w:val="22"/>
                <w:szCs w:val="24"/>
              </w:rPr>
              <w:t>Shape parameter for the force of infection</w:t>
            </w:r>
          </w:p>
        </w:tc>
        <w:tc>
          <w:tcPr>
            <w:tcW w:w="1295" w:type="dxa"/>
            <w:hideMark/>
          </w:tcPr>
          <w:p w:rsidR="00F50954" w:rsidRPr="00F8453F" w:rsidRDefault="00F50954" w:rsidP="008C01D0">
            <w:pPr>
              <w:pStyle w:val="Subsubsection"/>
              <w:spacing w:line="360" w:lineRule="auto"/>
              <w:jc w:val="center"/>
              <w:rPr>
                <w:rFonts w:ascii="Times New Roman" w:hAnsi="Times New Roman" w:cs="Times New Roman"/>
                <w:sz w:val="22"/>
                <w:szCs w:val="24"/>
              </w:rPr>
            </w:pPr>
            <w:r w:rsidRPr="00F8453F">
              <w:rPr>
                <w:rFonts w:ascii="Times New Roman" w:hAnsi="Times New Roman" w:cs="Times New Roman"/>
                <w:i/>
                <w:iCs/>
                <w:sz w:val="22"/>
                <w:szCs w:val="24"/>
              </w:rPr>
              <w:t>b</w:t>
            </w:r>
            <w:r w:rsidRPr="00F8453F">
              <w:rPr>
                <w:rFonts w:ascii="Times New Roman" w:hAnsi="Times New Roman" w:cs="Times New Roman"/>
                <w:sz w:val="22"/>
                <w:szCs w:val="24"/>
                <w:vertAlign w:val="subscript"/>
              </w:rPr>
              <w:t>2</w:t>
            </w:r>
          </w:p>
        </w:tc>
        <w:tc>
          <w:tcPr>
            <w:tcW w:w="2818" w:type="dxa"/>
            <w:hideMark/>
          </w:tcPr>
          <w:p w:rsidR="00F50954" w:rsidRPr="00F8453F" w:rsidRDefault="00F50954" w:rsidP="008C01D0">
            <w:pPr>
              <w:pStyle w:val="Subsubsection"/>
              <w:spacing w:line="360" w:lineRule="auto"/>
              <w:rPr>
                <w:rFonts w:ascii="Times New Roman" w:hAnsi="Times New Roman" w:cs="Times New Roman"/>
                <w:sz w:val="22"/>
                <w:szCs w:val="24"/>
              </w:rPr>
            </w:pPr>
            <w:r w:rsidRPr="00F8453F">
              <w:rPr>
                <w:rFonts w:ascii="Times New Roman" w:hAnsi="Times New Roman" w:cs="Times New Roman"/>
                <w:sz w:val="22"/>
                <w:szCs w:val="24"/>
              </w:rPr>
              <w:t>12.14448</w:t>
            </w:r>
          </w:p>
        </w:tc>
      </w:tr>
      <w:tr w:rsidR="00F50954" w:rsidRPr="00F8453F" w:rsidTr="00F50954">
        <w:trPr>
          <w:trHeight w:val="426"/>
        </w:trPr>
        <w:tc>
          <w:tcPr>
            <w:tcW w:w="4869" w:type="dxa"/>
            <w:hideMark/>
          </w:tcPr>
          <w:p w:rsidR="00F50954" w:rsidRPr="00F8453F" w:rsidRDefault="00A35938" w:rsidP="00A35938">
            <w:pPr>
              <w:pStyle w:val="Subsubsection"/>
              <w:spacing w:line="360" w:lineRule="auto"/>
              <w:rPr>
                <w:rFonts w:ascii="Times New Roman" w:hAnsi="Times New Roman" w:cs="Times New Roman"/>
                <w:sz w:val="22"/>
                <w:szCs w:val="24"/>
              </w:rPr>
            </w:pPr>
            <w:r>
              <w:rPr>
                <w:rFonts w:ascii="Times New Roman" w:hAnsi="Times New Roman" w:cs="Times New Roman"/>
                <w:sz w:val="22"/>
                <w:szCs w:val="24"/>
              </w:rPr>
              <w:t>Magnitude of change in</w:t>
            </w:r>
            <w:r w:rsidR="00F50954" w:rsidRPr="00F8453F">
              <w:rPr>
                <w:rFonts w:ascii="Times New Roman" w:hAnsi="Times New Roman" w:cs="Times New Roman"/>
                <w:sz w:val="22"/>
                <w:szCs w:val="24"/>
              </w:rPr>
              <w:t xml:space="preserve"> force of infection </w:t>
            </w:r>
            <w:r>
              <w:rPr>
                <w:rFonts w:ascii="Times New Roman" w:hAnsi="Times New Roman" w:cs="Times New Roman"/>
                <w:sz w:val="22"/>
                <w:szCs w:val="24"/>
              </w:rPr>
              <w:t>between t</w:t>
            </w:r>
            <w:r>
              <w:rPr>
                <w:rFonts w:ascii="Times New Roman" w:hAnsi="Times New Roman" w:cs="Times New Roman"/>
                <w:sz w:val="22"/>
                <w:szCs w:val="24"/>
                <w:vertAlign w:val="subscript"/>
              </w:rPr>
              <w:t>1</w:t>
            </w:r>
            <w:r>
              <w:rPr>
                <w:rFonts w:ascii="Times New Roman" w:hAnsi="Times New Roman" w:cs="Times New Roman"/>
                <w:sz w:val="22"/>
                <w:szCs w:val="24"/>
              </w:rPr>
              <w:t xml:space="preserve"> and</w:t>
            </w:r>
            <w:r w:rsidR="00F50954" w:rsidRPr="00F8453F">
              <w:rPr>
                <w:rFonts w:ascii="Times New Roman" w:hAnsi="Times New Roman" w:cs="Times New Roman"/>
                <w:sz w:val="22"/>
                <w:szCs w:val="24"/>
              </w:rPr>
              <w:t xml:space="preserve"> </w:t>
            </w:r>
            <w:r w:rsidR="00F50954" w:rsidRPr="00F8453F">
              <w:rPr>
                <w:rFonts w:ascii="Times New Roman" w:hAnsi="Times New Roman" w:cs="Times New Roman"/>
                <w:i/>
                <w:iCs/>
                <w:sz w:val="22"/>
                <w:szCs w:val="24"/>
              </w:rPr>
              <w:t>t</w:t>
            </w:r>
            <w:r w:rsidR="00F50954" w:rsidRPr="00F8453F">
              <w:rPr>
                <w:rFonts w:ascii="Times New Roman" w:hAnsi="Times New Roman" w:cs="Times New Roman"/>
                <w:sz w:val="22"/>
                <w:szCs w:val="24"/>
                <w:vertAlign w:val="subscript"/>
              </w:rPr>
              <w:t>2</w:t>
            </w:r>
          </w:p>
        </w:tc>
        <w:tc>
          <w:tcPr>
            <w:tcW w:w="1295" w:type="dxa"/>
            <w:hideMark/>
          </w:tcPr>
          <w:p w:rsidR="00F50954" w:rsidRPr="00F8453F" w:rsidRDefault="00F50954" w:rsidP="006C6FC7">
            <w:pPr>
              <w:pStyle w:val="Subsubsection"/>
              <w:spacing w:line="360" w:lineRule="auto"/>
              <w:jc w:val="center"/>
              <w:rPr>
                <w:rFonts w:ascii="Times New Roman" w:hAnsi="Times New Roman" w:cs="Times New Roman"/>
                <w:sz w:val="22"/>
                <w:szCs w:val="24"/>
              </w:rPr>
            </w:pPr>
            <w:r w:rsidRPr="00F8453F">
              <w:rPr>
                <w:rFonts w:ascii="Times New Roman" w:hAnsi="Times New Roman" w:cs="Times New Roman"/>
                <w:sz w:val="22"/>
                <w:szCs w:val="24"/>
              </w:rPr>
              <w:sym w:font="Symbol" w:char="F044"/>
            </w:r>
            <w:r w:rsidR="00DF0684">
              <w:rPr>
                <w:rFonts w:ascii="Times New Roman" w:hAnsi="Times New Roman" w:cs="Times New Roman"/>
                <w:sz w:val="22"/>
                <w:szCs w:val="24"/>
                <w:vertAlign w:val="subscript"/>
              </w:rPr>
              <w:t>1</w:t>
            </w:r>
          </w:p>
        </w:tc>
        <w:tc>
          <w:tcPr>
            <w:tcW w:w="2818" w:type="dxa"/>
            <w:hideMark/>
          </w:tcPr>
          <w:p w:rsidR="00F50954" w:rsidRPr="00F8453F" w:rsidRDefault="00F50954" w:rsidP="008C01D0">
            <w:pPr>
              <w:pStyle w:val="Subsubsection"/>
              <w:spacing w:line="360" w:lineRule="auto"/>
              <w:rPr>
                <w:rFonts w:ascii="Times New Roman" w:hAnsi="Times New Roman" w:cs="Times New Roman"/>
                <w:sz w:val="22"/>
                <w:szCs w:val="24"/>
              </w:rPr>
            </w:pPr>
            <w:r w:rsidRPr="00F50954">
              <w:rPr>
                <w:rFonts w:ascii="Times New Roman" w:hAnsi="Times New Roman" w:cs="Times New Roman"/>
                <w:sz w:val="22"/>
                <w:szCs w:val="24"/>
              </w:rPr>
              <w:t>0.43213</w:t>
            </w:r>
          </w:p>
        </w:tc>
      </w:tr>
      <w:tr w:rsidR="00F50954" w:rsidRPr="00F8453F" w:rsidTr="00F50954">
        <w:trPr>
          <w:trHeight w:val="426"/>
        </w:trPr>
        <w:tc>
          <w:tcPr>
            <w:tcW w:w="4869" w:type="dxa"/>
            <w:hideMark/>
          </w:tcPr>
          <w:p w:rsidR="00F50954" w:rsidRPr="00A35938" w:rsidRDefault="00A35938" w:rsidP="00A35938">
            <w:pPr>
              <w:pStyle w:val="Subsubsection"/>
              <w:spacing w:line="360" w:lineRule="auto"/>
              <w:rPr>
                <w:rFonts w:ascii="Times New Roman" w:hAnsi="Times New Roman" w:cs="Times New Roman"/>
                <w:sz w:val="22"/>
                <w:szCs w:val="24"/>
              </w:rPr>
            </w:pPr>
            <w:r>
              <w:rPr>
                <w:rFonts w:ascii="Times New Roman" w:hAnsi="Times New Roman" w:cs="Times New Roman"/>
                <w:sz w:val="22"/>
                <w:szCs w:val="24"/>
              </w:rPr>
              <w:t>Magnitude of change</w:t>
            </w:r>
            <w:r w:rsidRPr="00F8453F">
              <w:rPr>
                <w:rFonts w:ascii="Times New Roman" w:hAnsi="Times New Roman" w:cs="Times New Roman"/>
                <w:sz w:val="22"/>
                <w:szCs w:val="24"/>
              </w:rPr>
              <w:t xml:space="preserve"> </w:t>
            </w:r>
            <w:r w:rsidR="00F50954" w:rsidRPr="00F8453F">
              <w:rPr>
                <w:rFonts w:ascii="Times New Roman" w:hAnsi="Times New Roman" w:cs="Times New Roman"/>
                <w:sz w:val="22"/>
                <w:szCs w:val="24"/>
              </w:rPr>
              <w:t xml:space="preserve">in force of infection </w:t>
            </w:r>
            <w:r>
              <w:rPr>
                <w:rFonts w:ascii="Times New Roman" w:hAnsi="Times New Roman" w:cs="Times New Roman"/>
                <w:sz w:val="22"/>
                <w:szCs w:val="24"/>
              </w:rPr>
              <w:t>between t</w:t>
            </w:r>
            <w:r>
              <w:rPr>
                <w:rFonts w:ascii="Times New Roman" w:hAnsi="Times New Roman" w:cs="Times New Roman"/>
                <w:sz w:val="22"/>
                <w:szCs w:val="24"/>
                <w:vertAlign w:val="subscript"/>
              </w:rPr>
              <w:t>2</w:t>
            </w:r>
            <w:r>
              <w:rPr>
                <w:rFonts w:ascii="Times New Roman" w:hAnsi="Times New Roman" w:cs="Times New Roman"/>
                <w:sz w:val="22"/>
                <w:szCs w:val="24"/>
              </w:rPr>
              <w:t xml:space="preserve"> and t</w:t>
            </w:r>
            <w:r>
              <w:rPr>
                <w:rFonts w:ascii="Times New Roman" w:hAnsi="Times New Roman" w:cs="Times New Roman"/>
                <w:sz w:val="22"/>
                <w:szCs w:val="24"/>
                <w:vertAlign w:val="subscript"/>
              </w:rPr>
              <w:t>3</w:t>
            </w:r>
          </w:p>
        </w:tc>
        <w:tc>
          <w:tcPr>
            <w:tcW w:w="1295" w:type="dxa"/>
            <w:hideMark/>
          </w:tcPr>
          <w:p w:rsidR="00F50954" w:rsidRPr="00F8453F" w:rsidRDefault="00F50954" w:rsidP="008C01D0">
            <w:pPr>
              <w:pStyle w:val="Subsubsection"/>
              <w:spacing w:line="360" w:lineRule="auto"/>
              <w:jc w:val="center"/>
              <w:rPr>
                <w:rFonts w:ascii="Times New Roman" w:hAnsi="Times New Roman" w:cs="Times New Roman"/>
                <w:sz w:val="22"/>
                <w:szCs w:val="24"/>
              </w:rPr>
            </w:pPr>
            <w:r w:rsidRPr="00F8453F">
              <w:rPr>
                <w:rFonts w:ascii="Times New Roman" w:hAnsi="Times New Roman" w:cs="Times New Roman"/>
                <w:sz w:val="22"/>
                <w:szCs w:val="24"/>
              </w:rPr>
              <w:sym w:font="Symbol" w:char="F044"/>
            </w:r>
            <w:r w:rsidR="00DF0684">
              <w:rPr>
                <w:rFonts w:ascii="Times New Roman" w:hAnsi="Times New Roman" w:cs="Times New Roman"/>
                <w:sz w:val="22"/>
                <w:szCs w:val="24"/>
                <w:vertAlign w:val="subscript"/>
              </w:rPr>
              <w:t>2</w:t>
            </w:r>
          </w:p>
        </w:tc>
        <w:tc>
          <w:tcPr>
            <w:tcW w:w="2818" w:type="dxa"/>
            <w:hideMark/>
          </w:tcPr>
          <w:p w:rsidR="00F50954" w:rsidRPr="00AC64EF" w:rsidRDefault="00F50954" w:rsidP="008C01D0">
            <w:pPr>
              <w:pStyle w:val="Subsubsection"/>
              <w:spacing w:line="360" w:lineRule="auto"/>
              <w:rPr>
                <w:rFonts w:ascii="Times New Roman" w:hAnsi="Times New Roman" w:cs="Times New Roman"/>
                <w:sz w:val="22"/>
                <w:szCs w:val="24"/>
              </w:rPr>
            </w:pPr>
            <w:r w:rsidRPr="00F50954">
              <w:rPr>
                <w:rFonts w:ascii="Times New Roman" w:hAnsi="Times New Roman" w:cs="Times New Roman"/>
                <w:sz w:val="22"/>
                <w:szCs w:val="24"/>
              </w:rPr>
              <w:t>0.321572</w:t>
            </w:r>
          </w:p>
        </w:tc>
      </w:tr>
      <w:tr w:rsidR="00F50954" w:rsidRPr="00F8453F" w:rsidTr="00F50954">
        <w:trPr>
          <w:trHeight w:val="426"/>
        </w:trPr>
        <w:tc>
          <w:tcPr>
            <w:tcW w:w="4869" w:type="dxa"/>
            <w:hideMark/>
          </w:tcPr>
          <w:p w:rsidR="00F50954" w:rsidRPr="00F8453F" w:rsidRDefault="00F50954" w:rsidP="00A35938">
            <w:pPr>
              <w:pStyle w:val="Subsubsection"/>
              <w:spacing w:line="360" w:lineRule="auto"/>
              <w:rPr>
                <w:rFonts w:ascii="Times New Roman" w:hAnsi="Times New Roman" w:cs="Times New Roman"/>
                <w:sz w:val="22"/>
                <w:szCs w:val="24"/>
              </w:rPr>
            </w:pPr>
            <w:r w:rsidRPr="00F8453F">
              <w:rPr>
                <w:rFonts w:ascii="Times New Roman" w:hAnsi="Times New Roman" w:cs="Times New Roman"/>
                <w:sz w:val="22"/>
                <w:szCs w:val="24"/>
              </w:rPr>
              <w:lastRenderedPageBreak/>
              <w:t xml:space="preserve">Time first </w:t>
            </w:r>
            <w:r w:rsidR="00A35938">
              <w:rPr>
                <w:rFonts w:ascii="Times New Roman" w:hAnsi="Times New Roman" w:cs="Times New Roman"/>
                <w:sz w:val="22"/>
                <w:szCs w:val="24"/>
              </w:rPr>
              <w:t>change</w:t>
            </w:r>
            <w:r w:rsidR="00A35938" w:rsidRPr="00F8453F">
              <w:rPr>
                <w:rFonts w:ascii="Times New Roman" w:hAnsi="Times New Roman" w:cs="Times New Roman"/>
                <w:sz w:val="22"/>
                <w:szCs w:val="24"/>
              </w:rPr>
              <w:t xml:space="preserve"> </w:t>
            </w:r>
            <w:r w:rsidRPr="00F8453F">
              <w:rPr>
                <w:rFonts w:ascii="Times New Roman" w:hAnsi="Times New Roman" w:cs="Times New Roman"/>
                <w:sz w:val="22"/>
                <w:szCs w:val="24"/>
              </w:rPr>
              <w:t xml:space="preserve">in </w:t>
            </w:r>
            <w:r w:rsidR="00A35938">
              <w:rPr>
                <w:rFonts w:ascii="Times New Roman" w:hAnsi="Times New Roman" w:cs="Times New Roman"/>
                <w:sz w:val="22"/>
                <w:szCs w:val="24"/>
              </w:rPr>
              <w:t xml:space="preserve">magnitude of </w:t>
            </w:r>
            <w:r w:rsidRPr="00F8453F">
              <w:rPr>
                <w:rFonts w:ascii="Times New Roman" w:hAnsi="Times New Roman" w:cs="Times New Roman"/>
                <w:sz w:val="22"/>
                <w:szCs w:val="24"/>
              </w:rPr>
              <w:t>force of</w:t>
            </w:r>
            <w:r>
              <w:rPr>
                <w:rFonts w:ascii="Times New Roman" w:hAnsi="Times New Roman" w:cs="Times New Roman"/>
                <w:sz w:val="22"/>
                <w:szCs w:val="24"/>
              </w:rPr>
              <w:t xml:space="preserve"> </w:t>
            </w:r>
            <w:r w:rsidR="00A35938">
              <w:rPr>
                <w:rFonts w:ascii="Times New Roman" w:hAnsi="Times New Roman" w:cs="Times New Roman"/>
                <w:sz w:val="22"/>
                <w:szCs w:val="24"/>
              </w:rPr>
              <w:t xml:space="preserve">infection </w:t>
            </w:r>
            <w:r>
              <w:rPr>
                <w:rFonts w:ascii="Times New Roman" w:hAnsi="Times New Roman" w:cs="Times New Roman"/>
                <w:sz w:val="22"/>
                <w:szCs w:val="24"/>
              </w:rPr>
              <w:t>begins</w:t>
            </w:r>
            <w:r w:rsidRPr="00F8453F">
              <w:rPr>
                <w:rFonts w:ascii="Times New Roman" w:hAnsi="Times New Roman" w:cs="Times New Roman"/>
                <w:sz w:val="22"/>
                <w:szCs w:val="24"/>
              </w:rPr>
              <w:t xml:space="preserve"> infection </w:t>
            </w:r>
            <w:r w:rsidRPr="00F8453F">
              <w:rPr>
                <w:rFonts w:ascii="Times New Roman" w:hAnsi="Times New Roman" w:cs="Times New Roman"/>
                <w:i/>
                <w:iCs/>
                <w:sz w:val="22"/>
                <w:szCs w:val="24"/>
              </w:rPr>
              <w:t>t</w:t>
            </w:r>
            <w:r w:rsidRPr="00F8453F">
              <w:rPr>
                <w:rFonts w:ascii="Times New Roman" w:hAnsi="Times New Roman" w:cs="Times New Roman"/>
                <w:sz w:val="22"/>
                <w:szCs w:val="24"/>
                <w:vertAlign w:val="subscript"/>
              </w:rPr>
              <w:t>1</w:t>
            </w:r>
          </w:p>
        </w:tc>
        <w:tc>
          <w:tcPr>
            <w:tcW w:w="1295" w:type="dxa"/>
            <w:hideMark/>
          </w:tcPr>
          <w:p w:rsidR="00F50954" w:rsidRPr="00F8453F" w:rsidRDefault="00F50954" w:rsidP="008C01D0">
            <w:pPr>
              <w:pStyle w:val="Subsubsection"/>
              <w:spacing w:line="360" w:lineRule="auto"/>
              <w:jc w:val="center"/>
              <w:rPr>
                <w:rFonts w:ascii="Times New Roman" w:hAnsi="Times New Roman" w:cs="Times New Roman"/>
                <w:sz w:val="22"/>
                <w:szCs w:val="24"/>
              </w:rPr>
            </w:pPr>
            <w:r w:rsidRPr="00F8453F">
              <w:rPr>
                <w:rFonts w:ascii="Times New Roman" w:hAnsi="Times New Roman" w:cs="Times New Roman"/>
                <w:i/>
                <w:iCs/>
                <w:sz w:val="22"/>
                <w:szCs w:val="24"/>
              </w:rPr>
              <w:t>t</w:t>
            </w:r>
            <w:r w:rsidRPr="00F8453F">
              <w:rPr>
                <w:rFonts w:ascii="Times New Roman" w:hAnsi="Times New Roman" w:cs="Times New Roman"/>
                <w:sz w:val="22"/>
                <w:szCs w:val="24"/>
                <w:vertAlign w:val="subscript"/>
              </w:rPr>
              <w:t>1</w:t>
            </w:r>
          </w:p>
        </w:tc>
        <w:tc>
          <w:tcPr>
            <w:tcW w:w="2818" w:type="dxa"/>
            <w:hideMark/>
          </w:tcPr>
          <w:p w:rsidR="00F50954" w:rsidRPr="00F8453F" w:rsidRDefault="00F50954" w:rsidP="008C01D0">
            <w:pPr>
              <w:pStyle w:val="Subsubsection"/>
              <w:spacing w:line="360" w:lineRule="auto"/>
              <w:rPr>
                <w:rFonts w:ascii="Times New Roman" w:hAnsi="Times New Roman" w:cs="Times New Roman"/>
                <w:sz w:val="22"/>
                <w:szCs w:val="24"/>
              </w:rPr>
            </w:pPr>
            <w:r>
              <w:rPr>
                <w:rFonts w:ascii="Times New Roman" w:hAnsi="Times New Roman" w:cs="Times New Roman"/>
                <w:sz w:val="22"/>
                <w:szCs w:val="24"/>
              </w:rPr>
              <w:t>1983.8</w:t>
            </w:r>
          </w:p>
        </w:tc>
      </w:tr>
      <w:tr w:rsidR="00F50954" w:rsidRPr="00F8453F" w:rsidTr="00F50954">
        <w:trPr>
          <w:trHeight w:val="426"/>
        </w:trPr>
        <w:tc>
          <w:tcPr>
            <w:tcW w:w="4869" w:type="dxa"/>
            <w:hideMark/>
          </w:tcPr>
          <w:p w:rsidR="00F50954" w:rsidRPr="00F8453F" w:rsidRDefault="00F50954" w:rsidP="00867CE8">
            <w:pPr>
              <w:pStyle w:val="Subsubsection"/>
              <w:spacing w:line="360" w:lineRule="auto"/>
              <w:rPr>
                <w:rFonts w:ascii="Times New Roman" w:hAnsi="Times New Roman" w:cs="Times New Roman"/>
                <w:sz w:val="22"/>
                <w:szCs w:val="24"/>
              </w:rPr>
            </w:pPr>
            <w:r w:rsidRPr="00F8453F">
              <w:rPr>
                <w:rFonts w:ascii="Times New Roman" w:hAnsi="Times New Roman" w:cs="Times New Roman"/>
                <w:sz w:val="22"/>
                <w:szCs w:val="24"/>
              </w:rPr>
              <w:t xml:space="preserve">Time </w:t>
            </w:r>
            <w:r w:rsidR="00A35938">
              <w:rPr>
                <w:rFonts w:ascii="Times New Roman" w:hAnsi="Times New Roman" w:cs="Times New Roman"/>
                <w:sz w:val="22"/>
                <w:szCs w:val="24"/>
              </w:rPr>
              <w:t xml:space="preserve">second change in magnitude of force of infection </w:t>
            </w:r>
            <w:r w:rsidR="00867CE8">
              <w:rPr>
                <w:rFonts w:ascii="Times New Roman" w:hAnsi="Times New Roman" w:cs="Times New Roman"/>
                <w:sz w:val="22"/>
                <w:szCs w:val="24"/>
              </w:rPr>
              <w:t>begins</w:t>
            </w:r>
          </w:p>
        </w:tc>
        <w:tc>
          <w:tcPr>
            <w:tcW w:w="1295" w:type="dxa"/>
            <w:hideMark/>
          </w:tcPr>
          <w:p w:rsidR="00F50954" w:rsidRPr="00F8453F" w:rsidRDefault="00F50954" w:rsidP="008C01D0">
            <w:pPr>
              <w:pStyle w:val="Subsubsection"/>
              <w:spacing w:line="360" w:lineRule="auto"/>
              <w:jc w:val="center"/>
              <w:rPr>
                <w:rFonts w:ascii="Times New Roman" w:hAnsi="Times New Roman" w:cs="Times New Roman"/>
                <w:i/>
                <w:iCs/>
                <w:sz w:val="22"/>
                <w:szCs w:val="24"/>
              </w:rPr>
            </w:pPr>
            <w:r w:rsidRPr="00F8453F">
              <w:rPr>
                <w:rFonts w:ascii="Times New Roman" w:hAnsi="Times New Roman" w:cs="Times New Roman"/>
                <w:i/>
                <w:iCs/>
                <w:sz w:val="22"/>
                <w:szCs w:val="24"/>
              </w:rPr>
              <w:t>t</w:t>
            </w:r>
            <w:r w:rsidRPr="00F8453F">
              <w:rPr>
                <w:rFonts w:ascii="Times New Roman" w:hAnsi="Times New Roman" w:cs="Times New Roman"/>
                <w:sz w:val="22"/>
                <w:szCs w:val="24"/>
                <w:vertAlign w:val="subscript"/>
              </w:rPr>
              <w:t>2</w:t>
            </w:r>
          </w:p>
        </w:tc>
        <w:tc>
          <w:tcPr>
            <w:tcW w:w="2818" w:type="dxa"/>
            <w:hideMark/>
          </w:tcPr>
          <w:p w:rsidR="00F50954" w:rsidRPr="00F8453F" w:rsidRDefault="00F50954" w:rsidP="008C01D0">
            <w:pPr>
              <w:pStyle w:val="Subsubsection"/>
              <w:spacing w:line="360" w:lineRule="auto"/>
              <w:rPr>
                <w:rFonts w:ascii="Times New Roman" w:hAnsi="Times New Roman" w:cs="Times New Roman"/>
                <w:sz w:val="22"/>
                <w:szCs w:val="24"/>
              </w:rPr>
            </w:pPr>
            <w:r>
              <w:rPr>
                <w:rFonts w:ascii="Times New Roman" w:hAnsi="Times New Roman" w:cs="Times New Roman"/>
                <w:sz w:val="22"/>
                <w:szCs w:val="24"/>
              </w:rPr>
              <w:t>1998.9</w:t>
            </w:r>
          </w:p>
        </w:tc>
      </w:tr>
      <w:tr w:rsidR="00F50954" w:rsidRPr="00F8453F" w:rsidTr="00F50954">
        <w:trPr>
          <w:trHeight w:val="426"/>
        </w:trPr>
        <w:tc>
          <w:tcPr>
            <w:tcW w:w="4869" w:type="dxa"/>
          </w:tcPr>
          <w:p w:rsidR="00F50954" w:rsidRPr="00F8453F" w:rsidRDefault="00F50954" w:rsidP="00A35938">
            <w:pPr>
              <w:pStyle w:val="Subsubsection"/>
              <w:spacing w:line="360" w:lineRule="auto"/>
              <w:rPr>
                <w:rFonts w:ascii="Times New Roman" w:hAnsi="Times New Roman" w:cs="Times New Roman"/>
                <w:sz w:val="22"/>
                <w:szCs w:val="24"/>
              </w:rPr>
            </w:pPr>
            <w:r>
              <w:rPr>
                <w:rFonts w:ascii="Times New Roman" w:hAnsi="Times New Roman" w:cs="Times New Roman"/>
                <w:sz w:val="22"/>
                <w:szCs w:val="24"/>
              </w:rPr>
              <w:t xml:space="preserve">Time second </w:t>
            </w:r>
            <w:r w:rsidR="00A35938">
              <w:rPr>
                <w:rFonts w:ascii="Times New Roman" w:hAnsi="Times New Roman" w:cs="Times New Roman"/>
                <w:sz w:val="22"/>
                <w:szCs w:val="24"/>
              </w:rPr>
              <w:t xml:space="preserve">change </w:t>
            </w:r>
            <w:r>
              <w:rPr>
                <w:rFonts w:ascii="Times New Roman" w:hAnsi="Times New Roman" w:cs="Times New Roman"/>
                <w:sz w:val="22"/>
                <w:szCs w:val="24"/>
              </w:rPr>
              <w:t xml:space="preserve">in </w:t>
            </w:r>
            <w:r w:rsidR="00A35938">
              <w:rPr>
                <w:rFonts w:ascii="Times New Roman" w:hAnsi="Times New Roman" w:cs="Times New Roman"/>
                <w:sz w:val="22"/>
                <w:szCs w:val="24"/>
              </w:rPr>
              <w:t xml:space="preserve">magnitude of </w:t>
            </w:r>
            <w:r>
              <w:rPr>
                <w:rFonts w:ascii="Times New Roman" w:hAnsi="Times New Roman" w:cs="Times New Roman"/>
                <w:sz w:val="22"/>
                <w:szCs w:val="24"/>
              </w:rPr>
              <w:t>force of infection ends</w:t>
            </w:r>
          </w:p>
        </w:tc>
        <w:tc>
          <w:tcPr>
            <w:tcW w:w="1295" w:type="dxa"/>
          </w:tcPr>
          <w:p w:rsidR="00F50954" w:rsidRPr="00A871B1" w:rsidRDefault="00F50954" w:rsidP="008C01D0">
            <w:pPr>
              <w:pStyle w:val="Subsubsection"/>
              <w:spacing w:line="360" w:lineRule="auto"/>
              <w:jc w:val="center"/>
              <w:rPr>
                <w:rFonts w:ascii="Times New Roman" w:hAnsi="Times New Roman" w:cs="Times New Roman"/>
                <w:i/>
                <w:iCs/>
                <w:sz w:val="22"/>
                <w:szCs w:val="24"/>
                <w:vertAlign w:val="subscript"/>
              </w:rPr>
            </w:pPr>
            <w:r>
              <w:rPr>
                <w:rFonts w:ascii="Times New Roman" w:hAnsi="Times New Roman" w:cs="Times New Roman"/>
                <w:i/>
                <w:iCs/>
                <w:sz w:val="22"/>
                <w:szCs w:val="24"/>
              </w:rPr>
              <w:t>t</w:t>
            </w:r>
            <w:r>
              <w:rPr>
                <w:rFonts w:ascii="Times New Roman" w:hAnsi="Times New Roman" w:cs="Times New Roman"/>
                <w:i/>
                <w:iCs/>
                <w:sz w:val="22"/>
                <w:szCs w:val="24"/>
                <w:vertAlign w:val="subscript"/>
              </w:rPr>
              <w:t>3</w:t>
            </w:r>
          </w:p>
        </w:tc>
        <w:tc>
          <w:tcPr>
            <w:tcW w:w="2818" w:type="dxa"/>
          </w:tcPr>
          <w:p w:rsidR="00F50954" w:rsidRPr="00F8453F" w:rsidRDefault="00F50954" w:rsidP="008C01D0">
            <w:pPr>
              <w:pStyle w:val="Subsubsection"/>
              <w:spacing w:line="360" w:lineRule="auto"/>
              <w:rPr>
                <w:rFonts w:ascii="Times New Roman" w:hAnsi="Times New Roman" w:cs="Times New Roman"/>
                <w:sz w:val="22"/>
                <w:szCs w:val="24"/>
              </w:rPr>
            </w:pPr>
            <w:r>
              <w:rPr>
                <w:rFonts w:ascii="Times New Roman" w:hAnsi="Times New Roman" w:cs="Times New Roman"/>
                <w:sz w:val="22"/>
                <w:szCs w:val="24"/>
              </w:rPr>
              <w:t>2009</w:t>
            </w:r>
          </w:p>
        </w:tc>
      </w:tr>
      <w:tr w:rsidR="00F50954" w:rsidRPr="00F8453F" w:rsidTr="00F50954">
        <w:trPr>
          <w:trHeight w:val="426"/>
        </w:trPr>
        <w:tc>
          <w:tcPr>
            <w:tcW w:w="4869" w:type="dxa"/>
            <w:hideMark/>
          </w:tcPr>
          <w:p w:rsidR="00F50954" w:rsidRPr="00F8453F" w:rsidRDefault="00F50954" w:rsidP="008C01D0">
            <w:pPr>
              <w:pStyle w:val="Subsubsection"/>
              <w:spacing w:line="360" w:lineRule="auto"/>
              <w:rPr>
                <w:rFonts w:ascii="Times New Roman" w:hAnsi="Times New Roman" w:cs="Times New Roman"/>
                <w:sz w:val="22"/>
                <w:szCs w:val="24"/>
              </w:rPr>
            </w:pPr>
            <w:r w:rsidRPr="00F8453F">
              <w:rPr>
                <w:rFonts w:ascii="Times New Roman" w:hAnsi="Times New Roman" w:cs="Times New Roman"/>
                <w:sz w:val="22"/>
                <w:szCs w:val="24"/>
              </w:rPr>
              <w:t>Underreporting factor</w:t>
            </w:r>
          </w:p>
        </w:tc>
        <w:tc>
          <w:tcPr>
            <w:tcW w:w="1295" w:type="dxa"/>
            <w:hideMark/>
          </w:tcPr>
          <w:p w:rsidR="00F50954" w:rsidRPr="00F8453F" w:rsidRDefault="00F50954" w:rsidP="008C01D0">
            <w:pPr>
              <w:pStyle w:val="Subsubsection"/>
              <w:spacing w:line="360" w:lineRule="auto"/>
              <w:jc w:val="center"/>
              <w:rPr>
                <w:rFonts w:ascii="Times New Roman" w:hAnsi="Times New Roman" w:cs="Times New Roman"/>
                <w:i/>
                <w:iCs/>
                <w:sz w:val="22"/>
                <w:szCs w:val="24"/>
              </w:rPr>
            </w:pPr>
            <w:r w:rsidRPr="00F8453F">
              <w:rPr>
                <w:rFonts w:ascii="Times New Roman" w:hAnsi="Times New Roman" w:cs="Times New Roman"/>
                <w:i/>
                <w:iCs/>
                <w:sz w:val="22"/>
                <w:szCs w:val="24"/>
              </w:rPr>
              <w:sym w:font="Symbol" w:char="F072"/>
            </w:r>
          </w:p>
        </w:tc>
        <w:tc>
          <w:tcPr>
            <w:tcW w:w="2818" w:type="dxa"/>
            <w:hideMark/>
          </w:tcPr>
          <w:p w:rsidR="00F50954" w:rsidRPr="00F8453F" w:rsidRDefault="006A432B" w:rsidP="008C01D0">
            <w:pPr>
              <w:pStyle w:val="Subsubsection"/>
              <w:spacing w:line="360" w:lineRule="auto"/>
              <w:rPr>
                <w:rFonts w:ascii="Times New Roman" w:hAnsi="Times New Roman" w:cs="Times New Roman"/>
                <w:sz w:val="22"/>
                <w:szCs w:val="24"/>
              </w:rPr>
            </w:pPr>
            <w:r>
              <w:rPr>
                <w:rFonts w:ascii="Times New Roman" w:hAnsi="Times New Roman" w:cs="Times New Roman"/>
                <w:sz w:val="22"/>
                <w:szCs w:val="24"/>
              </w:rPr>
              <w:t>24.9541</w:t>
            </w:r>
          </w:p>
        </w:tc>
      </w:tr>
      <w:tr w:rsidR="00F50954" w:rsidRPr="00F8453F" w:rsidTr="00F50954">
        <w:trPr>
          <w:trHeight w:val="426"/>
        </w:trPr>
        <w:tc>
          <w:tcPr>
            <w:tcW w:w="4869" w:type="dxa"/>
          </w:tcPr>
          <w:p w:rsidR="00F50954" w:rsidRPr="00F8453F" w:rsidRDefault="00F50954" w:rsidP="008C01D0">
            <w:pPr>
              <w:pStyle w:val="Subsubsection"/>
              <w:spacing w:line="360" w:lineRule="auto"/>
              <w:rPr>
                <w:rFonts w:ascii="Times New Roman" w:hAnsi="Times New Roman" w:cs="Times New Roman"/>
                <w:sz w:val="22"/>
                <w:szCs w:val="24"/>
              </w:rPr>
            </w:pPr>
            <w:r>
              <w:rPr>
                <w:rFonts w:ascii="Times New Roman" w:hAnsi="Times New Roman" w:cs="Times New Roman"/>
                <w:sz w:val="22"/>
                <w:szCs w:val="24"/>
              </w:rPr>
              <w:t>Hospitalization factor</w:t>
            </w:r>
          </w:p>
        </w:tc>
        <w:tc>
          <w:tcPr>
            <w:tcW w:w="1295" w:type="dxa"/>
          </w:tcPr>
          <w:p w:rsidR="00F50954" w:rsidRPr="00F50954" w:rsidRDefault="00F50954" w:rsidP="00F50954">
            <w:pPr>
              <w:pStyle w:val="Subsubsection"/>
              <w:spacing w:line="360" w:lineRule="auto"/>
              <w:jc w:val="center"/>
              <w:rPr>
                <w:rFonts w:ascii="Times New Roman" w:hAnsi="Times New Roman" w:cs="Times New Roman"/>
                <w:i/>
                <w:iCs/>
                <w:sz w:val="22"/>
                <w:szCs w:val="24"/>
              </w:rPr>
            </w:pPr>
            <w:r>
              <w:rPr>
                <w:rFonts w:ascii="Times New Roman" w:hAnsi="Times New Roman" w:cs="Times New Roman"/>
                <w:i/>
                <w:iCs/>
                <w:sz w:val="22"/>
                <w:szCs w:val="24"/>
              </w:rPr>
              <w:t>ρ’</w:t>
            </w:r>
          </w:p>
        </w:tc>
        <w:tc>
          <w:tcPr>
            <w:tcW w:w="2818" w:type="dxa"/>
          </w:tcPr>
          <w:p w:rsidR="00F50954" w:rsidRPr="00F8453F" w:rsidRDefault="00F50954" w:rsidP="008C01D0">
            <w:pPr>
              <w:pStyle w:val="Subsubsection"/>
              <w:spacing w:line="360" w:lineRule="auto"/>
              <w:rPr>
                <w:rFonts w:ascii="Times New Roman" w:hAnsi="Times New Roman" w:cs="Times New Roman"/>
                <w:sz w:val="22"/>
                <w:szCs w:val="24"/>
              </w:rPr>
            </w:pPr>
            <w:r w:rsidRPr="00F50954">
              <w:rPr>
                <w:rFonts w:ascii="Times New Roman" w:hAnsi="Times New Roman" w:cs="Times New Roman"/>
                <w:sz w:val="22"/>
                <w:szCs w:val="24"/>
              </w:rPr>
              <w:t>11.7616</w:t>
            </w:r>
          </w:p>
        </w:tc>
      </w:tr>
    </w:tbl>
    <w:p w:rsidR="00F8453F" w:rsidRDefault="00F8453F" w:rsidP="007D7893">
      <w:pPr>
        <w:pStyle w:val="Heading1"/>
      </w:pPr>
      <w:r>
        <w:br w:type="page"/>
      </w:r>
      <w:r w:rsidR="007D7893">
        <w:lastRenderedPageBreak/>
        <w:t>Choice of distributions for probabilistic sensitivity analysis (PSA)</w:t>
      </w:r>
    </w:p>
    <w:p w:rsidR="007D7893" w:rsidRPr="007D7893" w:rsidRDefault="007D7893" w:rsidP="007D7893">
      <w:pPr>
        <w:pStyle w:val="BodyText"/>
        <w:spacing w:line="480" w:lineRule="auto"/>
        <w:rPr>
          <w:rFonts w:asciiTheme="minorHAnsi" w:eastAsiaTheme="minorHAnsi" w:hAnsiTheme="minorHAnsi" w:cstheme="minorBidi"/>
          <w:sz w:val="22"/>
          <w:szCs w:val="22"/>
          <w:lang w:eastAsia="en-US"/>
        </w:rPr>
      </w:pPr>
      <w:r w:rsidRPr="007D7893">
        <w:rPr>
          <w:rFonts w:asciiTheme="minorHAnsi" w:eastAsiaTheme="minorHAnsi" w:hAnsiTheme="minorHAnsi" w:cstheme="minorBidi"/>
          <w:sz w:val="22"/>
          <w:szCs w:val="22"/>
          <w:lang w:eastAsia="en-US"/>
        </w:rPr>
        <w:t>In this section we briefly discuss the rationale for choosing distributions and the methods for estimating their parameters.</w:t>
      </w:r>
    </w:p>
    <w:p w:rsidR="00475AB9" w:rsidRDefault="00475AB9" w:rsidP="007D7893">
      <w:pPr>
        <w:pStyle w:val="Heading2"/>
      </w:pPr>
      <w:r>
        <w:t>Gamma Distributions</w:t>
      </w:r>
    </w:p>
    <w:p w:rsidR="00475AB9" w:rsidRDefault="00475AB9" w:rsidP="00475AB9">
      <w:r>
        <w:t>Gamma distribution is appropriate for non-negative, skewed data sets.  The parameters of the gamma distribution were obtained using the method of moments. Given the mean (</w:t>
      </w:r>
      <w:r>
        <w:rPr>
          <w:i/>
          <w:iCs/>
        </w:rPr>
        <w:t>m</w:t>
      </w:r>
      <w:r>
        <w:t>), low (</w:t>
      </w:r>
      <w:r>
        <w:rPr>
          <w:i/>
          <w:iCs/>
        </w:rPr>
        <w:t>l</w:t>
      </w:r>
      <w:r>
        <w:t>), and high (</w:t>
      </w:r>
      <w:r>
        <w:rPr>
          <w:i/>
          <w:iCs/>
        </w:rPr>
        <w:t>h</w:t>
      </w:r>
      <w:r>
        <w:t>) values of the parameter as shown in Table 1 in the manuscript, we estimate the standard error (</w:t>
      </w:r>
      <w:r>
        <w:rPr>
          <w:i/>
          <w:iCs/>
        </w:rPr>
        <w:t>se</w:t>
      </w:r>
      <w:r>
        <w:t>) as</w:t>
      </w:r>
    </w:p>
    <w:p w:rsidR="00475AB9" w:rsidRDefault="00475AB9" w:rsidP="00475AB9">
      <m:oMathPara>
        <m:oMath>
          <m:r>
            <w:rPr>
              <w:rFonts w:ascii="Cambria Math" w:hAnsi="Cambria Math"/>
            </w:rPr>
            <m:t xml:space="preserve">se= </m:t>
          </m:r>
          <m:f>
            <m:fPr>
              <m:ctrlPr>
                <w:rPr>
                  <w:rFonts w:ascii="Cambria Math" w:hAnsi="Cambria Math"/>
                  <w:i/>
                </w:rPr>
              </m:ctrlPr>
            </m:fPr>
            <m:num>
              <m:r>
                <w:rPr>
                  <w:rFonts w:ascii="Cambria Math" w:hAnsi="Cambria Math"/>
                </w:rPr>
                <m:t>h-l</m:t>
              </m:r>
            </m:num>
            <m:den>
              <m:r>
                <w:rPr>
                  <w:rFonts w:ascii="Cambria Math" w:hAnsi="Cambria Math"/>
                </w:rPr>
                <m:t>2(1.96)</m:t>
              </m:r>
            </m:den>
          </m:f>
        </m:oMath>
      </m:oMathPara>
    </w:p>
    <w:p w:rsidR="00475AB9" w:rsidRDefault="00475AB9" w:rsidP="00475AB9">
      <w:r>
        <w:t>The parameters of the Gamma distribution are given by</w:t>
      </w:r>
    </w:p>
    <w:p w:rsidR="00475AB9" w:rsidRPr="00475AB9" w:rsidRDefault="00DE10EC" w:rsidP="00475AB9">
      <m:oMathPara>
        <m:oMath>
          <m:m>
            <m:mPr>
              <m:mcs>
                <m:mc>
                  <m:mcPr>
                    <m:count m:val="3"/>
                    <m:mcJc m:val="center"/>
                  </m:mcPr>
                </m:mc>
              </m:mcs>
              <m:ctrlPr>
                <w:rPr>
                  <w:rFonts w:ascii="Cambria Math" w:hAnsi="Cambria Math"/>
                  <w:i/>
                </w:rPr>
              </m:ctrlPr>
            </m:mPr>
            <m:mr>
              <m:e>
                <m:r>
                  <w:rPr>
                    <w:rFonts w:ascii="Cambria Math" w:hAnsi="Cambria Math"/>
                  </w:rPr>
                  <m:t>α</m:t>
                </m:r>
              </m:e>
              <m:e>
                <m:r>
                  <w:rPr>
                    <w:rFonts w:ascii="Cambria Math" w:hAnsi="Cambria Math"/>
                  </w:rPr>
                  <m:t>=</m:t>
                </m:r>
              </m:e>
              <m:e>
                <m:f>
                  <m:fPr>
                    <m:ctrlPr>
                      <w:rPr>
                        <w:rFonts w:ascii="Cambria Math" w:hAnsi="Cambria Math"/>
                        <w:i/>
                      </w:rPr>
                    </m:ctrlPr>
                  </m:fPr>
                  <m:num>
                    <m:sSup>
                      <m:sSupPr>
                        <m:ctrlPr>
                          <w:rPr>
                            <w:rFonts w:ascii="Cambria Math" w:hAnsi="Cambria Math"/>
                            <w:i/>
                          </w:rPr>
                        </m:ctrlPr>
                      </m:sSupPr>
                      <m:e>
                        <m:r>
                          <w:rPr>
                            <w:rFonts w:ascii="Cambria Math" w:hAnsi="Cambria Math"/>
                          </w:rPr>
                          <m:t>m</m:t>
                        </m:r>
                      </m:e>
                      <m:sup>
                        <m:r>
                          <w:rPr>
                            <w:rFonts w:ascii="Cambria Math" w:hAnsi="Cambria Math"/>
                          </w:rPr>
                          <m:t>2</m:t>
                        </m:r>
                      </m:sup>
                    </m:sSup>
                  </m:num>
                  <m:den>
                    <m:sSup>
                      <m:sSupPr>
                        <m:ctrlPr>
                          <w:rPr>
                            <w:rFonts w:ascii="Cambria Math" w:hAnsi="Cambria Math"/>
                            <w:i/>
                          </w:rPr>
                        </m:ctrlPr>
                      </m:sSupPr>
                      <m:e>
                        <m:r>
                          <w:rPr>
                            <w:rFonts w:ascii="Cambria Math" w:hAnsi="Cambria Math"/>
                          </w:rPr>
                          <m:t>se</m:t>
                        </m:r>
                      </m:e>
                      <m:sup>
                        <m:r>
                          <w:rPr>
                            <w:rFonts w:ascii="Cambria Math" w:hAnsi="Cambria Math"/>
                          </w:rPr>
                          <m:t>2</m:t>
                        </m:r>
                      </m:sup>
                    </m:sSup>
                  </m:den>
                </m:f>
                <m:r>
                  <w:rPr>
                    <w:rFonts w:ascii="Cambria Math" w:hAnsi="Cambria Math"/>
                  </w:rPr>
                  <m:t>,</m:t>
                </m:r>
              </m:e>
            </m:mr>
            <m:mr>
              <m:e>
                <m:r>
                  <w:rPr>
                    <w:rFonts w:ascii="Cambria Math" w:hAnsi="Cambria Math"/>
                  </w:rPr>
                  <m:t>β</m:t>
                </m:r>
              </m:e>
              <m:e>
                <m:r>
                  <w:rPr>
                    <w:rFonts w:ascii="Cambria Math" w:hAnsi="Cambria Math"/>
                  </w:rPr>
                  <m:t>=</m:t>
                </m:r>
              </m:e>
              <m:e>
                <m:f>
                  <m:fPr>
                    <m:ctrlPr>
                      <w:rPr>
                        <w:rFonts w:ascii="Cambria Math" w:hAnsi="Cambria Math"/>
                        <w:i/>
                      </w:rPr>
                    </m:ctrlPr>
                  </m:fPr>
                  <m:num>
                    <m:sSup>
                      <m:sSupPr>
                        <m:ctrlPr>
                          <w:rPr>
                            <w:rFonts w:ascii="Cambria Math" w:hAnsi="Cambria Math"/>
                            <w:i/>
                          </w:rPr>
                        </m:ctrlPr>
                      </m:sSupPr>
                      <m:e>
                        <m:r>
                          <w:rPr>
                            <w:rFonts w:ascii="Cambria Math" w:hAnsi="Cambria Math"/>
                          </w:rPr>
                          <m:t>se</m:t>
                        </m:r>
                      </m:e>
                      <m:sup>
                        <m:r>
                          <w:rPr>
                            <w:rFonts w:ascii="Cambria Math" w:hAnsi="Cambria Math"/>
                          </w:rPr>
                          <m:t>2</m:t>
                        </m:r>
                      </m:sup>
                    </m:sSup>
                  </m:num>
                  <m:den>
                    <m:r>
                      <w:rPr>
                        <w:rFonts w:ascii="Cambria Math" w:hAnsi="Cambria Math"/>
                      </w:rPr>
                      <m:t>m</m:t>
                    </m:r>
                  </m:den>
                </m:f>
              </m:e>
            </m:mr>
          </m:m>
        </m:oMath>
      </m:oMathPara>
    </w:p>
    <w:p w:rsidR="007D7893" w:rsidRDefault="00475AB9" w:rsidP="00475AB9">
      <w:pPr>
        <w:pStyle w:val="Heading3"/>
      </w:pPr>
      <w:r>
        <w:t>Costs</w:t>
      </w:r>
    </w:p>
    <w:p w:rsidR="00475AB9" w:rsidRDefault="007D7893" w:rsidP="00475AB9">
      <w:r>
        <w:t>Because costs are constrained to be non-negative and are highly skewed, the gamma distribution was chosen for representing uncertainty in cost parameters</w:t>
      </w:r>
      <w:r w:rsidR="00B13DB8">
        <w:fldChar w:fldCharType="begin" w:fldLock="1"/>
      </w:r>
      <w:r w:rsidR="00391DEB">
        <w:instrText>ADDIN CSL_CITATION { "citationItems" : [ { "id" : "ITEM-1", "itemData" : { "author" : [ { "dropping-particle" : "", "family" : "Briggs", "given" : "Andrew", "non-dropping-particle" : "", "parse-names" : false, "suffix" : "" }, { "dropping-particle" : "", "family" : "Sculpher", "given" : "Mark", "non-dropping-particle" : "", "parse-names" : false, "suffix" : "" }, { "dropping-particle" : "", "family" : "Claxton", "given" : "Karl", "non-dropping-particle" : "", "parse-names" : false, "suffix" : "" } ], "id" : "ITEM-1", "issued" : { "date-parts" : [ [ "2006" ] ] }, "publisher" : "Oxford university press", "title" : "Decision modelling for health economic evaluation", "type" : "book" }, "uris" : [ "http://www.mendeley.com/documents/?uuid=ae589bb2-c579-4682-b138-c96337803a9c" ] } ], "mendeley" : { "formattedCitation" : "[20]", "plainTextFormattedCitation" : "[20]", "previouslyFormattedCitation" : "[19]" }, "properties" : { "noteIndex" : 0 }, "schema" : "https://github.com/citation-style-language/schema/raw/master/csl-citation.json" }</w:instrText>
      </w:r>
      <w:r w:rsidR="00B13DB8">
        <w:fldChar w:fldCharType="separate"/>
      </w:r>
      <w:r w:rsidR="00391DEB" w:rsidRPr="00391DEB">
        <w:rPr>
          <w:noProof/>
        </w:rPr>
        <w:t>[20]</w:t>
      </w:r>
      <w:r w:rsidR="00B13DB8">
        <w:fldChar w:fldCharType="end"/>
      </w:r>
      <w:r>
        <w:t xml:space="preserve">. </w:t>
      </w:r>
    </w:p>
    <w:p w:rsidR="00475AB9" w:rsidRDefault="00475AB9" w:rsidP="00475AB9">
      <w:pPr>
        <w:pStyle w:val="Heading3"/>
      </w:pPr>
      <w:r>
        <w:t>Duration of protection</w:t>
      </w:r>
    </w:p>
    <w:p w:rsidR="00DE3E88" w:rsidRDefault="00DE3E88" w:rsidP="00DE3E88">
      <w:r>
        <w:t>The parameter representing median duration of protection is constrained between 0 and infinity. This suggests gamma as a reasonable distribution for representing uncertainty regarding duration of protection.</w:t>
      </w:r>
    </w:p>
    <w:p w:rsidR="00DE3E88" w:rsidRDefault="00DE3E88" w:rsidP="00DE3E88">
      <w:pPr>
        <w:pStyle w:val="Heading2"/>
      </w:pPr>
      <w:r>
        <w:lastRenderedPageBreak/>
        <w:t>Beta Distributions</w:t>
      </w:r>
    </w:p>
    <w:p w:rsidR="00DE3E88" w:rsidRDefault="00DE3E88" w:rsidP="00DE3E88">
      <w:r>
        <w:t>Beta distributions are appropriate for values constrained to be between zero and one.  The parameters for the beta distribution were obtained as</w:t>
      </w:r>
    </w:p>
    <w:p w:rsidR="00DE3E88" w:rsidRPr="00DE3E88" w:rsidRDefault="00DE10EC" w:rsidP="00DE3E88">
      <m:oMathPara>
        <m:oMath>
          <m:m>
            <m:mPr>
              <m:mcs>
                <m:mc>
                  <m:mcPr>
                    <m:count m:val="3"/>
                    <m:mcJc m:val="center"/>
                  </m:mcPr>
                </m:mc>
              </m:mcs>
              <m:ctrlPr>
                <w:rPr>
                  <w:rFonts w:ascii="Cambria Math" w:hAnsi="Cambria Math"/>
                  <w:i/>
                </w:rPr>
              </m:ctrlPr>
            </m:mPr>
            <m:mr>
              <m:e>
                <m:r>
                  <w:rPr>
                    <w:rFonts w:ascii="Cambria Math" w:hAnsi="Cambria Math"/>
                  </w:rPr>
                  <m:t>α</m:t>
                </m:r>
              </m:e>
              <m:e>
                <m:r>
                  <w:rPr>
                    <w:rFonts w:ascii="Cambria Math" w:hAnsi="Cambria Math"/>
                  </w:rPr>
                  <m:t>=</m:t>
                </m:r>
              </m:e>
              <m:e>
                <m:f>
                  <m:fPr>
                    <m:ctrlPr>
                      <w:rPr>
                        <w:rFonts w:ascii="Cambria Math" w:hAnsi="Cambria Math"/>
                        <w:i/>
                      </w:rPr>
                    </m:ctrlPr>
                  </m:fPr>
                  <m:num>
                    <m:r>
                      <w:rPr>
                        <w:rFonts w:ascii="Cambria Math" w:hAnsi="Cambria Math"/>
                      </w:rPr>
                      <m:t>m(m-</m:t>
                    </m:r>
                    <m:sSup>
                      <m:sSupPr>
                        <m:ctrlPr>
                          <w:rPr>
                            <w:rFonts w:ascii="Cambria Math" w:hAnsi="Cambria Math"/>
                            <w:i/>
                          </w:rPr>
                        </m:ctrlPr>
                      </m:sSupPr>
                      <m:e>
                        <m:r>
                          <w:rPr>
                            <w:rFonts w:ascii="Cambria Math" w:hAnsi="Cambria Math"/>
                          </w:rPr>
                          <m:t>m</m:t>
                        </m:r>
                      </m:e>
                      <m:sup>
                        <m:r>
                          <w:rPr>
                            <w:rFonts w:ascii="Cambria Math" w:hAnsi="Cambria Math"/>
                          </w:rPr>
                          <m:t>2</m:t>
                        </m:r>
                      </m:sup>
                    </m:sSup>
                    <m:r>
                      <w:rPr>
                        <w:rFonts w:ascii="Cambria Math" w:hAnsi="Cambria Math"/>
                      </w:rPr>
                      <m:t>-</m:t>
                    </m:r>
                    <m:sSup>
                      <m:sSupPr>
                        <m:ctrlPr>
                          <w:rPr>
                            <w:rFonts w:ascii="Cambria Math" w:hAnsi="Cambria Math"/>
                            <w:i/>
                          </w:rPr>
                        </m:ctrlPr>
                      </m:sSupPr>
                      <m:e>
                        <m:r>
                          <w:rPr>
                            <w:rFonts w:ascii="Cambria Math" w:hAnsi="Cambria Math"/>
                          </w:rPr>
                          <m:t>se</m:t>
                        </m:r>
                      </m:e>
                      <m:sup>
                        <m:r>
                          <w:rPr>
                            <w:rFonts w:ascii="Cambria Math" w:hAnsi="Cambria Math"/>
                          </w:rPr>
                          <m:t>2</m:t>
                        </m:r>
                      </m:sup>
                    </m:sSup>
                    <m:r>
                      <w:rPr>
                        <w:rFonts w:ascii="Cambria Math" w:hAnsi="Cambria Math"/>
                      </w:rPr>
                      <m:t>)</m:t>
                    </m:r>
                  </m:num>
                  <m:den>
                    <m:sSup>
                      <m:sSupPr>
                        <m:ctrlPr>
                          <w:rPr>
                            <w:rFonts w:ascii="Cambria Math" w:hAnsi="Cambria Math"/>
                            <w:i/>
                          </w:rPr>
                        </m:ctrlPr>
                      </m:sSupPr>
                      <m:e>
                        <m:r>
                          <w:rPr>
                            <w:rFonts w:ascii="Cambria Math" w:hAnsi="Cambria Math"/>
                          </w:rPr>
                          <m:t>se</m:t>
                        </m:r>
                      </m:e>
                      <m:sup>
                        <m:r>
                          <w:rPr>
                            <w:rFonts w:ascii="Cambria Math" w:hAnsi="Cambria Math"/>
                          </w:rPr>
                          <m:t>2</m:t>
                        </m:r>
                      </m:sup>
                    </m:sSup>
                  </m:den>
                </m:f>
                <m:r>
                  <w:rPr>
                    <w:rFonts w:ascii="Cambria Math" w:hAnsi="Cambria Math"/>
                  </w:rPr>
                  <m:t>,</m:t>
                </m:r>
              </m:e>
            </m:mr>
            <m:mr>
              <m:e>
                <m:r>
                  <w:rPr>
                    <w:rFonts w:ascii="Cambria Math" w:hAnsi="Cambria Math"/>
                  </w:rPr>
                  <m:t>β</m:t>
                </m:r>
              </m:e>
              <m:e>
                <m:r>
                  <w:rPr>
                    <w:rFonts w:ascii="Cambria Math" w:hAnsi="Cambria Math"/>
                  </w:rPr>
                  <m:t>=</m:t>
                </m:r>
              </m:e>
              <m:e>
                <m:f>
                  <m:fPr>
                    <m:ctrlPr>
                      <w:rPr>
                        <w:rFonts w:ascii="Cambria Math" w:hAnsi="Cambria Math"/>
                        <w:i/>
                      </w:rPr>
                    </m:ctrlPr>
                  </m:fPr>
                  <m:num>
                    <m:sSup>
                      <m:sSupPr>
                        <m:ctrlPr>
                          <w:rPr>
                            <w:rFonts w:ascii="Cambria Math" w:hAnsi="Cambria Math"/>
                            <w:i/>
                          </w:rPr>
                        </m:ctrlPr>
                      </m:sSupPr>
                      <m:e>
                        <m:r>
                          <w:rPr>
                            <w:rFonts w:ascii="Cambria Math" w:hAnsi="Cambria Math"/>
                          </w:rPr>
                          <m:t>(1-m)(m-</m:t>
                        </m:r>
                        <m:sSup>
                          <m:sSupPr>
                            <m:ctrlPr>
                              <w:rPr>
                                <w:rFonts w:ascii="Cambria Math" w:hAnsi="Cambria Math"/>
                                <w:i/>
                              </w:rPr>
                            </m:ctrlPr>
                          </m:sSupPr>
                          <m:e>
                            <m:r>
                              <w:rPr>
                                <w:rFonts w:ascii="Cambria Math" w:hAnsi="Cambria Math"/>
                              </w:rPr>
                              <m:t>m</m:t>
                            </m:r>
                          </m:e>
                          <m:sup>
                            <m:r>
                              <w:rPr>
                                <w:rFonts w:ascii="Cambria Math" w:hAnsi="Cambria Math"/>
                              </w:rPr>
                              <m:t>2</m:t>
                            </m:r>
                          </m:sup>
                        </m:sSup>
                        <m:r>
                          <w:rPr>
                            <w:rFonts w:ascii="Cambria Math" w:hAnsi="Cambria Math"/>
                          </w:rPr>
                          <m:t>-se</m:t>
                        </m:r>
                      </m:e>
                      <m:sup>
                        <m:r>
                          <w:rPr>
                            <w:rFonts w:ascii="Cambria Math" w:hAnsi="Cambria Math"/>
                          </w:rPr>
                          <m:t>2</m:t>
                        </m:r>
                      </m:sup>
                    </m:sSup>
                    <m:r>
                      <w:rPr>
                        <w:rFonts w:ascii="Cambria Math" w:hAnsi="Cambria Math"/>
                      </w:rPr>
                      <m:t>)</m:t>
                    </m:r>
                  </m:num>
                  <m:den>
                    <m:sSup>
                      <m:sSupPr>
                        <m:ctrlPr>
                          <w:rPr>
                            <w:rFonts w:ascii="Cambria Math" w:hAnsi="Cambria Math"/>
                            <w:i/>
                          </w:rPr>
                        </m:ctrlPr>
                      </m:sSupPr>
                      <m:e>
                        <m:r>
                          <w:rPr>
                            <w:rFonts w:ascii="Cambria Math" w:hAnsi="Cambria Math"/>
                          </w:rPr>
                          <m:t>se</m:t>
                        </m:r>
                      </m:e>
                      <m:sup>
                        <m:r>
                          <w:rPr>
                            <w:rFonts w:ascii="Cambria Math" w:hAnsi="Cambria Math"/>
                          </w:rPr>
                          <m:t>2</m:t>
                        </m:r>
                      </m:sup>
                    </m:sSup>
                  </m:den>
                </m:f>
              </m:e>
            </m:mr>
          </m:m>
        </m:oMath>
      </m:oMathPara>
    </w:p>
    <w:p w:rsidR="00DE3E88" w:rsidRDefault="00DE3E88" w:rsidP="00475AB9"/>
    <w:p w:rsidR="007D7893" w:rsidRDefault="00DE3E88" w:rsidP="00DE3E88">
      <w:pPr>
        <w:pStyle w:val="Heading3"/>
      </w:pPr>
      <w:r>
        <w:t>Health Related Quality of life</w:t>
      </w:r>
    </w:p>
    <w:p w:rsidR="00475AB9" w:rsidRDefault="00B86A7F" w:rsidP="00475AB9">
      <w:r>
        <w:t xml:space="preserve">Because utilities or health-related quality of life (QoL) weights in this analysis are assumed to be between 0 and 1, we used a beta distribution to represent uncertainty in QoL parameters. </w:t>
      </w:r>
      <w:r w:rsidR="00DE3E88">
        <w:t xml:space="preserve"> </w:t>
      </w:r>
      <w:r w:rsidR="00475AB9">
        <w:t>Base case values were used as mean of beta distribution and standard error was estimated using equation 1 above. The upper and lower confidence limits for Hepatitis A QALY were 0.6076 and 0.6819 respectively</w:t>
      </w:r>
      <w:r w:rsidR="00475AB9">
        <w:fldChar w:fldCharType="begin" w:fldLock="1"/>
      </w:r>
      <w:r w:rsidR="00391DEB">
        <w:instrText>ADDIN CSL_CITATION { "citationItems" : [ { "id" : "ITEM-1", "itemData" : { "author" : [ { "dropping-particle" : "", "family" : "Luyten", "given" : "Jeroen", "non-dropping-particle" : "", "parse-names" : false, "suffix" : "" }, { "dropping-particle" : "", "family" : "Marais", "given" : "Christiaan", "non-dropping-particle" : "", "parse-names" : false, "suffix" : "" }, { "dropping-particle" : "", "family" : "Hens", "given" : "Niel", "non-dropping-particle" : "", "parse-names" : false, "suffix" : "" }, { "dropping-particle" : "", "family" : "Schrijver", "given" : "Koen", "non-dropping-particle" : "De", "parse-names" : false, "suffix" : "" }, { "dropping-particle" : "", "family" : "Beutels", "given" : "Philippe", "non-dropping-particle" : "", "parse-names" : false, "suffix" : "" } ], "container-title" : "Value in Health", "id" : "ITEM-1", "issue" : "2", "issued" : { "date-parts" : [ [ "2011" ] ] }, "page" : "282-290", "publisher" : "Elsevier", "title" : "Imputing QALYs from single time point health state descriptions on the EQ-5D and the SF-6D: a comparison of methods for hepatitis A patients", "type" : "article-journal", "volume" : "14" }, "uris" : [ "http://www.mendeley.com/documents/?uuid=41afe46a-9c14-4c87-b8d2-0ed322881c51" ] } ], "mendeley" : { "formattedCitation" : "[21]", "plainTextFormattedCitation" : "[21]", "previouslyFormattedCitation" : "[20]" }, "properties" : { "noteIndex" : 0 }, "schema" : "https://github.com/citation-style-language/schema/raw/master/csl-citation.json" }</w:instrText>
      </w:r>
      <w:r w:rsidR="00475AB9">
        <w:fldChar w:fldCharType="separate"/>
      </w:r>
      <w:r w:rsidR="00391DEB" w:rsidRPr="00391DEB">
        <w:rPr>
          <w:noProof/>
        </w:rPr>
        <w:t>[21]</w:t>
      </w:r>
      <w:r w:rsidR="00475AB9">
        <w:fldChar w:fldCharType="end"/>
      </w:r>
      <w:r w:rsidR="00475AB9">
        <w:t>. For QALY of liver transplant patients, we used 0.84 and 0.63 as upper and lower confidence limits</w:t>
      </w:r>
      <w:r w:rsidR="00475AB9">
        <w:fldChar w:fldCharType="begin" w:fldLock="1"/>
      </w:r>
      <w:r w:rsidR="00391DEB">
        <w:instrText>ADDIN CSL_CITATION { "citationItems" : [ { "id" : "ITEM-1", "itemData" : { "author" : [ { "dropping-particle" : "", "family" : "Chong", "given" : "Christopher A K Y", "non-dropping-particle" : "", "parse-names" : false, "suffix" : "" }, { "dropping-particle" : "", "family" : "Gulamhussein", "given" : "Anar", "non-dropping-particle" : "", "parse-names" : false, "suffix" : "" }, { "dropping-particle" : "", "family" : "Heathcote", "given" : "E Jenny", "non-dropping-particle" : "", "parse-names" : false, "suffix" : "" }, { "dropping-particle" : "", "family" : "Lilly", "given" : "Les", "non-dropping-particle" : "", "parse-names" : false, "suffix" : "" }, { "dropping-particle" : "", "family" : "Sherman", "given" : "Morris", "non-dropping-particle" : "", "parse-names" : false, "suffix" : "" }, { "dropping-particle" : "", "family" : "Naglie", "given" : "Gary", "non-dropping-particle" : "", "parse-names" : false, "suffix" : "" }, { "dropping-particle" : "", "family" : "Krahn", "given" : "Murray", "non-dropping-particle" : "", "parse-names" : false, "suffix" : "" } ], "container-title" : "The American journal of gastroenterology", "id" : "ITEM-1", "issue" : "3", "issued" : { "date-parts" : [ [ "2003" ] ] }, "page" : "630-638", "publisher" : "Nature Publishing Group", "title" : "Health-state utilities and quality of life in hepatitis C patients", "type" : "article-journal", "volume" : "98" }, "uris" : [ "http://www.mendeley.com/documents/?uuid=431f087c-c921-4ca9-9a8c-14c67f98defd" ] } ], "mendeley" : { "formattedCitation" : "[22]", "plainTextFormattedCitation" : "[22]", "previouslyFormattedCitation" : "[21]" }, "properties" : { "noteIndex" : 0 }, "schema" : "https://github.com/citation-style-language/schema/raw/master/csl-citation.json" }</w:instrText>
      </w:r>
      <w:r w:rsidR="00475AB9">
        <w:fldChar w:fldCharType="separate"/>
      </w:r>
      <w:r w:rsidR="00391DEB" w:rsidRPr="00391DEB">
        <w:rPr>
          <w:noProof/>
        </w:rPr>
        <w:t>[22]</w:t>
      </w:r>
      <w:r w:rsidR="00475AB9">
        <w:fldChar w:fldCharType="end"/>
      </w:r>
      <w:r w:rsidR="00475AB9">
        <w:t>.</w:t>
      </w:r>
    </w:p>
    <w:p w:rsidR="00B86A7F" w:rsidRPr="007D7893" w:rsidRDefault="00475AB9" w:rsidP="00DE3E88">
      <w:pPr>
        <w:pStyle w:val="Heading3"/>
      </w:pPr>
      <w:r>
        <w:t>Distribution of vaccine uptake and adherence rates</w:t>
      </w:r>
    </w:p>
    <w:p w:rsidR="00F8453F" w:rsidRDefault="00475AB9" w:rsidP="00475AB9">
      <w:r w:rsidRPr="00475AB9">
        <w:t xml:space="preserve">In the model, vaccine uptake (first dose) </w:t>
      </w:r>
      <w:r w:rsidR="00051E81">
        <w:t xml:space="preserve">and adherence (second dose) </w:t>
      </w:r>
      <w:r w:rsidRPr="00475AB9">
        <w:t>w</w:t>
      </w:r>
      <w:r w:rsidR="00051E81">
        <w:t>ere</w:t>
      </w:r>
      <w:r w:rsidRPr="00475AB9">
        <w:t xml:space="preserve"> represented by a proportion of persons moving to older age groups. This proportion can take a value between 0 and 1. Thus, the beta distribution is a reasonable choice for representing uncertaint</w:t>
      </w:r>
      <w:r w:rsidR="00DE3E88">
        <w:t>y in vaccine uptake parameters.  We assumed a lower limit of 0.</w:t>
      </w:r>
      <w:r w:rsidR="009E75CD">
        <w:t>8</w:t>
      </w:r>
      <w:r w:rsidR="00DE3E88">
        <w:t xml:space="preserve">, upper limit of 0.97, and a mean of </w:t>
      </w:r>
      <w:r w:rsidR="009E75CD">
        <w:t>0.9.  For the proportion receiving second dose given the first dose we assumed a lower limit of 0.7, upper limit of 0.97, and a mean of 0.95.</w:t>
      </w:r>
    </w:p>
    <w:p w:rsidR="009E75CD" w:rsidRDefault="009E75CD" w:rsidP="009E75CD">
      <w:pPr>
        <w:pStyle w:val="Heading2"/>
      </w:pPr>
      <w:r>
        <w:lastRenderedPageBreak/>
        <w:t>Dirichlet distributions</w:t>
      </w:r>
    </w:p>
    <w:p w:rsidR="009E75CD" w:rsidRDefault="009E75CD" w:rsidP="009E75CD">
      <w:r>
        <w:t>The variability in health outcomes from Hepatitis A was modeled using a Dirichlet distribution. We used the probabilities of hospitalization, fulminant disease, death from liver transplant, and liver transplant from b</w:t>
      </w:r>
      <w:r w:rsidR="006C6FC7">
        <w:t>ase case to derive numbers for D</w:t>
      </w:r>
      <w:r>
        <w:t>irichlet distribution. We used the age-specific data derived from conditional probabilities in Rein, et al.</w:t>
      </w:r>
      <w:r w:rsidR="009217B1">
        <w:t xml:space="preserve"> </w:t>
      </w:r>
      <w:r w:rsidR="00243F90">
        <w:fldChar w:fldCharType="begin" w:fldLock="1"/>
      </w:r>
      <w:r w:rsidR="00391DEB">
        <w:instrText>ADDIN CSL_CITATION { "citationItems" : [ { "id" : "ITEM-1", "itemData" : { "author" : [ { "dropping-particle" : "", "family" : "Rein", "given" : "David B", "non-dropping-particle" : "", "parse-names" : false, "suffix" : "" }, { "dropping-particle" : "", "family" : "Hicks", "given" : "Katherine A", "non-dropping-particle" : "", "parse-names" : false, "suffix" : "" }, { "dropping-particle" : "", "family" : "Wirth", "given" : "Kathleen E", "non-dropping-particle" : "", "parse-names" : false, "suffix" : "" }, { "dropping-particle" : "", "family" : "Billah", "given" : "Kaafee", "non-dropping-particle" : "", "parse-names" : false, "suffix" : "" }, { "dropping-particle" : "", "family" : "Finelli", "given" : "Lyn", "non-dropping-particle" : "", "parse-names" : false, "suffix" : "" }, { "dropping-particle" : "", "family" : "Fiore", "given" : "Anthony E", "non-dropping-particle" : "", "parse-names" : false, "suffix" : "" }, { "dropping-particle" : "", "family" : "Hoerger", "given" : "Thomas J", "non-dropping-particle" : "", "parse-names" : false, "suffix" : "" }, { "dropping-particle" : "", "family" : "Bell", "given" : "Beth P", "non-dropping-particle" : "", "parse-names" : false, "suffix" : "" }, { "dropping-particle" : "", "family" : "Armstrong", "given" : "Gregory L", "non-dropping-particle" : "", "parse-names" : false, "suffix" : "" } ], "container-title" : "Pediatrics", "id" : "ITEM-1", "issue" : "1", "issued" : { "date-parts" : [ [ "2007" ] ] }, "page" : "e12-e21", "title" : "Cost-effectiveness of routine childhood vaccination for hepatitis A in the United States", "type" : "article-journal", "volume" : "119" }, "uris" : [ "http://www.mendeley.com/documents/?uuid=770ef851-e841-4ab4-873b-6aabe31d11f7" ] } ], "mendeley" : { "formattedCitation" : "[19]", "plainTextFormattedCitation" : "[19]", "previouslyFormattedCitation" : "[22]" }, "properties" : { "noteIndex" : 0 }, "schema" : "https://github.com/citation-style-language/schema/raw/master/csl-citation.json" }</w:instrText>
      </w:r>
      <w:r w:rsidR="00243F90">
        <w:fldChar w:fldCharType="separate"/>
      </w:r>
      <w:r w:rsidR="00391DEB" w:rsidRPr="00391DEB">
        <w:rPr>
          <w:noProof/>
        </w:rPr>
        <w:t>[19]</w:t>
      </w:r>
      <w:r w:rsidR="00243F90">
        <w:fldChar w:fldCharType="end"/>
      </w:r>
      <w:r>
        <w:t xml:space="preserve">.  All inpatient probabilities were modified by dividing by the hospitalization parameter, </w:t>
      </w:r>
      <w:r>
        <w:rPr>
          <w:rFonts w:cstheme="minorHAnsi"/>
        </w:rPr>
        <w:t>ρ</w:t>
      </w:r>
      <w:r>
        <w:t xml:space="preserve">’, discussed above.  </w:t>
      </w:r>
      <w:r w:rsidR="00CC3DA6">
        <w:t xml:space="preserve">These values were used as medians to determine the parameters for the distributions.  </w:t>
      </w:r>
      <w:r>
        <w:t xml:space="preserve">The resulting </w:t>
      </w:r>
      <w:r w:rsidR="00CC3DA6">
        <w:t>Dirichlet</w:t>
      </w:r>
      <w:r>
        <w:t xml:space="preserve"> distributions are a (</w:t>
      </w:r>
      <w:r w:rsidR="00CC3DA6">
        <w:fldChar w:fldCharType="begin"/>
      </w:r>
      <w:r w:rsidR="00CC3DA6">
        <w:instrText xml:space="preserve"> REF _Ref437874481 \h </w:instrText>
      </w:r>
      <w:r w:rsidR="00CC3DA6">
        <w:fldChar w:fldCharType="separate"/>
      </w:r>
      <w:r w:rsidR="00722964">
        <w:t xml:space="preserve">Table </w:t>
      </w:r>
      <w:r w:rsidR="00722964">
        <w:rPr>
          <w:noProof/>
        </w:rPr>
        <w:t>3</w:t>
      </w:r>
      <w:r w:rsidR="00CC3DA6">
        <w:fldChar w:fldCharType="end"/>
      </w:r>
      <w:r>
        <w:t>).</w:t>
      </w:r>
    </w:p>
    <w:p w:rsidR="00CC3DA6" w:rsidRDefault="00CC3DA6" w:rsidP="00CC3DA6">
      <w:pPr>
        <w:pStyle w:val="Caption"/>
        <w:keepNext/>
      </w:pPr>
      <w:bookmarkStart w:id="3" w:name="_Ref437874481"/>
      <w:r>
        <w:t xml:space="preserve">Table </w:t>
      </w:r>
      <w:r w:rsidR="00DE10EC">
        <w:fldChar w:fldCharType="begin"/>
      </w:r>
      <w:r w:rsidR="00DE10EC">
        <w:instrText xml:space="preserve"> SEQ Table \* ARABIC </w:instrText>
      </w:r>
      <w:r w:rsidR="00DE10EC">
        <w:fldChar w:fldCharType="separate"/>
      </w:r>
      <w:r w:rsidR="00722964">
        <w:rPr>
          <w:noProof/>
        </w:rPr>
        <w:t>3</w:t>
      </w:r>
      <w:r w:rsidR="00DE10EC">
        <w:rPr>
          <w:noProof/>
        </w:rPr>
        <w:fldChar w:fldCharType="end"/>
      </w:r>
      <w:bookmarkEnd w:id="3"/>
      <w:r>
        <w:t>: parameters for the Dirichlet distributions.</w:t>
      </w:r>
    </w:p>
    <w:tbl>
      <w:tblPr>
        <w:tblW w:w="9255" w:type="dxa"/>
        <w:tblLook w:val="04A0" w:firstRow="1" w:lastRow="0" w:firstColumn="1" w:lastColumn="0" w:noHBand="0" w:noVBand="1"/>
      </w:tblPr>
      <w:tblGrid>
        <w:gridCol w:w="945"/>
        <w:gridCol w:w="960"/>
        <w:gridCol w:w="1356"/>
        <w:gridCol w:w="1497"/>
        <w:gridCol w:w="1297"/>
        <w:gridCol w:w="1011"/>
        <w:gridCol w:w="2189"/>
      </w:tblGrid>
      <w:tr w:rsidR="00CC3DA6" w:rsidTr="00CC3DA6">
        <w:trPr>
          <w:trHeight w:val="289"/>
        </w:trPr>
        <w:tc>
          <w:tcPr>
            <w:tcW w:w="945" w:type="dxa"/>
          </w:tcPr>
          <w:p w:rsidR="00CC3DA6" w:rsidRDefault="00CC3DA6">
            <w:pPr>
              <w:spacing w:line="360" w:lineRule="auto"/>
            </w:pPr>
          </w:p>
        </w:tc>
        <w:tc>
          <w:tcPr>
            <w:tcW w:w="960" w:type="dxa"/>
            <w:noWrap/>
            <w:vAlign w:val="center"/>
            <w:hideMark/>
          </w:tcPr>
          <w:p w:rsidR="00CC3DA6" w:rsidRDefault="00CC3DA6">
            <w:pPr>
              <w:spacing w:line="360" w:lineRule="auto"/>
              <w:rPr>
                <w:rFonts w:eastAsia="Batang"/>
                <w:sz w:val="24"/>
                <w:szCs w:val="24"/>
                <w:lang w:eastAsia="ko-KR"/>
              </w:rPr>
            </w:pPr>
            <w:r>
              <w:t> </w:t>
            </w:r>
          </w:p>
        </w:tc>
        <w:tc>
          <w:tcPr>
            <w:tcW w:w="7350" w:type="dxa"/>
            <w:gridSpan w:val="5"/>
            <w:noWrap/>
            <w:vAlign w:val="center"/>
            <w:hideMark/>
          </w:tcPr>
          <w:p w:rsidR="00CC3DA6" w:rsidRDefault="00CC3DA6">
            <w:pPr>
              <w:spacing w:line="360" w:lineRule="auto"/>
              <w:jc w:val="center"/>
              <w:rPr>
                <w:rFonts w:eastAsia="Batang"/>
                <w:sz w:val="24"/>
                <w:szCs w:val="24"/>
                <w:lang w:eastAsia="ko-KR"/>
              </w:rPr>
            </w:pPr>
            <w:r>
              <w:t>Numbers for Dirichlet distribution</w:t>
            </w:r>
          </w:p>
        </w:tc>
      </w:tr>
      <w:tr w:rsidR="00CC3DA6" w:rsidTr="00CC3DA6">
        <w:trPr>
          <w:trHeight w:val="360"/>
        </w:trPr>
        <w:tc>
          <w:tcPr>
            <w:tcW w:w="945" w:type="dxa"/>
          </w:tcPr>
          <w:p w:rsidR="00CC3DA6" w:rsidRDefault="00CC3DA6">
            <w:pPr>
              <w:spacing w:line="360" w:lineRule="auto"/>
            </w:pPr>
          </w:p>
        </w:tc>
        <w:tc>
          <w:tcPr>
            <w:tcW w:w="960" w:type="dxa"/>
            <w:noWrap/>
            <w:vAlign w:val="center"/>
            <w:hideMark/>
          </w:tcPr>
          <w:p w:rsidR="00CC3DA6" w:rsidRDefault="00CC3DA6">
            <w:pPr>
              <w:spacing w:line="360" w:lineRule="auto"/>
              <w:rPr>
                <w:rFonts w:eastAsia="Batang"/>
                <w:sz w:val="24"/>
                <w:szCs w:val="24"/>
                <w:lang w:eastAsia="ko-KR"/>
              </w:rPr>
            </w:pPr>
            <w:r>
              <w:t> </w:t>
            </w:r>
          </w:p>
        </w:tc>
        <w:tc>
          <w:tcPr>
            <w:tcW w:w="1356" w:type="dxa"/>
            <w:noWrap/>
            <w:vAlign w:val="center"/>
            <w:hideMark/>
          </w:tcPr>
          <w:p w:rsidR="00CC3DA6" w:rsidRPr="00243F90" w:rsidRDefault="00CC3DA6">
            <w:pPr>
              <w:spacing w:line="360" w:lineRule="auto"/>
              <w:jc w:val="center"/>
              <w:rPr>
                <w:b/>
                <w:sz w:val="18"/>
                <w:szCs w:val="18"/>
              </w:rPr>
            </w:pPr>
            <w:r w:rsidRPr="00243F90">
              <w:rPr>
                <w:b/>
                <w:sz w:val="18"/>
                <w:szCs w:val="18"/>
              </w:rPr>
              <w:t>Outpatient</w:t>
            </w:r>
          </w:p>
        </w:tc>
        <w:tc>
          <w:tcPr>
            <w:tcW w:w="1497" w:type="dxa"/>
            <w:noWrap/>
            <w:vAlign w:val="center"/>
            <w:hideMark/>
          </w:tcPr>
          <w:p w:rsidR="00CC3DA6" w:rsidRPr="00243F90" w:rsidRDefault="00CC3DA6">
            <w:pPr>
              <w:spacing w:line="360" w:lineRule="auto"/>
              <w:jc w:val="center"/>
              <w:rPr>
                <w:b/>
                <w:sz w:val="18"/>
                <w:szCs w:val="18"/>
              </w:rPr>
            </w:pPr>
            <w:r w:rsidRPr="00243F90">
              <w:rPr>
                <w:b/>
                <w:sz w:val="18"/>
                <w:szCs w:val="18"/>
              </w:rPr>
              <w:t>Hospitalized</w:t>
            </w:r>
          </w:p>
        </w:tc>
        <w:tc>
          <w:tcPr>
            <w:tcW w:w="1297" w:type="dxa"/>
            <w:noWrap/>
            <w:vAlign w:val="center"/>
            <w:hideMark/>
          </w:tcPr>
          <w:p w:rsidR="00CC3DA6" w:rsidRPr="00243F90" w:rsidRDefault="00CC3DA6">
            <w:pPr>
              <w:spacing w:line="360" w:lineRule="auto"/>
              <w:jc w:val="center"/>
              <w:rPr>
                <w:b/>
                <w:sz w:val="18"/>
                <w:szCs w:val="18"/>
              </w:rPr>
            </w:pPr>
            <w:r w:rsidRPr="00243F90">
              <w:rPr>
                <w:b/>
                <w:sz w:val="18"/>
                <w:szCs w:val="18"/>
              </w:rPr>
              <w:t>Fulminant</w:t>
            </w:r>
          </w:p>
        </w:tc>
        <w:tc>
          <w:tcPr>
            <w:tcW w:w="1011" w:type="dxa"/>
            <w:noWrap/>
            <w:vAlign w:val="center"/>
            <w:hideMark/>
          </w:tcPr>
          <w:p w:rsidR="00CC3DA6" w:rsidRPr="00243F90" w:rsidRDefault="00CC3DA6">
            <w:pPr>
              <w:spacing w:line="360" w:lineRule="auto"/>
              <w:jc w:val="center"/>
              <w:rPr>
                <w:b/>
                <w:sz w:val="18"/>
                <w:szCs w:val="18"/>
              </w:rPr>
            </w:pPr>
            <w:r w:rsidRPr="00243F90">
              <w:rPr>
                <w:b/>
                <w:sz w:val="18"/>
                <w:szCs w:val="18"/>
              </w:rPr>
              <w:t>Death</w:t>
            </w:r>
          </w:p>
        </w:tc>
        <w:tc>
          <w:tcPr>
            <w:tcW w:w="2189" w:type="dxa"/>
            <w:noWrap/>
            <w:vAlign w:val="center"/>
            <w:hideMark/>
          </w:tcPr>
          <w:p w:rsidR="00CC3DA6" w:rsidRPr="00243F90" w:rsidRDefault="00CC3DA6">
            <w:pPr>
              <w:spacing w:line="360" w:lineRule="auto"/>
              <w:jc w:val="center"/>
              <w:rPr>
                <w:b/>
                <w:sz w:val="18"/>
                <w:szCs w:val="18"/>
              </w:rPr>
            </w:pPr>
            <w:r w:rsidRPr="00243F90">
              <w:rPr>
                <w:b/>
                <w:sz w:val="18"/>
                <w:szCs w:val="18"/>
              </w:rPr>
              <w:t>Liver transplant</w:t>
            </w:r>
          </w:p>
        </w:tc>
      </w:tr>
      <w:tr w:rsidR="00CC3DA6" w:rsidTr="00CC3DA6">
        <w:trPr>
          <w:trHeight w:val="288"/>
        </w:trPr>
        <w:tc>
          <w:tcPr>
            <w:tcW w:w="945" w:type="dxa"/>
          </w:tcPr>
          <w:p w:rsidR="00CC3DA6" w:rsidRPr="00243F90" w:rsidRDefault="00CC3DA6">
            <w:pPr>
              <w:spacing w:line="360" w:lineRule="auto"/>
              <w:rPr>
                <w:b/>
                <w:sz w:val="18"/>
                <w:szCs w:val="18"/>
              </w:rPr>
            </w:pPr>
            <w:r w:rsidRPr="00243F90">
              <w:rPr>
                <w:b/>
                <w:sz w:val="18"/>
                <w:szCs w:val="18"/>
              </w:rPr>
              <w:t>D1</w:t>
            </w:r>
          </w:p>
        </w:tc>
        <w:tc>
          <w:tcPr>
            <w:tcW w:w="960" w:type="dxa"/>
            <w:noWrap/>
            <w:vAlign w:val="center"/>
            <w:hideMark/>
          </w:tcPr>
          <w:p w:rsidR="00CC3DA6" w:rsidRPr="00243F90" w:rsidRDefault="00CC3DA6">
            <w:pPr>
              <w:spacing w:line="360" w:lineRule="auto"/>
              <w:rPr>
                <w:rFonts w:eastAsia="Batang"/>
                <w:b/>
                <w:sz w:val="18"/>
                <w:szCs w:val="18"/>
                <w:lang w:eastAsia="ko-KR"/>
              </w:rPr>
            </w:pPr>
            <w:r w:rsidRPr="00243F90">
              <w:rPr>
                <w:b/>
                <w:sz w:val="18"/>
                <w:szCs w:val="18"/>
              </w:rPr>
              <w:sym w:font="Symbol" w:char="F0A3"/>
            </w:r>
            <w:r w:rsidRPr="00243F90">
              <w:rPr>
                <w:b/>
                <w:sz w:val="18"/>
                <w:szCs w:val="18"/>
              </w:rPr>
              <w:t>4</w:t>
            </w:r>
          </w:p>
        </w:tc>
        <w:tc>
          <w:tcPr>
            <w:tcW w:w="1356" w:type="dxa"/>
            <w:noWrap/>
            <w:vAlign w:val="center"/>
            <w:hideMark/>
          </w:tcPr>
          <w:p w:rsidR="00CC3DA6" w:rsidRPr="00243F90" w:rsidRDefault="00CC3DA6" w:rsidP="00CC3DA6">
            <w:pPr>
              <w:spacing w:line="360" w:lineRule="auto"/>
              <w:jc w:val="center"/>
              <w:rPr>
                <w:sz w:val="18"/>
                <w:szCs w:val="18"/>
              </w:rPr>
            </w:pPr>
            <w:r w:rsidRPr="00243F90">
              <w:rPr>
                <w:sz w:val="18"/>
                <w:szCs w:val="18"/>
              </w:rPr>
              <w:t>97.0207</w:t>
            </w:r>
          </w:p>
        </w:tc>
        <w:tc>
          <w:tcPr>
            <w:tcW w:w="1497" w:type="dxa"/>
            <w:noWrap/>
            <w:vAlign w:val="center"/>
            <w:hideMark/>
          </w:tcPr>
          <w:p w:rsidR="00CC3DA6" w:rsidRPr="00243F90" w:rsidRDefault="00CC3DA6" w:rsidP="00CC3DA6">
            <w:pPr>
              <w:spacing w:line="360" w:lineRule="auto"/>
              <w:jc w:val="center"/>
              <w:rPr>
                <w:sz w:val="18"/>
                <w:szCs w:val="18"/>
              </w:rPr>
            </w:pPr>
            <w:r w:rsidRPr="00243F90">
              <w:rPr>
                <w:sz w:val="18"/>
                <w:szCs w:val="18"/>
              </w:rPr>
              <w:t>0.385265</w:t>
            </w:r>
          </w:p>
        </w:tc>
        <w:tc>
          <w:tcPr>
            <w:tcW w:w="1297" w:type="dxa"/>
            <w:noWrap/>
            <w:vAlign w:val="center"/>
            <w:hideMark/>
          </w:tcPr>
          <w:p w:rsidR="00CC3DA6" w:rsidRPr="00243F90" w:rsidRDefault="00CC3DA6" w:rsidP="00CC3DA6">
            <w:pPr>
              <w:spacing w:line="360" w:lineRule="auto"/>
              <w:jc w:val="center"/>
              <w:rPr>
                <w:sz w:val="18"/>
                <w:szCs w:val="18"/>
              </w:rPr>
            </w:pPr>
            <w:r w:rsidRPr="00243F90">
              <w:rPr>
                <w:sz w:val="18"/>
                <w:szCs w:val="18"/>
              </w:rPr>
              <w:t>0.00456518</w:t>
            </w:r>
          </w:p>
        </w:tc>
        <w:tc>
          <w:tcPr>
            <w:tcW w:w="1011" w:type="dxa"/>
            <w:noWrap/>
            <w:vAlign w:val="center"/>
            <w:hideMark/>
          </w:tcPr>
          <w:p w:rsidR="00CC3DA6" w:rsidRPr="00243F90" w:rsidRDefault="00CC3DA6" w:rsidP="00CC3DA6">
            <w:pPr>
              <w:spacing w:line="360" w:lineRule="auto"/>
              <w:jc w:val="center"/>
              <w:rPr>
                <w:sz w:val="18"/>
                <w:szCs w:val="18"/>
              </w:rPr>
            </w:pPr>
            <w:r w:rsidRPr="00243F90">
              <w:rPr>
                <w:sz w:val="18"/>
                <w:szCs w:val="18"/>
              </w:rPr>
              <w:t>0.031484</w:t>
            </w:r>
          </w:p>
        </w:tc>
        <w:tc>
          <w:tcPr>
            <w:tcW w:w="2189" w:type="dxa"/>
            <w:noWrap/>
            <w:vAlign w:val="center"/>
            <w:hideMark/>
          </w:tcPr>
          <w:p w:rsidR="00CC3DA6" w:rsidRPr="00243F90" w:rsidRDefault="00CC3DA6" w:rsidP="00CC3DA6">
            <w:pPr>
              <w:spacing w:line="360" w:lineRule="auto"/>
              <w:jc w:val="center"/>
              <w:rPr>
                <w:sz w:val="18"/>
                <w:szCs w:val="18"/>
              </w:rPr>
            </w:pPr>
            <w:r w:rsidRPr="00243F90">
              <w:rPr>
                <w:sz w:val="18"/>
                <w:szCs w:val="18"/>
              </w:rPr>
              <w:t>0.00590325</w:t>
            </w:r>
          </w:p>
        </w:tc>
      </w:tr>
      <w:tr w:rsidR="00CC3DA6" w:rsidTr="00CC3DA6">
        <w:trPr>
          <w:trHeight w:val="288"/>
        </w:trPr>
        <w:tc>
          <w:tcPr>
            <w:tcW w:w="945" w:type="dxa"/>
          </w:tcPr>
          <w:p w:rsidR="00CC3DA6" w:rsidRPr="00243F90" w:rsidRDefault="00CC3DA6">
            <w:pPr>
              <w:spacing w:line="360" w:lineRule="auto"/>
              <w:rPr>
                <w:b/>
                <w:sz w:val="18"/>
                <w:szCs w:val="18"/>
              </w:rPr>
            </w:pPr>
            <w:r w:rsidRPr="00243F90">
              <w:rPr>
                <w:b/>
                <w:sz w:val="18"/>
                <w:szCs w:val="18"/>
              </w:rPr>
              <w:t>D2</w:t>
            </w:r>
          </w:p>
        </w:tc>
        <w:tc>
          <w:tcPr>
            <w:tcW w:w="960" w:type="dxa"/>
            <w:noWrap/>
            <w:vAlign w:val="center"/>
            <w:hideMark/>
          </w:tcPr>
          <w:p w:rsidR="00CC3DA6" w:rsidRPr="00243F90" w:rsidRDefault="00CC3DA6">
            <w:pPr>
              <w:spacing w:line="360" w:lineRule="auto"/>
              <w:rPr>
                <w:rFonts w:eastAsia="Batang"/>
                <w:b/>
                <w:sz w:val="18"/>
                <w:szCs w:val="18"/>
                <w:lang w:eastAsia="ko-KR"/>
              </w:rPr>
            </w:pPr>
            <w:r w:rsidRPr="00243F90">
              <w:rPr>
                <w:b/>
                <w:sz w:val="18"/>
                <w:szCs w:val="18"/>
              </w:rPr>
              <w:t>5–14</w:t>
            </w:r>
          </w:p>
        </w:tc>
        <w:tc>
          <w:tcPr>
            <w:tcW w:w="1356" w:type="dxa"/>
            <w:noWrap/>
            <w:vAlign w:val="center"/>
            <w:hideMark/>
          </w:tcPr>
          <w:p w:rsidR="00CC3DA6" w:rsidRDefault="00CC3DA6" w:rsidP="00CC3DA6">
            <w:pPr>
              <w:spacing w:line="360" w:lineRule="auto"/>
              <w:jc w:val="center"/>
              <w:rPr>
                <w:rFonts w:eastAsia="Batang"/>
                <w:sz w:val="24"/>
                <w:szCs w:val="24"/>
                <w:lang w:eastAsia="ko-KR"/>
              </w:rPr>
            </w:pPr>
            <w:r w:rsidRPr="006B1B58">
              <w:rPr>
                <w:sz w:val="18"/>
                <w:szCs w:val="18"/>
              </w:rPr>
              <w:t>349.97</w:t>
            </w:r>
          </w:p>
        </w:tc>
        <w:tc>
          <w:tcPr>
            <w:tcW w:w="1497" w:type="dxa"/>
            <w:noWrap/>
            <w:vAlign w:val="center"/>
            <w:hideMark/>
          </w:tcPr>
          <w:p w:rsidR="00CC3DA6" w:rsidRDefault="00CC3DA6" w:rsidP="00CC3DA6">
            <w:pPr>
              <w:spacing w:line="360" w:lineRule="auto"/>
              <w:jc w:val="center"/>
              <w:rPr>
                <w:rFonts w:eastAsia="Batang"/>
                <w:sz w:val="24"/>
                <w:szCs w:val="24"/>
                <w:lang w:eastAsia="ko-KR"/>
              </w:rPr>
            </w:pPr>
            <w:r w:rsidRPr="006B1B58">
              <w:rPr>
                <w:sz w:val="18"/>
                <w:szCs w:val="18"/>
              </w:rPr>
              <w:t>5.13289</w:t>
            </w:r>
          </w:p>
        </w:tc>
        <w:tc>
          <w:tcPr>
            <w:tcW w:w="1297" w:type="dxa"/>
            <w:noWrap/>
            <w:vAlign w:val="center"/>
            <w:hideMark/>
          </w:tcPr>
          <w:p w:rsidR="00CC3DA6" w:rsidRDefault="00CC3DA6" w:rsidP="00CC3DA6">
            <w:pPr>
              <w:spacing w:line="360" w:lineRule="auto"/>
              <w:jc w:val="center"/>
              <w:rPr>
                <w:rFonts w:eastAsia="Batang"/>
                <w:sz w:val="24"/>
                <w:szCs w:val="24"/>
                <w:lang w:eastAsia="ko-KR"/>
              </w:rPr>
            </w:pPr>
            <w:r w:rsidRPr="006B1B58">
              <w:rPr>
                <w:sz w:val="18"/>
                <w:szCs w:val="18"/>
              </w:rPr>
              <w:t>0.00218903</w:t>
            </w:r>
          </w:p>
        </w:tc>
        <w:tc>
          <w:tcPr>
            <w:tcW w:w="1011" w:type="dxa"/>
            <w:noWrap/>
            <w:vAlign w:val="center"/>
            <w:hideMark/>
          </w:tcPr>
          <w:p w:rsidR="00CC3DA6" w:rsidRDefault="00CC3DA6" w:rsidP="00CC3DA6">
            <w:pPr>
              <w:spacing w:line="360" w:lineRule="auto"/>
              <w:jc w:val="center"/>
              <w:rPr>
                <w:rFonts w:eastAsia="Batang"/>
                <w:sz w:val="24"/>
                <w:szCs w:val="24"/>
                <w:lang w:eastAsia="ko-KR"/>
              </w:rPr>
            </w:pPr>
            <w:r w:rsidRPr="006B1B58">
              <w:rPr>
                <w:sz w:val="18"/>
                <w:szCs w:val="18"/>
              </w:rPr>
              <w:t>0.0150967</w:t>
            </w:r>
          </w:p>
        </w:tc>
        <w:tc>
          <w:tcPr>
            <w:tcW w:w="2189" w:type="dxa"/>
            <w:noWrap/>
            <w:vAlign w:val="center"/>
            <w:hideMark/>
          </w:tcPr>
          <w:p w:rsidR="00CC3DA6" w:rsidRDefault="00CC3DA6" w:rsidP="00CC3DA6">
            <w:pPr>
              <w:spacing w:line="360" w:lineRule="auto"/>
              <w:jc w:val="center"/>
              <w:rPr>
                <w:rFonts w:eastAsia="Batang"/>
                <w:sz w:val="24"/>
                <w:szCs w:val="24"/>
                <w:lang w:eastAsia="ko-KR"/>
              </w:rPr>
            </w:pPr>
            <w:r w:rsidRPr="006B1B58">
              <w:rPr>
                <w:sz w:val="18"/>
                <w:szCs w:val="18"/>
              </w:rPr>
              <w:t>0.00283064</w:t>
            </w:r>
          </w:p>
        </w:tc>
      </w:tr>
      <w:tr w:rsidR="00CC3DA6" w:rsidTr="00CC3DA6">
        <w:trPr>
          <w:trHeight w:val="288"/>
        </w:trPr>
        <w:tc>
          <w:tcPr>
            <w:tcW w:w="945" w:type="dxa"/>
          </w:tcPr>
          <w:p w:rsidR="00CC3DA6" w:rsidRPr="00243F90" w:rsidRDefault="00CC3DA6">
            <w:pPr>
              <w:spacing w:line="360" w:lineRule="auto"/>
              <w:rPr>
                <w:b/>
                <w:sz w:val="18"/>
                <w:szCs w:val="18"/>
              </w:rPr>
            </w:pPr>
            <w:r w:rsidRPr="00243F90">
              <w:rPr>
                <w:b/>
                <w:sz w:val="18"/>
                <w:szCs w:val="18"/>
              </w:rPr>
              <w:t>D3</w:t>
            </w:r>
          </w:p>
        </w:tc>
        <w:tc>
          <w:tcPr>
            <w:tcW w:w="960" w:type="dxa"/>
            <w:noWrap/>
            <w:vAlign w:val="center"/>
            <w:hideMark/>
          </w:tcPr>
          <w:p w:rsidR="00CC3DA6" w:rsidRPr="00243F90" w:rsidRDefault="00CC3DA6">
            <w:pPr>
              <w:spacing w:line="360" w:lineRule="auto"/>
              <w:rPr>
                <w:rFonts w:eastAsia="Batang"/>
                <w:b/>
                <w:sz w:val="18"/>
                <w:szCs w:val="18"/>
                <w:lang w:eastAsia="ko-KR"/>
              </w:rPr>
            </w:pPr>
            <w:r w:rsidRPr="00243F90">
              <w:rPr>
                <w:b/>
                <w:sz w:val="18"/>
                <w:szCs w:val="18"/>
              </w:rPr>
              <w:t>15–39</w:t>
            </w:r>
          </w:p>
        </w:tc>
        <w:tc>
          <w:tcPr>
            <w:tcW w:w="1356" w:type="dxa"/>
            <w:noWrap/>
            <w:vAlign w:val="center"/>
            <w:hideMark/>
          </w:tcPr>
          <w:p w:rsidR="00CC3DA6" w:rsidRDefault="00CC3DA6" w:rsidP="00CC3DA6">
            <w:pPr>
              <w:spacing w:line="360" w:lineRule="auto"/>
              <w:jc w:val="center"/>
              <w:rPr>
                <w:rFonts w:eastAsia="Batang"/>
                <w:sz w:val="24"/>
                <w:szCs w:val="24"/>
                <w:lang w:eastAsia="ko-KR"/>
              </w:rPr>
            </w:pPr>
            <w:r w:rsidRPr="006B1B58">
              <w:rPr>
                <w:sz w:val="18"/>
                <w:szCs w:val="18"/>
              </w:rPr>
              <w:t>458.787</w:t>
            </w:r>
          </w:p>
        </w:tc>
        <w:tc>
          <w:tcPr>
            <w:tcW w:w="1497" w:type="dxa"/>
            <w:noWrap/>
            <w:vAlign w:val="center"/>
            <w:hideMark/>
          </w:tcPr>
          <w:p w:rsidR="00CC3DA6" w:rsidRDefault="00CC3DA6" w:rsidP="00CC3DA6">
            <w:pPr>
              <w:spacing w:line="360" w:lineRule="auto"/>
              <w:jc w:val="center"/>
              <w:rPr>
                <w:rFonts w:eastAsia="Batang"/>
                <w:sz w:val="24"/>
                <w:szCs w:val="24"/>
                <w:lang w:eastAsia="ko-KR"/>
              </w:rPr>
            </w:pPr>
            <w:r w:rsidRPr="006B1B58">
              <w:rPr>
                <w:sz w:val="18"/>
                <w:szCs w:val="18"/>
              </w:rPr>
              <w:t>8.95484</w:t>
            </w:r>
          </w:p>
        </w:tc>
        <w:tc>
          <w:tcPr>
            <w:tcW w:w="1297" w:type="dxa"/>
            <w:noWrap/>
            <w:vAlign w:val="center"/>
            <w:hideMark/>
          </w:tcPr>
          <w:p w:rsidR="00CC3DA6" w:rsidRDefault="00CC3DA6" w:rsidP="00CC3DA6">
            <w:pPr>
              <w:spacing w:line="360" w:lineRule="auto"/>
              <w:jc w:val="center"/>
              <w:rPr>
                <w:rFonts w:eastAsia="Batang"/>
                <w:sz w:val="24"/>
                <w:szCs w:val="24"/>
                <w:lang w:eastAsia="ko-KR"/>
              </w:rPr>
            </w:pPr>
            <w:r w:rsidRPr="006B1B58">
              <w:rPr>
                <w:sz w:val="18"/>
                <w:szCs w:val="18"/>
              </w:rPr>
              <w:t>0.0392421</w:t>
            </w:r>
          </w:p>
        </w:tc>
        <w:tc>
          <w:tcPr>
            <w:tcW w:w="1011" w:type="dxa"/>
            <w:noWrap/>
            <w:vAlign w:val="center"/>
            <w:hideMark/>
          </w:tcPr>
          <w:p w:rsidR="00CC3DA6" w:rsidRDefault="00CC3DA6" w:rsidP="00CC3DA6">
            <w:pPr>
              <w:spacing w:line="360" w:lineRule="auto"/>
              <w:jc w:val="center"/>
              <w:rPr>
                <w:rFonts w:eastAsia="Batang"/>
                <w:sz w:val="24"/>
                <w:szCs w:val="24"/>
                <w:lang w:eastAsia="ko-KR"/>
              </w:rPr>
            </w:pPr>
            <w:r w:rsidRPr="006B1B58">
              <w:rPr>
                <w:sz w:val="18"/>
                <w:szCs w:val="18"/>
              </w:rPr>
              <w:t>0.270635</w:t>
            </w:r>
          </w:p>
        </w:tc>
        <w:tc>
          <w:tcPr>
            <w:tcW w:w="2189" w:type="dxa"/>
            <w:noWrap/>
            <w:vAlign w:val="center"/>
            <w:hideMark/>
          </w:tcPr>
          <w:p w:rsidR="00CC3DA6" w:rsidRDefault="00CC3DA6" w:rsidP="00CC3DA6">
            <w:pPr>
              <w:spacing w:line="360" w:lineRule="auto"/>
              <w:jc w:val="center"/>
              <w:rPr>
                <w:rFonts w:eastAsia="Batang"/>
                <w:sz w:val="24"/>
                <w:szCs w:val="24"/>
                <w:lang w:eastAsia="ko-KR"/>
              </w:rPr>
            </w:pPr>
            <w:r w:rsidRPr="006B1B58">
              <w:rPr>
                <w:sz w:val="18"/>
                <w:szCs w:val="18"/>
              </w:rPr>
              <w:t>0.0507441</w:t>
            </w:r>
          </w:p>
        </w:tc>
      </w:tr>
      <w:tr w:rsidR="00CC3DA6" w:rsidTr="00CC3DA6">
        <w:trPr>
          <w:trHeight w:val="288"/>
        </w:trPr>
        <w:tc>
          <w:tcPr>
            <w:tcW w:w="945" w:type="dxa"/>
          </w:tcPr>
          <w:p w:rsidR="00CC3DA6" w:rsidRPr="00243F90" w:rsidRDefault="00CC3DA6">
            <w:pPr>
              <w:spacing w:line="360" w:lineRule="auto"/>
              <w:rPr>
                <w:b/>
                <w:sz w:val="18"/>
                <w:szCs w:val="18"/>
              </w:rPr>
            </w:pPr>
            <w:r w:rsidRPr="00243F90">
              <w:rPr>
                <w:b/>
                <w:sz w:val="18"/>
                <w:szCs w:val="18"/>
              </w:rPr>
              <w:t>D4</w:t>
            </w:r>
          </w:p>
        </w:tc>
        <w:tc>
          <w:tcPr>
            <w:tcW w:w="960" w:type="dxa"/>
            <w:noWrap/>
            <w:vAlign w:val="center"/>
            <w:hideMark/>
          </w:tcPr>
          <w:p w:rsidR="00CC3DA6" w:rsidRPr="00243F90" w:rsidRDefault="00CC3DA6">
            <w:pPr>
              <w:spacing w:line="360" w:lineRule="auto"/>
              <w:rPr>
                <w:rFonts w:eastAsia="Batang"/>
                <w:b/>
                <w:sz w:val="18"/>
                <w:szCs w:val="18"/>
                <w:lang w:eastAsia="ko-KR"/>
              </w:rPr>
            </w:pPr>
            <w:r w:rsidRPr="00243F90">
              <w:rPr>
                <w:b/>
                <w:sz w:val="18"/>
                <w:szCs w:val="18"/>
              </w:rPr>
              <w:t>40–59</w:t>
            </w:r>
          </w:p>
        </w:tc>
        <w:tc>
          <w:tcPr>
            <w:tcW w:w="1356" w:type="dxa"/>
            <w:noWrap/>
            <w:vAlign w:val="center"/>
            <w:hideMark/>
          </w:tcPr>
          <w:p w:rsidR="00CC3DA6" w:rsidRDefault="00CC3DA6" w:rsidP="00CC3DA6">
            <w:pPr>
              <w:spacing w:line="360" w:lineRule="auto"/>
              <w:jc w:val="center"/>
              <w:rPr>
                <w:rFonts w:eastAsia="Batang"/>
                <w:sz w:val="24"/>
                <w:szCs w:val="24"/>
                <w:lang w:eastAsia="ko-KR"/>
              </w:rPr>
            </w:pPr>
            <w:r w:rsidRPr="006B1B58">
              <w:rPr>
                <w:sz w:val="18"/>
                <w:szCs w:val="18"/>
              </w:rPr>
              <w:t>377.566</w:t>
            </w:r>
          </w:p>
        </w:tc>
        <w:tc>
          <w:tcPr>
            <w:tcW w:w="1497" w:type="dxa"/>
            <w:noWrap/>
            <w:vAlign w:val="center"/>
            <w:hideMark/>
          </w:tcPr>
          <w:p w:rsidR="00CC3DA6" w:rsidRDefault="00CC3DA6" w:rsidP="00CC3DA6">
            <w:pPr>
              <w:spacing w:line="360" w:lineRule="auto"/>
              <w:jc w:val="center"/>
              <w:rPr>
                <w:rFonts w:eastAsia="Batang"/>
                <w:sz w:val="24"/>
                <w:szCs w:val="24"/>
                <w:lang w:eastAsia="ko-KR"/>
              </w:rPr>
            </w:pPr>
            <w:r w:rsidRPr="006B1B58">
              <w:rPr>
                <w:sz w:val="18"/>
                <w:szCs w:val="18"/>
              </w:rPr>
              <w:t>6.07215</w:t>
            </w:r>
          </w:p>
        </w:tc>
        <w:tc>
          <w:tcPr>
            <w:tcW w:w="1297" w:type="dxa"/>
            <w:noWrap/>
            <w:vAlign w:val="center"/>
            <w:hideMark/>
          </w:tcPr>
          <w:p w:rsidR="00CC3DA6" w:rsidRDefault="00CC3DA6" w:rsidP="00CC3DA6">
            <w:pPr>
              <w:spacing w:line="360" w:lineRule="auto"/>
              <w:jc w:val="center"/>
              <w:rPr>
                <w:rFonts w:eastAsia="Batang"/>
                <w:sz w:val="24"/>
                <w:szCs w:val="24"/>
                <w:lang w:eastAsia="ko-KR"/>
              </w:rPr>
            </w:pPr>
            <w:r w:rsidRPr="006B1B58">
              <w:rPr>
                <w:sz w:val="18"/>
                <w:szCs w:val="18"/>
              </w:rPr>
              <w:t>0.261759</w:t>
            </w:r>
          </w:p>
        </w:tc>
        <w:tc>
          <w:tcPr>
            <w:tcW w:w="1011" w:type="dxa"/>
            <w:noWrap/>
            <w:vAlign w:val="center"/>
            <w:hideMark/>
          </w:tcPr>
          <w:p w:rsidR="00CC3DA6" w:rsidRDefault="00CC3DA6" w:rsidP="00CC3DA6">
            <w:pPr>
              <w:spacing w:line="360" w:lineRule="auto"/>
              <w:jc w:val="center"/>
              <w:rPr>
                <w:rFonts w:eastAsia="Batang"/>
                <w:sz w:val="24"/>
                <w:szCs w:val="24"/>
                <w:lang w:eastAsia="ko-KR"/>
              </w:rPr>
            </w:pPr>
            <w:r w:rsidRPr="006B1B58">
              <w:rPr>
                <w:sz w:val="18"/>
                <w:szCs w:val="18"/>
              </w:rPr>
              <w:t>1.80523</w:t>
            </w:r>
          </w:p>
        </w:tc>
        <w:tc>
          <w:tcPr>
            <w:tcW w:w="2189" w:type="dxa"/>
            <w:noWrap/>
            <w:vAlign w:val="center"/>
            <w:hideMark/>
          </w:tcPr>
          <w:p w:rsidR="00CC3DA6" w:rsidRDefault="00CC3DA6" w:rsidP="00CC3DA6">
            <w:pPr>
              <w:spacing w:line="360" w:lineRule="auto"/>
              <w:jc w:val="center"/>
              <w:rPr>
                <w:rFonts w:eastAsia="Batang"/>
                <w:sz w:val="24"/>
                <w:szCs w:val="24"/>
                <w:lang w:eastAsia="ko-KR"/>
              </w:rPr>
            </w:pPr>
            <w:r w:rsidRPr="006B1B58">
              <w:rPr>
                <w:sz w:val="18"/>
                <w:szCs w:val="18"/>
              </w:rPr>
              <w:t>0.338481</w:t>
            </w:r>
          </w:p>
        </w:tc>
      </w:tr>
      <w:tr w:rsidR="00CC3DA6" w:rsidTr="00CC3DA6">
        <w:trPr>
          <w:trHeight w:val="288"/>
        </w:trPr>
        <w:tc>
          <w:tcPr>
            <w:tcW w:w="945" w:type="dxa"/>
          </w:tcPr>
          <w:p w:rsidR="00CC3DA6" w:rsidRPr="00243F90" w:rsidRDefault="00CC3DA6">
            <w:pPr>
              <w:spacing w:line="360" w:lineRule="auto"/>
              <w:rPr>
                <w:b/>
                <w:sz w:val="18"/>
                <w:szCs w:val="18"/>
              </w:rPr>
            </w:pPr>
            <w:r w:rsidRPr="00243F90">
              <w:rPr>
                <w:b/>
                <w:sz w:val="18"/>
                <w:szCs w:val="18"/>
              </w:rPr>
              <w:t>D5</w:t>
            </w:r>
          </w:p>
        </w:tc>
        <w:tc>
          <w:tcPr>
            <w:tcW w:w="960" w:type="dxa"/>
            <w:noWrap/>
            <w:vAlign w:val="center"/>
            <w:hideMark/>
          </w:tcPr>
          <w:p w:rsidR="00CC3DA6" w:rsidRPr="00243F90" w:rsidRDefault="00CC3DA6">
            <w:pPr>
              <w:spacing w:line="360" w:lineRule="auto"/>
              <w:rPr>
                <w:rFonts w:eastAsia="Batang"/>
                <w:b/>
                <w:sz w:val="18"/>
                <w:szCs w:val="18"/>
                <w:lang w:eastAsia="ko-KR"/>
              </w:rPr>
            </w:pPr>
            <w:r w:rsidRPr="00243F90">
              <w:rPr>
                <w:b/>
                <w:sz w:val="18"/>
                <w:szCs w:val="18"/>
              </w:rPr>
              <w:t>60–95</w:t>
            </w:r>
          </w:p>
        </w:tc>
        <w:tc>
          <w:tcPr>
            <w:tcW w:w="1356" w:type="dxa"/>
            <w:noWrap/>
            <w:vAlign w:val="center"/>
            <w:hideMark/>
          </w:tcPr>
          <w:p w:rsidR="00CC3DA6" w:rsidRDefault="00CC3DA6" w:rsidP="00CC3DA6">
            <w:pPr>
              <w:spacing w:line="360" w:lineRule="auto"/>
              <w:jc w:val="center"/>
              <w:rPr>
                <w:rFonts w:eastAsia="Batang"/>
                <w:sz w:val="24"/>
                <w:szCs w:val="24"/>
                <w:lang w:eastAsia="ko-KR"/>
              </w:rPr>
            </w:pPr>
            <w:r w:rsidRPr="006B1B58">
              <w:rPr>
                <w:sz w:val="18"/>
                <w:szCs w:val="18"/>
              </w:rPr>
              <w:t>161.413</w:t>
            </w:r>
          </w:p>
        </w:tc>
        <w:tc>
          <w:tcPr>
            <w:tcW w:w="1497" w:type="dxa"/>
            <w:noWrap/>
            <w:vAlign w:val="center"/>
            <w:hideMark/>
          </w:tcPr>
          <w:p w:rsidR="00CC3DA6" w:rsidRDefault="00CC3DA6" w:rsidP="00CC3DA6">
            <w:pPr>
              <w:spacing w:line="360" w:lineRule="auto"/>
              <w:jc w:val="center"/>
              <w:rPr>
                <w:rFonts w:eastAsia="Batang"/>
                <w:sz w:val="24"/>
                <w:szCs w:val="24"/>
                <w:lang w:eastAsia="ko-KR"/>
              </w:rPr>
            </w:pPr>
            <w:r w:rsidRPr="006B1B58">
              <w:rPr>
                <w:sz w:val="18"/>
                <w:szCs w:val="18"/>
              </w:rPr>
              <w:t>2.82536</w:t>
            </w:r>
          </w:p>
        </w:tc>
        <w:tc>
          <w:tcPr>
            <w:tcW w:w="1297" w:type="dxa"/>
            <w:noWrap/>
            <w:vAlign w:val="center"/>
            <w:hideMark/>
          </w:tcPr>
          <w:p w:rsidR="00CC3DA6" w:rsidRDefault="00CC3DA6" w:rsidP="00CC3DA6">
            <w:pPr>
              <w:spacing w:line="360" w:lineRule="auto"/>
              <w:jc w:val="center"/>
              <w:rPr>
                <w:rFonts w:eastAsia="Batang"/>
                <w:sz w:val="24"/>
                <w:szCs w:val="24"/>
                <w:lang w:eastAsia="ko-KR"/>
              </w:rPr>
            </w:pPr>
            <w:r w:rsidRPr="006B1B58">
              <w:rPr>
                <w:sz w:val="18"/>
                <w:szCs w:val="18"/>
              </w:rPr>
              <w:t>0.757196</w:t>
            </w:r>
          </w:p>
        </w:tc>
        <w:tc>
          <w:tcPr>
            <w:tcW w:w="1011" w:type="dxa"/>
            <w:noWrap/>
            <w:vAlign w:val="center"/>
            <w:hideMark/>
          </w:tcPr>
          <w:p w:rsidR="00CC3DA6" w:rsidRDefault="00CC3DA6" w:rsidP="00CC3DA6">
            <w:pPr>
              <w:spacing w:line="360" w:lineRule="auto"/>
              <w:jc w:val="center"/>
              <w:rPr>
                <w:rFonts w:eastAsia="Batang"/>
                <w:sz w:val="24"/>
                <w:szCs w:val="24"/>
                <w:lang w:eastAsia="ko-KR"/>
              </w:rPr>
            </w:pPr>
            <w:r w:rsidRPr="006B1B58">
              <w:rPr>
                <w:sz w:val="18"/>
                <w:szCs w:val="18"/>
              </w:rPr>
              <w:t>1.13014</w:t>
            </w:r>
          </w:p>
        </w:tc>
        <w:tc>
          <w:tcPr>
            <w:tcW w:w="2189" w:type="dxa"/>
            <w:noWrap/>
            <w:vAlign w:val="center"/>
            <w:hideMark/>
          </w:tcPr>
          <w:p w:rsidR="00CC3DA6" w:rsidRDefault="00CC3DA6" w:rsidP="00CC3DA6">
            <w:pPr>
              <w:spacing w:line="360" w:lineRule="auto"/>
              <w:jc w:val="center"/>
              <w:rPr>
                <w:rFonts w:eastAsia="Batang"/>
                <w:sz w:val="24"/>
                <w:szCs w:val="24"/>
                <w:lang w:eastAsia="ko-KR"/>
              </w:rPr>
            </w:pPr>
            <w:r w:rsidRPr="006B1B58">
              <w:rPr>
                <w:sz w:val="18"/>
                <w:szCs w:val="18"/>
              </w:rPr>
              <w:t>0.0282536</w:t>
            </w:r>
          </w:p>
        </w:tc>
      </w:tr>
    </w:tbl>
    <w:p w:rsidR="009E75CD" w:rsidRDefault="009E75CD" w:rsidP="009E75CD"/>
    <w:p w:rsidR="00CC3DA6" w:rsidRDefault="00CC3DA6" w:rsidP="00CC3DA6">
      <w:pPr>
        <w:pStyle w:val="Heading2"/>
      </w:pPr>
      <w:r>
        <w:t>Distributions for vaccine properties</w:t>
      </w:r>
    </w:p>
    <w:p w:rsidR="00CC3DA6" w:rsidRDefault="00CC3DA6" w:rsidP="00CC3DA6">
      <w:r>
        <w:t>The properties of the vaccine include degree of protection against infection, and degree of protection against disease given a breakthrough infection. The degree of protection is 1 minus residual susceptibility (i.e., relative risk of infection among vaccine and placebo recipients). Because the relative risk ranges from zero to infinity, the appropriate distribution for residual susceptibility parameters is a lognormal distribution</w:t>
      </w:r>
      <w:r w:rsidR="008C01D0">
        <w:fldChar w:fldCharType="begin" w:fldLock="1"/>
      </w:r>
      <w:r w:rsidR="00391DEB">
        <w:instrText>ADDIN CSL_CITATION { "citationItems" : [ { "id" : "ITEM-1", "itemData" : { "author" : [ { "dropping-particle" : "", "family" : "Briggs", "given" : "Andrew", "non-dropping-particle" : "", "parse-names" : false, "suffix" : "" }, { "dropping-particle" : "", "family" : "Sculpher", "given" : "Mark", "non-dropping-particle" : "", "parse-names" : false, "suffix" : "" }, { "dropping-particle" : "", "family" : "Claxton", "given" : "Karl", "non-dropping-particle" : "", "parse-names" : false, "suffix" : "" } ], "id" : "ITEM-1", "issued" : { "date-parts" : [ [ "2006" ] ] }, "publisher" : "Oxford university press", "title" : "Decision modelling for health economic evaluation", "type" : "book" }, "uris" : [ "http://www.mendeley.com/documents/?uuid=ae589bb2-c579-4682-b138-c96337803a9c" ] } ], "mendeley" : { "formattedCitation" : "[20]", "plainTextFormattedCitation" : "[20]", "previouslyFormattedCitation" : "[19]" }, "properties" : { "noteIndex" : 0 }, "schema" : "https://github.com/citation-style-language/schema/raw/master/csl-citation.json" }</w:instrText>
      </w:r>
      <w:r w:rsidR="008C01D0">
        <w:fldChar w:fldCharType="separate"/>
      </w:r>
      <w:r w:rsidR="00391DEB" w:rsidRPr="00391DEB">
        <w:rPr>
          <w:noProof/>
        </w:rPr>
        <w:t>[20]</w:t>
      </w:r>
      <w:r w:rsidR="008C01D0">
        <w:fldChar w:fldCharType="end"/>
      </w:r>
      <w:r w:rsidR="008C01D0">
        <w:t xml:space="preserve">. </w:t>
      </w:r>
      <w:r>
        <w:t xml:space="preserve">Because the mean relative risk is zero, we used a derived distribution to represent the uncertainty in degree of protection against infection. </w:t>
      </w:r>
    </w:p>
    <w:p w:rsidR="008C01D0" w:rsidRDefault="008C01D0" w:rsidP="008C01D0">
      <w:pPr>
        <w:pStyle w:val="Heading1"/>
      </w:pPr>
      <w:r>
        <w:lastRenderedPageBreak/>
        <w:t>Sample size</w:t>
      </w:r>
    </w:p>
    <w:p w:rsidR="008C01D0" w:rsidRDefault="008C01D0" w:rsidP="008C01D0">
      <w:r>
        <w:t>We used Monte Carlo Latin hypercube sampling (LHS). LHS is recommended for use with computationally demanding models such as this because its efficient stratification properties allow for the extraction of a large amount of uncertainty and sensitivity information with a relatively small sample size</w:t>
      </w:r>
      <w:r>
        <w:fldChar w:fldCharType="begin" w:fldLock="1"/>
      </w:r>
      <w:r w:rsidR="00243F90">
        <w:instrText>ADDIN CSL_CITATION { "citationItems" : [ { "id" : "ITEM-1", "itemData" : { "author" : [ { "dropping-particle" : "", "family" : "Blower", "given" : "Sally M", "non-dropping-particle" : "", "parse-names" : false, "suffix" : "" }, { "dropping-particle" : "", "family" : "Dowlatabadi", "given" : "Hadi", "non-dropping-particle" : "", "parse-names" : false, "suffix" : "" } ], "container-title" : "International Statistical Review/Revue Internationale de Statistique", "id" : "ITEM-1", "issued" : { "date-parts" : [ [ "1994" ] ] }, "page" : "229-243", "publisher" : "JSTOR", "title" : "Sensitivity and uncertainty analysis of complex models of disease transmission: an HIV model, as an example", "type" : "article-journal" }, "uris" : [ "http://www.mendeley.com/documents/?uuid=374755dc-8c1f-4cf6-bb31-b138158036e2" ] } ], "mendeley" : { "formattedCitation" : "[23]", "plainTextFormattedCitation" : "[23]", "previouslyFormattedCitation" : "[23]" }, "properties" : { "noteIndex" : 0 }, "schema" : "https://github.com/citation-style-language/schema/raw/master/csl-citation.json" }</w:instrText>
      </w:r>
      <w:r>
        <w:fldChar w:fldCharType="separate"/>
      </w:r>
      <w:r w:rsidR="00243F90" w:rsidRPr="00243F90">
        <w:rPr>
          <w:noProof/>
        </w:rPr>
        <w:t>[23]</w:t>
      </w:r>
      <w:r>
        <w:fldChar w:fldCharType="end"/>
      </w:r>
      <w:r>
        <w:t xml:space="preserve">. In LHS, the random parameter distributions are divided into </w:t>
      </w:r>
      <w:r>
        <w:rPr>
          <w:i/>
          <w:iCs/>
        </w:rPr>
        <w:t>N</w:t>
      </w:r>
      <w:r>
        <w:t xml:space="preserve"> equal probability intervals. Each interval for each parameter is sampled (without replacement) exactly once, so that the entire range for each parameter is explored. The choice for </w:t>
      </w:r>
      <w:r>
        <w:rPr>
          <w:i/>
          <w:iCs/>
        </w:rPr>
        <w:t>N</w:t>
      </w:r>
      <w:r>
        <w:t xml:space="preserve"> should be at least </w:t>
      </w:r>
      <w:r>
        <w:rPr>
          <w:i/>
          <w:iCs/>
        </w:rPr>
        <w:t>k</w:t>
      </w:r>
      <w:r>
        <w:t xml:space="preserve">+1, where </w:t>
      </w:r>
      <w:r>
        <w:rPr>
          <w:i/>
          <w:iCs/>
        </w:rPr>
        <w:t>k</w:t>
      </w:r>
      <w:r>
        <w:t xml:space="preserve"> is the number of parameters varied, but usually </w:t>
      </w:r>
      <w:r>
        <w:rPr>
          <w:i/>
          <w:iCs/>
        </w:rPr>
        <w:t xml:space="preserve">N </w:t>
      </w:r>
      <w:r>
        <w:t xml:space="preserve">is selected to be much larger than </w:t>
      </w:r>
      <w:r>
        <w:rPr>
          <w:i/>
          <w:iCs/>
        </w:rPr>
        <w:t>k</w:t>
      </w:r>
      <w:r>
        <w:t>+1 to ensure accuracy. Empirically the following inequality should be satisfied: N &gt;4*k/3</w:t>
      </w:r>
      <w:r>
        <w:fldChar w:fldCharType="begin" w:fldLock="1"/>
      </w:r>
      <w:r w:rsidR="00243F90">
        <w:instrText>ADDIN CSL_CITATION { "citationItems" : [ { "id" : "ITEM-1", "itemData" : { "author" : [ { "dropping-particle" : "", "family" : "Blower", "given" : "Sally M", "non-dropping-particle" : "", "parse-names" : false, "suffix" : "" }, { "dropping-particle" : "", "family" : "Dowlatabadi", "given" : "Hadi", "non-dropping-particle" : "", "parse-names" : false, "suffix" : "" } ], "container-title" : "International Statistical Review/Revue Internationale de Statistique", "id" : "ITEM-1", "issued" : { "date-parts" : [ [ "1994" ] ] }, "page" : "229-243", "publisher" : "JSTOR", "title" : "Sensitivity and uncertainty analysis of complex models of disease transmission: an HIV model, as an example", "type" : "article-journal" }, "uris" : [ "http://www.mendeley.com/documents/?uuid=374755dc-8c1f-4cf6-bb31-b138158036e2" ] } ], "mendeley" : { "formattedCitation" : "[23]", "plainTextFormattedCitation" : "[23]", "previouslyFormattedCitation" : "[23]" }, "properties" : { "noteIndex" : 0 }, "schema" : "https://github.com/citation-style-language/schema/raw/master/csl-citation.json" }</w:instrText>
      </w:r>
      <w:r>
        <w:fldChar w:fldCharType="separate"/>
      </w:r>
      <w:r w:rsidR="00243F90" w:rsidRPr="00243F90">
        <w:rPr>
          <w:noProof/>
        </w:rPr>
        <w:t>[23]</w:t>
      </w:r>
      <w:r>
        <w:fldChar w:fldCharType="end"/>
      </w:r>
      <w:r>
        <w:t>. In our analysis, we chose 1000 random samples for use as inputs in the simulations. Given the number of parameters (48 parameters) included in the analysis, the empirical inequality is clearly satisfied.</w:t>
      </w:r>
    </w:p>
    <w:p w:rsidR="008C01D0" w:rsidRDefault="008C01D0" w:rsidP="008C01D0">
      <w:pPr>
        <w:rPr>
          <w:rFonts w:ascii="Times New Roman" w:hAnsi="Times New Roman" w:cs="Times New Roman"/>
          <w:sz w:val="24"/>
          <w:szCs w:val="24"/>
        </w:rPr>
      </w:pPr>
    </w:p>
    <w:p w:rsidR="00C06D7F" w:rsidRDefault="00A43537" w:rsidP="00A43537">
      <w:pPr>
        <w:pStyle w:val="Heading1"/>
      </w:pPr>
      <w:r>
        <w:t>References</w:t>
      </w:r>
    </w:p>
    <w:p w:rsidR="009328B1" w:rsidRPr="00FA5B13" w:rsidRDefault="009328B1" w:rsidP="009328B1">
      <w:pPr>
        <w:spacing w:after="0" w:line="240" w:lineRule="auto"/>
        <w:ind w:left="440" w:hanging="440"/>
        <w:rPr>
          <w:rFonts w:asciiTheme="majorHAnsi" w:eastAsiaTheme="majorEastAsia" w:hAnsiTheme="majorHAnsi" w:cstheme="majorBidi"/>
          <w:color w:val="17365D" w:themeColor="text2" w:themeShade="BF"/>
          <w:spacing w:val="5"/>
          <w:kern w:val="28"/>
          <w:sz w:val="24"/>
          <w:szCs w:val="52"/>
        </w:rPr>
      </w:pPr>
    </w:p>
    <w:p w:rsidR="00391DEB" w:rsidRPr="00391DEB" w:rsidRDefault="00A871B1" w:rsidP="00391DEB">
      <w:pPr>
        <w:widowControl w:val="0"/>
        <w:autoSpaceDE w:val="0"/>
        <w:autoSpaceDN w:val="0"/>
        <w:adjustRightInd w:val="0"/>
        <w:ind w:left="640" w:hanging="640"/>
        <w:rPr>
          <w:rFonts w:ascii="Calibri" w:hAnsi="Calibri" w:cs="Calibri"/>
          <w:noProof/>
          <w:szCs w:val="24"/>
        </w:rPr>
      </w:pPr>
      <w:r>
        <w:fldChar w:fldCharType="begin" w:fldLock="1"/>
      </w:r>
      <w:r>
        <w:instrText xml:space="preserve">ADDIN Mendeley Bibliography CSL_BIBLIOGRAPHY </w:instrText>
      </w:r>
      <w:r>
        <w:fldChar w:fldCharType="separate"/>
      </w:r>
      <w:r w:rsidR="00391DEB" w:rsidRPr="00391DEB">
        <w:rPr>
          <w:rFonts w:ascii="Calibri" w:hAnsi="Calibri" w:cs="Calibri"/>
          <w:noProof/>
          <w:szCs w:val="24"/>
        </w:rPr>
        <w:t>[1]</w:t>
      </w:r>
      <w:r w:rsidR="00391DEB" w:rsidRPr="00391DEB">
        <w:rPr>
          <w:rFonts w:ascii="Calibri" w:hAnsi="Calibri" w:cs="Calibri"/>
          <w:noProof/>
          <w:szCs w:val="24"/>
        </w:rPr>
        <w:tab/>
        <w:t>Hethcote HW. An age-structured model for pertussis transmission. Math Biosci 1997;145:89–136.</w:t>
      </w:r>
    </w:p>
    <w:p w:rsidR="00391DEB" w:rsidRPr="00391DEB" w:rsidRDefault="00391DEB" w:rsidP="00391DEB">
      <w:pPr>
        <w:widowControl w:val="0"/>
        <w:autoSpaceDE w:val="0"/>
        <w:autoSpaceDN w:val="0"/>
        <w:adjustRightInd w:val="0"/>
        <w:ind w:left="640" w:hanging="640"/>
        <w:rPr>
          <w:rFonts w:ascii="Calibri" w:hAnsi="Calibri" w:cs="Calibri"/>
          <w:noProof/>
          <w:szCs w:val="24"/>
        </w:rPr>
      </w:pPr>
      <w:r w:rsidRPr="00391DEB">
        <w:rPr>
          <w:rFonts w:ascii="Calibri" w:hAnsi="Calibri" w:cs="Calibri"/>
          <w:noProof/>
          <w:szCs w:val="24"/>
        </w:rPr>
        <w:t>[2]</w:t>
      </w:r>
      <w:r w:rsidRPr="00391DEB">
        <w:rPr>
          <w:rFonts w:ascii="Calibri" w:hAnsi="Calibri" w:cs="Calibri"/>
          <w:noProof/>
          <w:szCs w:val="24"/>
        </w:rPr>
        <w:tab/>
        <w:t>World Health Organization. Global Health Observatory: Life Tables by Country Jordan 2015. http://apps.who.int/gho/data/?theme=main&amp;vid=60830 (accessed November 11, 2015).</w:t>
      </w:r>
    </w:p>
    <w:p w:rsidR="00391DEB" w:rsidRPr="00391DEB" w:rsidRDefault="00391DEB" w:rsidP="00391DEB">
      <w:pPr>
        <w:widowControl w:val="0"/>
        <w:autoSpaceDE w:val="0"/>
        <w:autoSpaceDN w:val="0"/>
        <w:adjustRightInd w:val="0"/>
        <w:ind w:left="640" w:hanging="640"/>
        <w:rPr>
          <w:rFonts w:ascii="Calibri" w:hAnsi="Calibri" w:cs="Calibri"/>
          <w:noProof/>
          <w:szCs w:val="24"/>
        </w:rPr>
      </w:pPr>
      <w:r w:rsidRPr="00391DEB">
        <w:rPr>
          <w:rFonts w:ascii="Calibri" w:hAnsi="Calibri" w:cs="Calibri"/>
          <w:noProof/>
          <w:szCs w:val="24"/>
        </w:rPr>
        <w:t>[3]</w:t>
      </w:r>
      <w:r w:rsidRPr="00391DEB">
        <w:rPr>
          <w:rFonts w:ascii="Calibri" w:hAnsi="Calibri" w:cs="Calibri"/>
          <w:noProof/>
          <w:szCs w:val="24"/>
        </w:rPr>
        <w:tab/>
        <w:t>United States Census Bureau. International Database: Demographics: Jordan 2015. http://www.census.gov/population/international/data/idb/region.php?N= Results &amp;T=13&amp;A=separate&amp;RT=0&amp;Y=2010,2011,2012,2013,2014,2015&amp;R=-1&amp;C=JO (accessed September 24, 2015).</w:t>
      </w:r>
    </w:p>
    <w:p w:rsidR="00391DEB" w:rsidRPr="00391DEB" w:rsidRDefault="00391DEB" w:rsidP="00391DEB">
      <w:pPr>
        <w:widowControl w:val="0"/>
        <w:autoSpaceDE w:val="0"/>
        <w:autoSpaceDN w:val="0"/>
        <w:adjustRightInd w:val="0"/>
        <w:ind w:left="640" w:hanging="640"/>
        <w:rPr>
          <w:rFonts w:ascii="Calibri" w:hAnsi="Calibri" w:cs="Calibri"/>
          <w:noProof/>
          <w:szCs w:val="24"/>
        </w:rPr>
      </w:pPr>
      <w:r w:rsidRPr="00391DEB">
        <w:rPr>
          <w:rFonts w:ascii="Calibri" w:hAnsi="Calibri" w:cs="Calibri"/>
          <w:noProof/>
          <w:szCs w:val="24"/>
        </w:rPr>
        <w:t>[4]</w:t>
      </w:r>
      <w:r w:rsidRPr="00391DEB">
        <w:rPr>
          <w:rFonts w:ascii="Calibri" w:hAnsi="Calibri" w:cs="Calibri"/>
          <w:noProof/>
          <w:szCs w:val="24"/>
        </w:rPr>
        <w:tab/>
        <w:t>Hethcote HW. The Mathematics of Infectious Diseases. SIAM Rev 2000;42:599–653.</w:t>
      </w:r>
    </w:p>
    <w:p w:rsidR="00391DEB" w:rsidRPr="00391DEB" w:rsidRDefault="00391DEB" w:rsidP="00391DEB">
      <w:pPr>
        <w:widowControl w:val="0"/>
        <w:autoSpaceDE w:val="0"/>
        <w:autoSpaceDN w:val="0"/>
        <w:adjustRightInd w:val="0"/>
        <w:ind w:left="640" w:hanging="640"/>
        <w:rPr>
          <w:rFonts w:ascii="Calibri" w:hAnsi="Calibri" w:cs="Calibri"/>
          <w:noProof/>
          <w:szCs w:val="24"/>
        </w:rPr>
      </w:pPr>
      <w:r w:rsidRPr="00391DEB">
        <w:rPr>
          <w:rFonts w:ascii="Calibri" w:hAnsi="Calibri" w:cs="Calibri"/>
          <w:noProof/>
          <w:szCs w:val="24"/>
        </w:rPr>
        <w:lastRenderedPageBreak/>
        <w:t>[5]</w:t>
      </w:r>
      <w:r w:rsidRPr="00391DEB">
        <w:rPr>
          <w:rFonts w:ascii="Calibri" w:hAnsi="Calibri" w:cs="Calibri"/>
          <w:noProof/>
          <w:szCs w:val="24"/>
        </w:rPr>
        <w:tab/>
        <w:t>Armstrong GL, Bell BP. Hepatitis A Virus infections in the United States: Model-Based Estimates and Implications for Childhood Immunization. Pediatrics 2002;109.</w:t>
      </w:r>
    </w:p>
    <w:p w:rsidR="00391DEB" w:rsidRPr="00391DEB" w:rsidRDefault="00391DEB" w:rsidP="00391DEB">
      <w:pPr>
        <w:widowControl w:val="0"/>
        <w:autoSpaceDE w:val="0"/>
        <w:autoSpaceDN w:val="0"/>
        <w:adjustRightInd w:val="0"/>
        <w:ind w:left="640" w:hanging="640"/>
        <w:rPr>
          <w:rFonts w:ascii="Calibri" w:hAnsi="Calibri" w:cs="Calibri"/>
          <w:noProof/>
          <w:szCs w:val="24"/>
        </w:rPr>
      </w:pPr>
      <w:r w:rsidRPr="00391DEB">
        <w:rPr>
          <w:rFonts w:ascii="Calibri" w:hAnsi="Calibri" w:cs="Calibri"/>
          <w:noProof/>
          <w:szCs w:val="24"/>
        </w:rPr>
        <w:t>[6]</w:t>
      </w:r>
      <w:r w:rsidRPr="00391DEB">
        <w:rPr>
          <w:rFonts w:ascii="Calibri" w:hAnsi="Calibri" w:cs="Calibri"/>
          <w:noProof/>
          <w:szCs w:val="24"/>
        </w:rPr>
        <w:tab/>
        <w:t>Hayajneh WA, Balbeesi A, Faouri S. Hepatitis A virus age-specific sero-prevalence and risk factors among Jordanian children. J Med Virol 2015;87:569–74.</w:t>
      </w:r>
    </w:p>
    <w:p w:rsidR="00391DEB" w:rsidRPr="00391DEB" w:rsidRDefault="00391DEB" w:rsidP="00391DEB">
      <w:pPr>
        <w:widowControl w:val="0"/>
        <w:autoSpaceDE w:val="0"/>
        <w:autoSpaceDN w:val="0"/>
        <w:adjustRightInd w:val="0"/>
        <w:ind w:left="640" w:hanging="640"/>
        <w:rPr>
          <w:rFonts w:ascii="Calibri" w:hAnsi="Calibri" w:cs="Calibri"/>
          <w:noProof/>
          <w:szCs w:val="24"/>
        </w:rPr>
      </w:pPr>
      <w:r w:rsidRPr="00391DEB">
        <w:rPr>
          <w:rFonts w:ascii="Calibri" w:hAnsi="Calibri" w:cs="Calibri"/>
          <w:noProof/>
          <w:szCs w:val="24"/>
        </w:rPr>
        <w:t>[7]</w:t>
      </w:r>
      <w:r w:rsidRPr="00391DEB">
        <w:rPr>
          <w:rFonts w:ascii="Calibri" w:hAnsi="Calibri" w:cs="Calibri"/>
          <w:noProof/>
          <w:szCs w:val="24"/>
        </w:rPr>
        <w:tab/>
        <w:t>Itani T, Jacobsen KH, Nguyen T, Wiktor SZ. A new method for imputing country-level estimates of hepatitis A virus endemicity levels in the Eastern Mediterranean region. Vaccine 2014;32:6067–74.</w:t>
      </w:r>
    </w:p>
    <w:p w:rsidR="00391DEB" w:rsidRPr="00391DEB" w:rsidRDefault="00391DEB" w:rsidP="00391DEB">
      <w:pPr>
        <w:widowControl w:val="0"/>
        <w:autoSpaceDE w:val="0"/>
        <w:autoSpaceDN w:val="0"/>
        <w:adjustRightInd w:val="0"/>
        <w:ind w:left="640" w:hanging="640"/>
        <w:rPr>
          <w:rFonts w:ascii="Calibri" w:hAnsi="Calibri" w:cs="Calibri"/>
          <w:noProof/>
          <w:szCs w:val="24"/>
        </w:rPr>
      </w:pPr>
      <w:r w:rsidRPr="00391DEB">
        <w:rPr>
          <w:rFonts w:ascii="Calibri" w:hAnsi="Calibri" w:cs="Calibri"/>
          <w:noProof/>
          <w:szCs w:val="24"/>
        </w:rPr>
        <w:t>[8]</w:t>
      </w:r>
      <w:r w:rsidRPr="00391DEB">
        <w:rPr>
          <w:rFonts w:ascii="Calibri" w:hAnsi="Calibri" w:cs="Calibri"/>
          <w:noProof/>
          <w:szCs w:val="24"/>
        </w:rPr>
        <w:tab/>
        <w:t>Melhem NM, Talhouk R, Rachidi H, Ramia S. Hepatitis A virus in the Middle East and North Africa region: a new challenge. J Viral Hepat 2014;21:605–15.</w:t>
      </w:r>
    </w:p>
    <w:p w:rsidR="00391DEB" w:rsidRPr="00391DEB" w:rsidRDefault="00391DEB" w:rsidP="00391DEB">
      <w:pPr>
        <w:widowControl w:val="0"/>
        <w:autoSpaceDE w:val="0"/>
        <w:autoSpaceDN w:val="0"/>
        <w:adjustRightInd w:val="0"/>
        <w:ind w:left="640" w:hanging="640"/>
        <w:rPr>
          <w:rFonts w:ascii="Calibri" w:hAnsi="Calibri" w:cs="Calibri"/>
          <w:noProof/>
          <w:szCs w:val="24"/>
        </w:rPr>
      </w:pPr>
      <w:r w:rsidRPr="00391DEB">
        <w:rPr>
          <w:rFonts w:ascii="Calibri" w:hAnsi="Calibri" w:cs="Calibri"/>
          <w:noProof/>
          <w:szCs w:val="24"/>
        </w:rPr>
        <w:t>[9]</w:t>
      </w:r>
      <w:r w:rsidRPr="00391DEB">
        <w:rPr>
          <w:rFonts w:ascii="Calibri" w:hAnsi="Calibri" w:cs="Calibri"/>
          <w:noProof/>
          <w:szCs w:val="24"/>
        </w:rPr>
        <w:tab/>
        <w:t>Toukan AU, Sharaiha ZK, Abu-el-Rob OA. The seroepidemiology of hepatitis A virus infection in Jordan. Trop Gastroenterol 1988;9:76–9.</w:t>
      </w:r>
    </w:p>
    <w:p w:rsidR="00391DEB" w:rsidRPr="00391DEB" w:rsidRDefault="00391DEB" w:rsidP="00391DEB">
      <w:pPr>
        <w:widowControl w:val="0"/>
        <w:autoSpaceDE w:val="0"/>
        <w:autoSpaceDN w:val="0"/>
        <w:adjustRightInd w:val="0"/>
        <w:ind w:left="640" w:hanging="640"/>
        <w:rPr>
          <w:rFonts w:ascii="Calibri" w:hAnsi="Calibri" w:cs="Calibri"/>
          <w:noProof/>
          <w:szCs w:val="24"/>
        </w:rPr>
      </w:pPr>
      <w:r w:rsidRPr="00391DEB">
        <w:rPr>
          <w:rFonts w:ascii="Calibri" w:hAnsi="Calibri" w:cs="Calibri"/>
          <w:noProof/>
          <w:szCs w:val="24"/>
        </w:rPr>
        <w:t>[10]</w:t>
      </w:r>
      <w:r w:rsidRPr="00391DEB">
        <w:rPr>
          <w:rFonts w:ascii="Calibri" w:hAnsi="Calibri" w:cs="Calibri"/>
          <w:noProof/>
          <w:szCs w:val="24"/>
        </w:rPr>
        <w:tab/>
        <w:t>Directorate of Vital information Studies Preparation. Ministry of Health Annual Statistical Book 2014. Amman, Jordan: Jordan Ministry of Health; 2015.</w:t>
      </w:r>
    </w:p>
    <w:p w:rsidR="00391DEB" w:rsidRPr="00391DEB" w:rsidRDefault="00391DEB" w:rsidP="00391DEB">
      <w:pPr>
        <w:widowControl w:val="0"/>
        <w:autoSpaceDE w:val="0"/>
        <w:autoSpaceDN w:val="0"/>
        <w:adjustRightInd w:val="0"/>
        <w:ind w:left="640" w:hanging="640"/>
        <w:rPr>
          <w:rFonts w:ascii="Calibri" w:hAnsi="Calibri" w:cs="Calibri"/>
          <w:noProof/>
          <w:szCs w:val="24"/>
        </w:rPr>
      </w:pPr>
      <w:r w:rsidRPr="00391DEB">
        <w:rPr>
          <w:rFonts w:ascii="Calibri" w:hAnsi="Calibri" w:cs="Calibri"/>
          <w:noProof/>
          <w:szCs w:val="24"/>
        </w:rPr>
        <w:t>[11]</w:t>
      </w:r>
      <w:r w:rsidRPr="00391DEB">
        <w:rPr>
          <w:rFonts w:ascii="Calibri" w:hAnsi="Calibri" w:cs="Calibri"/>
          <w:noProof/>
          <w:szCs w:val="24"/>
        </w:rPr>
        <w:tab/>
        <w:t>Dhankhar P, Nwankwo C, Pillsbury M, Lauschke A, Goveia MG, Acosta CJ, et al. Public Health Impact and Cost-Effectiveness of Hepatitis A Vaccination in the United States: A Disease Transmission Dynamic Modeling Approach. Value Heal 2015;18:358–67.</w:t>
      </w:r>
    </w:p>
    <w:p w:rsidR="00391DEB" w:rsidRPr="00391DEB" w:rsidRDefault="00391DEB" w:rsidP="00391DEB">
      <w:pPr>
        <w:widowControl w:val="0"/>
        <w:autoSpaceDE w:val="0"/>
        <w:autoSpaceDN w:val="0"/>
        <w:adjustRightInd w:val="0"/>
        <w:ind w:left="640" w:hanging="640"/>
        <w:rPr>
          <w:rFonts w:ascii="Calibri" w:hAnsi="Calibri" w:cs="Calibri"/>
          <w:noProof/>
          <w:szCs w:val="24"/>
        </w:rPr>
      </w:pPr>
      <w:r w:rsidRPr="00391DEB">
        <w:rPr>
          <w:rFonts w:ascii="Calibri" w:hAnsi="Calibri" w:cs="Calibri"/>
          <w:noProof/>
          <w:szCs w:val="24"/>
        </w:rPr>
        <w:t>[12]</w:t>
      </w:r>
      <w:r w:rsidRPr="00391DEB">
        <w:rPr>
          <w:rFonts w:ascii="Calibri" w:hAnsi="Calibri" w:cs="Calibri"/>
          <w:noProof/>
          <w:szCs w:val="24"/>
        </w:rPr>
        <w:tab/>
        <w:t>Jiries A. Water resources in Jordan. Adv. Water Supply Wastewater Treat. A Road to Safer Soc. Environ., Springer; 2011, p. 193–9.</w:t>
      </w:r>
    </w:p>
    <w:p w:rsidR="00391DEB" w:rsidRPr="00391DEB" w:rsidRDefault="00391DEB" w:rsidP="00391DEB">
      <w:pPr>
        <w:widowControl w:val="0"/>
        <w:autoSpaceDE w:val="0"/>
        <w:autoSpaceDN w:val="0"/>
        <w:adjustRightInd w:val="0"/>
        <w:ind w:left="640" w:hanging="640"/>
        <w:rPr>
          <w:rFonts w:ascii="Calibri" w:hAnsi="Calibri" w:cs="Calibri"/>
          <w:noProof/>
          <w:szCs w:val="24"/>
        </w:rPr>
      </w:pPr>
      <w:r w:rsidRPr="00391DEB">
        <w:rPr>
          <w:rFonts w:ascii="Calibri" w:hAnsi="Calibri" w:cs="Calibri"/>
          <w:noProof/>
          <w:szCs w:val="24"/>
        </w:rPr>
        <w:t>[13]</w:t>
      </w:r>
      <w:r w:rsidRPr="00391DEB">
        <w:rPr>
          <w:rFonts w:ascii="Calibri" w:hAnsi="Calibri" w:cs="Calibri"/>
          <w:noProof/>
          <w:szCs w:val="24"/>
        </w:rPr>
        <w:tab/>
        <w:t>WHO &amp; UNICEF. Progress on Sanitation and Drinking Water: 2015 Update and MDG Assessment. UNICEF; 2015.</w:t>
      </w:r>
    </w:p>
    <w:p w:rsidR="00391DEB" w:rsidRPr="00391DEB" w:rsidRDefault="00391DEB" w:rsidP="00391DEB">
      <w:pPr>
        <w:widowControl w:val="0"/>
        <w:autoSpaceDE w:val="0"/>
        <w:autoSpaceDN w:val="0"/>
        <w:adjustRightInd w:val="0"/>
        <w:ind w:left="640" w:hanging="640"/>
        <w:rPr>
          <w:rFonts w:ascii="Calibri" w:hAnsi="Calibri" w:cs="Calibri"/>
          <w:noProof/>
          <w:szCs w:val="24"/>
        </w:rPr>
      </w:pPr>
      <w:r w:rsidRPr="00391DEB">
        <w:rPr>
          <w:rFonts w:ascii="Calibri" w:hAnsi="Calibri" w:cs="Calibri"/>
          <w:noProof/>
          <w:szCs w:val="24"/>
        </w:rPr>
        <w:t>[14]</w:t>
      </w:r>
      <w:r w:rsidRPr="00391DEB">
        <w:rPr>
          <w:rFonts w:ascii="Calibri" w:hAnsi="Calibri" w:cs="Calibri"/>
          <w:noProof/>
          <w:szCs w:val="24"/>
        </w:rPr>
        <w:tab/>
        <w:t>Slaih AA. Impact of Syrian Refugees on Jordan’s health sector 2013.</w:t>
      </w:r>
    </w:p>
    <w:p w:rsidR="00391DEB" w:rsidRPr="00391DEB" w:rsidRDefault="00391DEB" w:rsidP="00391DEB">
      <w:pPr>
        <w:widowControl w:val="0"/>
        <w:autoSpaceDE w:val="0"/>
        <w:autoSpaceDN w:val="0"/>
        <w:adjustRightInd w:val="0"/>
        <w:ind w:left="640" w:hanging="640"/>
        <w:rPr>
          <w:rFonts w:ascii="Calibri" w:hAnsi="Calibri" w:cs="Calibri"/>
          <w:noProof/>
          <w:szCs w:val="24"/>
        </w:rPr>
      </w:pPr>
      <w:r w:rsidRPr="00391DEB">
        <w:rPr>
          <w:rFonts w:ascii="Calibri" w:hAnsi="Calibri" w:cs="Calibri"/>
          <w:noProof/>
          <w:szCs w:val="24"/>
        </w:rPr>
        <w:lastRenderedPageBreak/>
        <w:t>[15]</w:t>
      </w:r>
      <w:r w:rsidRPr="00391DEB">
        <w:rPr>
          <w:rFonts w:ascii="Calibri" w:hAnsi="Calibri" w:cs="Calibri"/>
          <w:noProof/>
          <w:szCs w:val="24"/>
        </w:rPr>
        <w:tab/>
        <w:t>UN Refugee Agency. Syrian Regional Refugee Response: Inter-agency Information Sharing Portal 2015.</w:t>
      </w:r>
    </w:p>
    <w:p w:rsidR="00391DEB" w:rsidRPr="00391DEB" w:rsidRDefault="00391DEB" w:rsidP="00391DEB">
      <w:pPr>
        <w:widowControl w:val="0"/>
        <w:autoSpaceDE w:val="0"/>
        <w:autoSpaceDN w:val="0"/>
        <w:adjustRightInd w:val="0"/>
        <w:ind w:left="640" w:hanging="640"/>
        <w:rPr>
          <w:rFonts w:ascii="Calibri" w:hAnsi="Calibri" w:cs="Calibri"/>
          <w:noProof/>
          <w:szCs w:val="24"/>
        </w:rPr>
      </w:pPr>
      <w:r w:rsidRPr="00391DEB">
        <w:rPr>
          <w:rFonts w:ascii="Calibri" w:hAnsi="Calibri" w:cs="Calibri"/>
          <w:noProof/>
          <w:szCs w:val="24"/>
        </w:rPr>
        <w:t>[16]</w:t>
      </w:r>
      <w:r w:rsidRPr="00391DEB">
        <w:rPr>
          <w:rFonts w:ascii="Calibri" w:hAnsi="Calibri" w:cs="Calibri"/>
          <w:noProof/>
          <w:szCs w:val="24"/>
        </w:rPr>
        <w:tab/>
        <w:t>Carrion D. Syrian Refugees in Jordan: Confronting Difficult Truths. London: 2015.</w:t>
      </w:r>
    </w:p>
    <w:p w:rsidR="00391DEB" w:rsidRPr="00391DEB" w:rsidRDefault="00391DEB" w:rsidP="00391DEB">
      <w:pPr>
        <w:widowControl w:val="0"/>
        <w:autoSpaceDE w:val="0"/>
        <w:autoSpaceDN w:val="0"/>
        <w:adjustRightInd w:val="0"/>
        <w:ind w:left="640" w:hanging="640"/>
        <w:rPr>
          <w:rFonts w:ascii="Calibri" w:hAnsi="Calibri" w:cs="Calibri"/>
          <w:noProof/>
          <w:szCs w:val="24"/>
        </w:rPr>
      </w:pPr>
      <w:r w:rsidRPr="00391DEB">
        <w:rPr>
          <w:rFonts w:ascii="Calibri" w:hAnsi="Calibri" w:cs="Calibri"/>
          <w:noProof/>
          <w:szCs w:val="24"/>
        </w:rPr>
        <w:t>[17]</w:t>
      </w:r>
      <w:r w:rsidRPr="00391DEB">
        <w:rPr>
          <w:rFonts w:ascii="Calibri" w:hAnsi="Calibri" w:cs="Calibri"/>
          <w:noProof/>
          <w:szCs w:val="24"/>
        </w:rPr>
        <w:tab/>
        <w:t>Whitaker H. J. Farrington CP. Estimation of infections disease parameters from serological survey data: the impact of regular epidemics. Stat Med 2004;23:2429–43.</w:t>
      </w:r>
    </w:p>
    <w:p w:rsidR="00391DEB" w:rsidRPr="00391DEB" w:rsidRDefault="00391DEB" w:rsidP="00391DEB">
      <w:pPr>
        <w:widowControl w:val="0"/>
        <w:autoSpaceDE w:val="0"/>
        <w:autoSpaceDN w:val="0"/>
        <w:adjustRightInd w:val="0"/>
        <w:ind w:left="640" w:hanging="640"/>
        <w:rPr>
          <w:rFonts w:ascii="Calibri" w:hAnsi="Calibri" w:cs="Calibri"/>
          <w:noProof/>
          <w:szCs w:val="24"/>
        </w:rPr>
      </w:pPr>
      <w:r w:rsidRPr="00391DEB">
        <w:rPr>
          <w:rFonts w:ascii="Calibri" w:hAnsi="Calibri" w:cs="Calibri"/>
          <w:noProof/>
          <w:szCs w:val="24"/>
        </w:rPr>
        <w:t>[18]</w:t>
      </w:r>
      <w:r w:rsidRPr="00391DEB">
        <w:rPr>
          <w:rFonts w:ascii="Calibri" w:hAnsi="Calibri" w:cs="Calibri"/>
          <w:noProof/>
          <w:szCs w:val="24"/>
        </w:rPr>
        <w:tab/>
        <w:t>Gibbons CL, Mangen M-JJ, Plass D, Havelaar AH, Brooke RJ, Kramarz P, et al. Measuring underreporting and under-ascertainment in infectious disease datasets: a comparison of methods. BMC Public Health 2014;14:147.</w:t>
      </w:r>
    </w:p>
    <w:p w:rsidR="00391DEB" w:rsidRPr="00391DEB" w:rsidRDefault="00391DEB" w:rsidP="00391DEB">
      <w:pPr>
        <w:widowControl w:val="0"/>
        <w:autoSpaceDE w:val="0"/>
        <w:autoSpaceDN w:val="0"/>
        <w:adjustRightInd w:val="0"/>
        <w:ind w:left="640" w:hanging="640"/>
        <w:rPr>
          <w:rFonts w:ascii="Calibri" w:hAnsi="Calibri" w:cs="Calibri"/>
          <w:noProof/>
          <w:szCs w:val="24"/>
        </w:rPr>
      </w:pPr>
      <w:r w:rsidRPr="00391DEB">
        <w:rPr>
          <w:rFonts w:ascii="Calibri" w:hAnsi="Calibri" w:cs="Calibri"/>
          <w:noProof/>
          <w:szCs w:val="24"/>
        </w:rPr>
        <w:t>[19]</w:t>
      </w:r>
      <w:r w:rsidRPr="00391DEB">
        <w:rPr>
          <w:rFonts w:ascii="Calibri" w:hAnsi="Calibri" w:cs="Calibri"/>
          <w:noProof/>
          <w:szCs w:val="24"/>
        </w:rPr>
        <w:tab/>
        <w:t>Rein DB, Hicks KA, Wirth KE, Billah K, Finelli L, Fiore AE, et al. Cost-effectiveness of routine childhood vaccination for hepatitis A in the United States. Pediatrics 2007;119:e12–21.</w:t>
      </w:r>
    </w:p>
    <w:p w:rsidR="00391DEB" w:rsidRPr="00391DEB" w:rsidRDefault="00391DEB" w:rsidP="00391DEB">
      <w:pPr>
        <w:widowControl w:val="0"/>
        <w:autoSpaceDE w:val="0"/>
        <w:autoSpaceDN w:val="0"/>
        <w:adjustRightInd w:val="0"/>
        <w:ind w:left="640" w:hanging="640"/>
        <w:rPr>
          <w:rFonts w:ascii="Calibri" w:hAnsi="Calibri" w:cs="Calibri"/>
          <w:noProof/>
          <w:szCs w:val="24"/>
        </w:rPr>
      </w:pPr>
      <w:r w:rsidRPr="00391DEB">
        <w:rPr>
          <w:rFonts w:ascii="Calibri" w:hAnsi="Calibri" w:cs="Calibri"/>
          <w:noProof/>
          <w:szCs w:val="24"/>
        </w:rPr>
        <w:t>[20]</w:t>
      </w:r>
      <w:r w:rsidRPr="00391DEB">
        <w:rPr>
          <w:rFonts w:ascii="Calibri" w:hAnsi="Calibri" w:cs="Calibri"/>
          <w:noProof/>
          <w:szCs w:val="24"/>
        </w:rPr>
        <w:tab/>
        <w:t>Briggs A, Sculpher M, Claxton K. Decision modelling for health economic evaluation. Oxford university press; 2006.</w:t>
      </w:r>
    </w:p>
    <w:p w:rsidR="00391DEB" w:rsidRPr="00391DEB" w:rsidRDefault="00391DEB" w:rsidP="00391DEB">
      <w:pPr>
        <w:widowControl w:val="0"/>
        <w:autoSpaceDE w:val="0"/>
        <w:autoSpaceDN w:val="0"/>
        <w:adjustRightInd w:val="0"/>
        <w:ind w:left="640" w:hanging="640"/>
        <w:rPr>
          <w:rFonts w:ascii="Calibri" w:hAnsi="Calibri" w:cs="Calibri"/>
          <w:noProof/>
          <w:szCs w:val="24"/>
        </w:rPr>
      </w:pPr>
      <w:r w:rsidRPr="00391DEB">
        <w:rPr>
          <w:rFonts w:ascii="Calibri" w:hAnsi="Calibri" w:cs="Calibri"/>
          <w:noProof/>
          <w:szCs w:val="24"/>
        </w:rPr>
        <w:t>[21]</w:t>
      </w:r>
      <w:r w:rsidRPr="00391DEB">
        <w:rPr>
          <w:rFonts w:ascii="Calibri" w:hAnsi="Calibri" w:cs="Calibri"/>
          <w:noProof/>
          <w:szCs w:val="24"/>
        </w:rPr>
        <w:tab/>
        <w:t>Luyten J, Marais C, Hens N, De Schrijver K, Beutels P. Imputing QALYs from single time point health state descriptions on the EQ-5D and the SF-6D: a comparison of methods for hepatitis A patients. Value Heal 2011;14:282–90.</w:t>
      </w:r>
    </w:p>
    <w:p w:rsidR="00391DEB" w:rsidRPr="00391DEB" w:rsidRDefault="00391DEB" w:rsidP="00391DEB">
      <w:pPr>
        <w:widowControl w:val="0"/>
        <w:autoSpaceDE w:val="0"/>
        <w:autoSpaceDN w:val="0"/>
        <w:adjustRightInd w:val="0"/>
        <w:ind w:left="640" w:hanging="640"/>
        <w:rPr>
          <w:rFonts w:ascii="Calibri" w:hAnsi="Calibri" w:cs="Calibri"/>
          <w:noProof/>
          <w:szCs w:val="24"/>
        </w:rPr>
      </w:pPr>
      <w:r w:rsidRPr="00391DEB">
        <w:rPr>
          <w:rFonts w:ascii="Calibri" w:hAnsi="Calibri" w:cs="Calibri"/>
          <w:noProof/>
          <w:szCs w:val="24"/>
        </w:rPr>
        <w:t>[22]</w:t>
      </w:r>
      <w:r w:rsidRPr="00391DEB">
        <w:rPr>
          <w:rFonts w:ascii="Calibri" w:hAnsi="Calibri" w:cs="Calibri"/>
          <w:noProof/>
          <w:szCs w:val="24"/>
        </w:rPr>
        <w:tab/>
        <w:t>Chong CAKY, Gulamhussein A, Heathcote EJ, Lilly L, Sherman M, Naglie G, et al. Health-state utilities and quality of life in hepatitis C patients. Am J Gastroenterol 2003;98:630–8.</w:t>
      </w:r>
    </w:p>
    <w:p w:rsidR="00391DEB" w:rsidRPr="00391DEB" w:rsidRDefault="00391DEB" w:rsidP="00391DEB">
      <w:pPr>
        <w:widowControl w:val="0"/>
        <w:autoSpaceDE w:val="0"/>
        <w:autoSpaceDN w:val="0"/>
        <w:adjustRightInd w:val="0"/>
        <w:ind w:left="640" w:hanging="640"/>
        <w:rPr>
          <w:rFonts w:ascii="Calibri" w:hAnsi="Calibri" w:cs="Calibri"/>
          <w:noProof/>
          <w:szCs w:val="24"/>
        </w:rPr>
      </w:pPr>
      <w:r w:rsidRPr="00391DEB">
        <w:rPr>
          <w:rFonts w:ascii="Calibri" w:hAnsi="Calibri" w:cs="Calibri"/>
          <w:noProof/>
          <w:szCs w:val="24"/>
        </w:rPr>
        <w:t>[23]</w:t>
      </w:r>
      <w:r w:rsidRPr="00391DEB">
        <w:rPr>
          <w:rFonts w:ascii="Calibri" w:hAnsi="Calibri" w:cs="Calibri"/>
          <w:noProof/>
          <w:szCs w:val="24"/>
        </w:rPr>
        <w:tab/>
        <w:t>Blower SM, Dowlatabadi H. Sensitivity and uncertainty analysis of complex models of disease transmission: an HIV model, as an example. Int Stat Rev Int Stat 1994:229–43.</w:t>
      </w:r>
    </w:p>
    <w:p w:rsidR="00391DEB" w:rsidRPr="00391DEB" w:rsidRDefault="00391DEB" w:rsidP="00391DEB">
      <w:pPr>
        <w:widowControl w:val="0"/>
        <w:autoSpaceDE w:val="0"/>
        <w:autoSpaceDN w:val="0"/>
        <w:adjustRightInd w:val="0"/>
        <w:ind w:left="640" w:hanging="640"/>
        <w:rPr>
          <w:rFonts w:ascii="Calibri" w:hAnsi="Calibri" w:cs="Calibri"/>
          <w:noProof/>
        </w:rPr>
      </w:pPr>
      <w:r w:rsidRPr="00391DEB">
        <w:rPr>
          <w:rFonts w:ascii="Calibri" w:hAnsi="Calibri" w:cs="Calibri"/>
          <w:noProof/>
          <w:szCs w:val="24"/>
        </w:rPr>
        <w:t>[24]</w:t>
      </w:r>
      <w:r w:rsidRPr="00391DEB">
        <w:rPr>
          <w:rFonts w:ascii="Calibri" w:hAnsi="Calibri" w:cs="Calibri"/>
          <w:noProof/>
          <w:szCs w:val="24"/>
        </w:rPr>
        <w:tab/>
        <w:t>Battikhi MN, Battikhi EG. The seroepidemiology of hepatitis A virus in Amman, Jordan. New Microbiol 2004;27:215–20.</w:t>
      </w:r>
    </w:p>
    <w:p w:rsidR="00A24565" w:rsidRDefault="00A871B1" w:rsidP="00391DEB">
      <w:pPr>
        <w:widowControl w:val="0"/>
        <w:autoSpaceDE w:val="0"/>
        <w:autoSpaceDN w:val="0"/>
        <w:adjustRightInd w:val="0"/>
        <w:ind w:left="640" w:hanging="640"/>
      </w:pPr>
      <w:r>
        <w:lastRenderedPageBreak/>
        <w:fldChar w:fldCharType="end"/>
      </w:r>
    </w:p>
    <w:p w:rsidR="00A24565" w:rsidRDefault="00A24565" w:rsidP="00A24565"/>
    <w:p w:rsidR="00A24565" w:rsidRDefault="00A24565" w:rsidP="00A24565"/>
    <w:p w:rsidR="00A24565" w:rsidRDefault="00A24565" w:rsidP="00223ED9">
      <w:pPr>
        <w:pStyle w:val="Heading1"/>
      </w:pPr>
      <w:r w:rsidRPr="00223ED9">
        <w:lastRenderedPageBreak/>
        <w:t>Appendix</w:t>
      </w:r>
    </w:p>
    <w:p w:rsidR="004A67BD" w:rsidRPr="004A67BD" w:rsidRDefault="004A67BD" w:rsidP="004A67BD">
      <w:pPr>
        <w:pStyle w:val="Heading2"/>
      </w:pPr>
      <w:r>
        <w:t>Model Structure</w:t>
      </w:r>
    </w:p>
    <w:p w:rsidR="00A24565" w:rsidRDefault="00D704C8" w:rsidP="00A24565">
      <w:r>
        <w:rPr>
          <w:noProof/>
        </w:rPr>
        <mc:AlternateContent>
          <mc:Choice Requires="wps">
            <w:drawing>
              <wp:anchor distT="0" distB="0" distL="114300" distR="114300" simplePos="0" relativeHeight="251686912" behindDoc="0" locked="0" layoutInCell="1" allowOverlap="1" wp14:anchorId="0790A45D" wp14:editId="52FE2B7F">
                <wp:simplePos x="0" y="0"/>
                <wp:positionH relativeFrom="column">
                  <wp:posOffset>1076325</wp:posOffset>
                </wp:positionH>
                <wp:positionV relativeFrom="paragraph">
                  <wp:posOffset>2571750</wp:posOffset>
                </wp:positionV>
                <wp:extent cx="219271" cy="1066800"/>
                <wp:effectExtent l="38100" t="38100" r="28575" b="19050"/>
                <wp:wrapNone/>
                <wp:docPr id="72" name="Freeform 72"/>
                <wp:cNvGraphicFramePr/>
                <a:graphic xmlns:a="http://schemas.openxmlformats.org/drawingml/2006/main">
                  <a:graphicData uri="http://schemas.microsoft.com/office/word/2010/wordprocessingShape">
                    <wps:wsp>
                      <wps:cNvSpPr/>
                      <wps:spPr>
                        <a:xfrm>
                          <a:off x="0" y="0"/>
                          <a:ext cx="219271" cy="1066800"/>
                        </a:xfrm>
                        <a:custGeom>
                          <a:avLst/>
                          <a:gdLst>
                            <a:gd name="connsiteX0" fmla="*/ 200025 w 219271"/>
                            <a:gd name="connsiteY0" fmla="*/ 1066800 h 1066800"/>
                            <a:gd name="connsiteX1" fmla="*/ 200025 w 219271"/>
                            <a:gd name="connsiteY1" fmla="*/ 352425 h 1066800"/>
                            <a:gd name="connsiteX2" fmla="*/ 0 w 219271"/>
                            <a:gd name="connsiteY2" fmla="*/ 0 h 1066800"/>
                          </a:gdLst>
                          <a:ahLst/>
                          <a:cxnLst>
                            <a:cxn ang="0">
                              <a:pos x="connsiteX0" y="connsiteY0"/>
                            </a:cxn>
                            <a:cxn ang="0">
                              <a:pos x="connsiteX1" y="connsiteY1"/>
                            </a:cxn>
                            <a:cxn ang="0">
                              <a:pos x="connsiteX2" y="connsiteY2"/>
                            </a:cxn>
                          </a:cxnLst>
                          <a:rect l="l" t="t" r="r" b="b"/>
                          <a:pathLst>
                            <a:path w="219271" h="1066800">
                              <a:moveTo>
                                <a:pt x="200025" y="1066800"/>
                              </a:moveTo>
                              <a:cubicBezTo>
                                <a:pt x="216693" y="798512"/>
                                <a:pt x="233362" y="530225"/>
                                <a:pt x="200025" y="352425"/>
                              </a:cubicBezTo>
                              <a:cubicBezTo>
                                <a:pt x="166688" y="174625"/>
                                <a:pt x="83344" y="87312"/>
                                <a:pt x="0" y="0"/>
                              </a:cubicBezTo>
                            </a:path>
                          </a:pathLst>
                        </a:custGeom>
                        <a:ln w="12700">
                          <a:tailEnd type="stealth"/>
                        </a:ln>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Freeform 72" o:spid="_x0000_s1026" style="position:absolute;margin-left:84.75pt;margin-top:202.5pt;width:17.25pt;height:84pt;z-index:251686912;visibility:visible;mso-wrap-style:square;mso-wrap-distance-left:9pt;mso-wrap-distance-top:0;mso-wrap-distance-right:9pt;mso-wrap-distance-bottom:0;mso-position-horizontal:absolute;mso-position-horizontal-relative:text;mso-position-vertical:absolute;mso-position-vertical-relative:text;v-text-anchor:middle" coordsize="219271,1066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" path="m200025,1066800v16668,-268288,33337,-536575,,-714375c166688,174625,83344,87312,,e" filled="f" strokecolor="black [3040]" strokeweight="1pt">
                <v:stroke endarrow="classic"/>
                <v:path arrowok="t" o:connecttype="custom" o:connectlocs="200025,1066800;200025,352425;0,0" o:connectangles="0,0,0"/>
              </v:shape>
            </w:pict>
          </mc:Fallback>
        </mc:AlternateContent>
      </w:r>
      <w:r>
        <w:rPr>
          <w:noProof/>
        </w:rPr>
        <mc:AlternateContent>
          <mc:Choice Requires="wps">
            <w:drawing>
              <wp:anchor distT="0" distB="0" distL="114300" distR="114300" simplePos="0" relativeHeight="251685888" behindDoc="0" locked="0" layoutInCell="1" allowOverlap="1" wp14:anchorId="7BD78B50" wp14:editId="170876A6">
                <wp:simplePos x="0" y="0"/>
                <wp:positionH relativeFrom="column">
                  <wp:posOffset>804486</wp:posOffset>
                </wp:positionH>
                <wp:positionV relativeFrom="paragraph">
                  <wp:posOffset>2581275</wp:posOffset>
                </wp:positionV>
                <wp:extent cx="205164" cy="1038225"/>
                <wp:effectExtent l="0" t="0" r="80645" b="66675"/>
                <wp:wrapNone/>
                <wp:docPr id="71" name="Freeform 71"/>
                <wp:cNvGraphicFramePr/>
                <a:graphic xmlns:a="http://schemas.openxmlformats.org/drawingml/2006/main">
                  <a:graphicData uri="http://schemas.microsoft.com/office/word/2010/wordprocessingShape">
                    <wps:wsp>
                      <wps:cNvSpPr/>
                      <wps:spPr>
                        <a:xfrm>
                          <a:off x="0" y="0"/>
                          <a:ext cx="205164" cy="1038225"/>
                        </a:xfrm>
                        <a:custGeom>
                          <a:avLst/>
                          <a:gdLst>
                            <a:gd name="connsiteX0" fmla="*/ 14664 w 205164"/>
                            <a:gd name="connsiteY0" fmla="*/ 0 h 1038225"/>
                            <a:gd name="connsiteX1" fmla="*/ 14664 w 205164"/>
                            <a:gd name="connsiteY1" fmla="*/ 619125 h 1038225"/>
                            <a:gd name="connsiteX2" fmla="*/ 167064 w 205164"/>
                            <a:gd name="connsiteY2" fmla="*/ 733425 h 1038225"/>
                            <a:gd name="connsiteX3" fmla="*/ 205164 w 205164"/>
                            <a:gd name="connsiteY3" fmla="*/ 1038225 h 1038225"/>
                            <a:gd name="connsiteX4" fmla="*/ 205164 w 205164"/>
                            <a:gd name="connsiteY4" fmla="*/ 1038225 h 1038225"/>
                            <a:gd name="connsiteX5" fmla="*/ 205164 w 205164"/>
                            <a:gd name="connsiteY5" fmla="*/ 1038225 h 103822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205164" h="1038225">
                              <a:moveTo>
                                <a:pt x="14664" y="0"/>
                              </a:moveTo>
                              <a:cubicBezTo>
                                <a:pt x="1964" y="248444"/>
                                <a:pt x="-10736" y="496888"/>
                                <a:pt x="14664" y="619125"/>
                              </a:cubicBezTo>
                              <a:cubicBezTo>
                                <a:pt x="40064" y="741363"/>
                                <a:pt x="135314" y="663575"/>
                                <a:pt x="167064" y="733425"/>
                              </a:cubicBezTo>
                              <a:cubicBezTo>
                                <a:pt x="198814" y="803275"/>
                                <a:pt x="205164" y="1038225"/>
                                <a:pt x="205164" y="1038225"/>
                              </a:cubicBezTo>
                              <a:lnTo>
                                <a:pt x="205164" y="1038225"/>
                              </a:lnTo>
                              <a:lnTo>
                                <a:pt x="205164" y="1038225"/>
                              </a:lnTo>
                            </a:path>
                          </a:pathLst>
                        </a:custGeom>
                        <a:noFill/>
                        <a:ln w="12700">
                          <a:solidFill>
                            <a:schemeClr val="tx1"/>
                          </a:solidFill>
                          <a:tailEnd type="stealt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Freeform 71" o:spid="_x0000_s1026" style="position:absolute;margin-left:63.35pt;margin-top:203.25pt;width:16.15pt;height:81.75pt;z-index:251685888;visibility:visible;mso-wrap-style:square;mso-wrap-distance-left:9pt;mso-wrap-distance-top:0;mso-wrap-distance-right:9pt;mso-wrap-distance-bottom:0;mso-position-horizontal:absolute;mso-position-horizontal-relative:text;mso-position-vertical:absolute;mso-position-vertical-relative:text;v-text-anchor:middle" coordsize="205164,10382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" path="m14664,v-12700,248444,-25400,496888,,619125c40064,741363,135314,663575,167064,733425v31750,69850,38100,304800,38100,304800l205164,1038225r,e" filled="f" strokecolor="black [3213]" strokeweight="1pt">
                <v:stroke endarrow="classic"/>
                <v:path arrowok="t" o:connecttype="custom" o:connectlocs="14664,0;14664,619125;167064,733425;205164,1038225;205164,1038225;205164,1038225" o:connectangles="0,0,0,0,0,0"/>
              </v:shape>
            </w:pict>
          </mc:Fallback>
        </mc:AlternateContent>
      </w:r>
      <w:r>
        <w:rPr>
          <w:noProof/>
        </w:rPr>
        <mc:AlternateContent>
          <mc:Choice Requires="wps">
            <w:drawing>
              <wp:anchor distT="0" distB="0" distL="114300" distR="114300" simplePos="0" relativeHeight="251665408" behindDoc="0" locked="0" layoutInCell="1" allowOverlap="1" wp14:anchorId="3ABC7813" wp14:editId="6B574C76">
                <wp:simplePos x="0" y="0"/>
                <wp:positionH relativeFrom="column">
                  <wp:posOffset>414655</wp:posOffset>
                </wp:positionH>
                <wp:positionV relativeFrom="paragraph">
                  <wp:posOffset>3112770</wp:posOffset>
                </wp:positionV>
                <wp:extent cx="491490" cy="315595"/>
                <wp:effectExtent l="0" t="0" r="0" b="0"/>
                <wp:wrapNone/>
                <wp:docPr id="55" name="Text Box 288"/>
                <wp:cNvGraphicFramePr/>
                <a:graphic xmlns:a="http://schemas.openxmlformats.org/drawingml/2006/main">
                  <a:graphicData uri="http://schemas.microsoft.com/office/word/2010/wordprocessingShape">
                    <wps:wsp>
                      <wps:cNvSpPr txBox="1"/>
                      <wps:spPr>
                        <a:xfrm>
                          <a:off x="0" y="0"/>
                          <a:ext cx="491490" cy="31559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A35938" w:rsidRDefault="00A35938" w:rsidP="003E319A">
                            <w:pPr>
                              <w:pStyle w:val="Header"/>
                            </w:pPr>
                            <w:r>
                              <w:rPr>
                                <w:rFonts w:eastAsia="Batang" w:hAnsi="Symbol" w:hint="eastAsia"/>
                                <w:color w:val="000000" w:themeColor="dark1"/>
                                <w:kern w:val="24"/>
                              </w:rPr>
                              <w:sym w:font="Symbol" w:char="F066"/>
                            </w:r>
                            <w:r>
                              <w:rPr>
                                <w:rFonts w:eastAsia="Batang" w:hAnsi="Symbol" w:hint="eastAsia"/>
                                <w:color w:val="000000" w:themeColor="dark1"/>
                                <w:kern w:val="24"/>
                              </w:rPr>
                              <w:sym w:font="Symbol" w:char="F06A"/>
                            </w:r>
                          </w:p>
                        </w:txbxContent>
                      </wps:txbx>
                      <wps:bodyPr rot="0" spcFirstLastPara="0"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v:stroke joinstyle="miter"/>
                <v:path gradientshapeok="t" o:connecttype="rect"/>
              </v:shapetype>
              <v:shape id="Text Box 288" o:spid="_x0000_s1026" type="#_x0000_t202" style="position:absolute;margin-left:32.65pt;margin-top:245.1pt;width:38.7pt;height:24.85pt;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" filled="f" stroked="f" strokeweight=".5pt">
                <v:textbox>
                  <w:txbxContent>
                    <w:p w:rsidR="00A35938" w:rsidRDefault="00A35938" w:rsidP="003E319A">
                      <w:pPr>
                        <w:pStyle w:val="Header"/>
                      </w:pPr>
                      <w:r>
                        <w:rPr>
                          <w:rFonts w:eastAsia="Batang" w:hAnsi="Symbol" w:hint="eastAsia"/>
                          <w:color w:val="000000" w:themeColor="dark1"/>
                          <w:kern w:val="24"/>
                        </w:rPr>
                        <w:sym w:font="Symbol" w:char="F066"/>
                      </w:r>
                      <w:r>
                        <w:rPr>
                          <w:rFonts w:eastAsia="Batang" w:hAnsi="Symbol" w:hint="eastAsia"/>
                          <w:color w:val="000000" w:themeColor="dark1"/>
                          <w:kern w:val="24"/>
                        </w:rPr>
                        <w:sym w:font="Symbol" w:char="F06A"/>
                      </w:r>
                    </w:p>
                  </w:txbxContent>
                </v:textbox>
              </v:shape>
            </w:pict>
          </mc:Fallback>
        </mc:AlternateContent>
      </w:r>
      <w:r>
        <w:rPr>
          <w:noProof/>
        </w:rPr>
        <mc:AlternateContent>
          <mc:Choice Requires="wps">
            <w:drawing>
              <wp:anchor distT="0" distB="0" distL="114300" distR="114300" simplePos="0" relativeHeight="251684864" behindDoc="0" locked="0" layoutInCell="1" allowOverlap="1" wp14:anchorId="0F1D49B9" wp14:editId="71A2059C">
                <wp:simplePos x="0" y="0"/>
                <wp:positionH relativeFrom="column">
                  <wp:posOffset>428625</wp:posOffset>
                </wp:positionH>
                <wp:positionV relativeFrom="paragraph">
                  <wp:posOffset>2580640</wp:posOffset>
                </wp:positionV>
                <wp:extent cx="300990" cy="2219325"/>
                <wp:effectExtent l="0" t="0" r="80010" b="66675"/>
                <wp:wrapNone/>
                <wp:docPr id="70" name="Freeform 70"/>
                <wp:cNvGraphicFramePr/>
                <a:graphic xmlns:a="http://schemas.openxmlformats.org/drawingml/2006/main">
                  <a:graphicData uri="http://schemas.microsoft.com/office/word/2010/wordprocessingShape">
                    <wps:wsp>
                      <wps:cNvSpPr/>
                      <wps:spPr>
                        <a:xfrm>
                          <a:off x="0" y="0"/>
                          <a:ext cx="300990" cy="2219325"/>
                        </a:xfrm>
                        <a:custGeom>
                          <a:avLst/>
                          <a:gdLst>
                            <a:gd name="connsiteX0" fmla="*/ 539198 w 539198"/>
                            <a:gd name="connsiteY0" fmla="*/ 2419350 h 2419350"/>
                            <a:gd name="connsiteX1" fmla="*/ 53423 w 539198"/>
                            <a:gd name="connsiteY1" fmla="*/ 1924050 h 2419350"/>
                            <a:gd name="connsiteX2" fmla="*/ 34373 w 539198"/>
                            <a:gd name="connsiteY2" fmla="*/ 0 h 2419350"/>
                          </a:gdLst>
                          <a:ahLst/>
                          <a:cxnLst>
                            <a:cxn ang="0">
                              <a:pos x="connsiteX0" y="connsiteY0"/>
                            </a:cxn>
                            <a:cxn ang="0">
                              <a:pos x="connsiteX1" y="connsiteY1"/>
                            </a:cxn>
                            <a:cxn ang="0">
                              <a:pos x="connsiteX2" y="connsiteY2"/>
                            </a:cxn>
                          </a:cxnLst>
                          <a:rect l="l" t="t" r="r" b="b"/>
                          <a:pathLst>
                            <a:path w="539198" h="2419350">
                              <a:moveTo>
                                <a:pt x="539198" y="2419350"/>
                              </a:moveTo>
                              <a:cubicBezTo>
                                <a:pt x="338379" y="2373312"/>
                                <a:pt x="137560" y="2327275"/>
                                <a:pt x="53423" y="1924050"/>
                              </a:cubicBezTo>
                              <a:cubicBezTo>
                                <a:pt x="-30714" y="1520825"/>
                                <a:pt x="1829" y="760412"/>
                                <a:pt x="34373" y="0"/>
                              </a:cubicBezTo>
                            </a:path>
                          </a:pathLst>
                        </a:custGeom>
                        <a:noFill/>
                        <a:ln w="12700">
                          <a:solidFill>
                            <a:schemeClr val="tx1"/>
                          </a:solidFill>
                          <a:headEnd type="stealth"/>
                          <a:tailEnd type="none"/>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reeform 70" o:spid="_x0000_s1026" style="position:absolute;margin-left:33.75pt;margin-top:203.2pt;width:23.7pt;height:174.7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539198,2419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" path="m539198,2419350c338379,2373312,137560,2327275,53423,1924050,-30714,1520825,1829,760412,34373,e" filled="f" strokecolor="black [3213]" strokeweight="1pt">
                <v:stroke startarrow="classic"/>
                <v:path arrowok="t" o:connecttype="custom" o:connectlocs="300990,2219325;29822,1764975;19188,0" o:connectangles="0,0,0"/>
              </v:shape>
            </w:pict>
          </mc:Fallback>
        </mc:AlternateContent>
      </w:r>
      <w:r>
        <w:rPr>
          <w:noProof/>
        </w:rPr>
        <mc:AlternateContent>
          <mc:Choice Requires="wps">
            <w:drawing>
              <wp:anchor distT="0" distB="0" distL="114300" distR="114300" simplePos="0" relativeHeight="251660288" behindDoc="0" locked="0" layoutInCell="1" allowOverlap="1" wp14:anchorId="6FBE35D8" wp14:editId="6F248931">
                <wp:simplePos x="0" y="0"/>
                <wp:positionH relativeFrom="column">
                  <wp:posOffset>1487805</wp:posOffset>
                </wp:positionH>
                <wp:positionV relativeFrom="paragraph">
                  <wp:posOffset>3390900</wp:posOffset>
                </wp:positionV>
                <wp:extent cx="914400" cy="285750"/>
                <wp:effectExtent l="0" t="0" r="0" b="0"/>
                <wp:wrapNone/>
                <wp:docPr id="57" name="Text Box 57"/>
                <wp:cNvGraphicFramePr/>
                <a:graphic xmlns:a="http://schemas.openxmlformats.org/drawingml/2006/main">
                  <a:graphicData uri="http://schemas.microsoft.com/office/word/2010/wordprocessingShape">
                    <wps:wsp>
                      <wps:cNvSpPr txBox="1"/>
                      <wps:spPr>
                        <a:xfrm>
                          <a:off x="0" y="0"/>
                          <a:ext cx="914400" cy="285750"/>
                        </a:xfrm>
                        <a:prstGeom prst="rect">
                          <a:avLst/>
                        </a:prstGeom>
                        <a:solidFill>
                          <a:schemeClr val="lt1">
                            <a:alpha val="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A35938" w:rsidRDefault="00A35938">
                            <w:r>
                              <w:t xml:space="preserve"> (1</w:t>
                            </w:r>
                            <w:r>
                              <w:rPr>
                                <w:rFonts w:eastAsia="Batang" w:hAnsi="Symbol" w:hint="eastAsia"/>
                                <w:color w:val="000000" w:themeColor="dark1"/>
                                <w:kern w:val="24"/>
                              </w:rPr>
                              <w:sym w:font="Symbol" w:char="F02D"/>
                            </w:r>
                            <w:r>
                              <w:sym w:font="Symbol" w:char="F079"/>
                            </w:r>
                            <w:r>
                              <w:rPr>
                                <w:vertAlign w:val="subscript"/>
                              </w:rPr>
                              <w:t>1</w:t>
                            </w:r>
                            <w:r>
                              <w:t>)</w:t>
                            </w:r>
                            <w:r>
                              <w:sym w:font="Symbol" w:char="F06C"/>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57" o:spid="_x0000_s1027" type="#_x0000_t202" style="position:absolute;margin-left:117.15pt;margin-top:267pt;width:1in;height:22.5pt;z-index:251660288;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" fillcolor="white [3201]" stroked="f" strokeweight=".5pt">
                <v:fill opacity="0"/>
                <v:textbox>
                  <w:txbxContent>
                    <w:p w:rsidR="00A35938" w:rsidRDefault="00A35938">
                      <w:r>
                        <w:t xml:space="preserve"> (1</w:t>
                      </w:r>
                      <w:r>
                        <w:rPr>
                          <w:rFonts w:eastAsia="Batang" w:hAnsi="Symbol" w:hint="eastAsia"/>
                          <w:color w:val="000000" w:themeColor="dark1"/>
                          <w:kern w:val="24"/>
                        </w:rPr>
                        <w:sym w:font="Symbol" w:char="F02D"/>
                      </w:r>
                      <w:r>
                        <w:sym w:font="Symbol" w:char="F079"/>
                      </w:r>
                      <w:r>
                        <w:rPr>
                          <w:vertAlign w:val="subscript"/>
                        </w:rPr>
                        <w:t>1</w:t>
                      </w:r>
                      <w:r>
                        <w:t>)</w:t>
                      </w:r>
                      <w:r>
                        <w:sym w:font="Symbol" w:char="F06C"/>
                      </w:r>
                    </w:p>
                  </w:txbxContent>
                </v:textbox>
              </v:shape>
            </w:pict>
          </mc:Fallback>
        </mc:AlternateContent>
      </w:r>
      <w:r>
        <w:rPr>
          <w:noProof/>
        </w:rPr>
        <mc:AlternateContent>
          <mc:Choice Requires="wps">
            <w:drawing>
              <wp:anchor distT="0" distB="0" distL="114300" distR="114300" simplePos="0" relativeHeight="251669504" behindDoc="0" locked="0" layoutInCell="1" allowOverlap="1" wp14:anchorId="67B00207" wp14:editId="664AAFAA">
                <wp:simplePos x="0" y="0"/>
                <wp:positionH relativeFrom="column">
                  <wp:posOffset>1594485</wp:posOffset>
                </wp:positionH>
                <wp:positionV relativeFrom="paragraph">
                  <wp:posOffset>4579620</wp:posOffset>
                </wp:positionV>
                <wp:extent cx="914400" cy="285750"/>
                <wp:effectExtent l="0" t="0" r="0" b="0"/>
                <wp:wrapNone/>
                <wp:docPr id="60" name="Text Box 60"/>
                <wp:cNvGraphicFramePr/>
                <a:graphic xmlns:a="http://schemas.openxmlformats.org/drawingml/2006/main">
                  <a:graphicData uri="http://schemas.microsoft.com/office/word/2010/wordprocessingShape">
                    <wps:wsp>
                      <wps:cNvSpPr txBox="1"/>
                      <wps:spPr>
                        <a:xfrm>
                          <a:off x="0" y="0"/>
                          <a:ext cx="914400" cy="285750"/>
                        </a:xfrm>
                        <a:prstGeom prst="rect">
                          <a:avLst/>
                        </a:prstGeom>
                        <a:solidFill>
                          <a:schemeClr val="lt1">
                            <a:alpha val="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A35938" w:rsidRDefault="00A35938" w:rsidP="003E319A">
                            <w:r>
                              <w:t xml:space="preserve"> (1</w:t>
                            </w:r>
                            <w:r>
                              <w:rPr>
                                <w:rFonts w:eastAsia="Batang" w:hAnsi="Symbol" w:hint="eastAsia"/>
                                <w:color w:val="000000" w:themeColor="dark1"/>
                                <w:kern w:val="24"/>
                              </w:rPr>
                              <w:sym w:font="Symbol" w:char="F02D"/>
                            </w:r>
                            <w:r>
                              <w:sym w:font="Symbol" w:char="F079"/>
                            </w:r>
                            <w:r>
                              <w:rPr>
                                <w:vertAlign w:val="subscript"/>
                              </w:rPr>
                              <w:t>2</w:t>
                            </w:r>
                            <w:r>
                              <w:t>)</w:t>
                            </w:r>
                            <w:r>
                              <w:sym w:font="Symbol" w:char="F06C"/>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60" o:spid="_x0000_s1028" type="#_x0000_t202" style="position:absolute;margin-left:125.55pt;margin-top:360.6pt;width:1in;height:22.5pt;z-index:25166950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" fillcolor="white [3201]" stroked="f" strokeweight=".5pt">
                <v:fill opacity="0"/>
                <v:textbox>
                  <w:txbxContent>
                    <w:p w:rsidR="00A35938" w:rsidRDefault="00A35938" w:rsidP="003E319A">
                      <w:r>
                        <w:t xml:space="preserve"> (1</w:t>
                      </w:r>
                      <w:r>
                        <w:rPr>
                          <w:rFonts w:eastAsia="Batang" w:hAnsi="Symbol" w:hint="eastAsia"/>
                          <w:color w:val="000000" w:themeColor="dark1"/>
                          <w:kern w:val="24"/>
                        </w:rPr>
                        <w:sym w:font="Symbol" w:char="F02D"/>
                      </w:r>
                      <w:r>
                        <w:sym w:font="Symbol" w:char="F079"/>
                      </w:r>
                      <w:r>
                        <w:rPr>
                          <w:vertAlign w:val="subscript"/>
                        </w:rPr>
                        <w:t>2</w:t>
                      </w:r>
                      <w:r>
                        <w:t>)</w:t>
                      </w:r>
                      <w:r>
                        <w:sym w:font="Symbol" w:char="F06C"/>
                      </w:r>
                    </w:p>
                  </w:txbxContent>
                </v:textbox>
              </v:shape>
            </w:pict>
          </mc:Fallback>
        </mc:AlternateContent>
      </w:r>
      <w:r>
        <w:rPr>
          <w:noProof/>
        </w:rPr>
        <mc:AlternateContent>
          <mc:Choice Requires="wps">
            <w:drawing>
              <wp:anchor distT="0" distB="0" distL="114300" distR="114300" simplePos="0" relativeHeight="251682816" behindDoc="0" locked="0" layoutInCell="1" allowOverlap="1" wp14:anchorId="5A4206E4" wp14:editId="320F3584">
                <wp:simplePos x="0" y="0"/>
                <wp:positionH relativeFrom="column">
                  <wp:posOffset>1581150</wp:posOffset>
                </wp:positionH>
                <wp:positionV relativeFrom="paragraph">
                  <wp:posOffset>2533650</wp:posOffset>
                </wp:positionV>
                <wp:extent cx="533400" cy="1333500"/>
                <wp:effectExtent l="0" t="38100" r="38100" b="19050"/>
                <wp:wrapNone/>
                <wp:docPr id="69" name="Freeform 69"/>
                <wp:cNvGraphicFramePr/>
                <a:graphic xmlns:a="http://schemas.openxmlformats.org/drawingml/2006/main">
                  <a:graphicData uri="http://schemas.microsoft.com/office/word/2010/wordprocessingShape">
                    <wps:wsp>
                      <wps:cNvSpPr/>
                      <wps:spPr>
                        <a:xfrm>
                          <a:off x="0" y="0"/>
                          <a:ext cx="533400" cy="1333500"/>
                        </a:xfrm>
                        <a:custGeom>
                          <a:avLst/>
                          <a:gdLst>
                            <a:gd name="connsiteX0" fmla="*/ 0 w 837013"/>
                            <a:gd name="connsiteY0" fmla="*/ 2476500 h 2476500"/>
                            <a:gd name="connsiteX1" fmla="*/ 771525 w 837013"/>
                            <a:gd name="connsiteY1" fmla="*/ 2038350 h 2476500"/>
                            <a:gd name="connsiteX2" fmla="*/ 742950 w 837013"/>
                            <a:gd name="connsiteY2" fmla="*/ 0 h 2476500"/>
                          </a:gdLst>
                          <a:ahLst/>
                          <a:cxnLst>
                            <a:cxn ang="0">
                              <a:pos x="connsiteX0" y="connsiteY0"/>
                            </a:cxn>
                            <a:cxn ang="0">
                              <a:pos x="connsiteX1" y="connsiteY1"/>
                            </a:cxn>
                            <a:cxn ang="0">
                              <a:pos x="connsiteX2" y="connsiteY2"/>
                            </a:cxn>
                          </a:cxnLst>
                          <a:rect l="l" t="t" r="r" b="b"/>
                          <a:pathLst>
                            <a:path w="837013" h="2476500">
                              <a:moveTo>
                                <a:pt x="0" y="2476500"/>
                              </a:moveTo>
                              <a:cubicBezTo>
                                <a:pt x="323850" y="2463800"/>
                                <a:pt x="647700" y="2451100"/>
                                <a:pt x="771525" y="2038350"/>
                              </a:cubicBezTo>
                              <a:cubicBezTo>
                                <a:pt x="895350" y="1625600"/>
                                <a:pt x="819150" y="812800"/>
                                <a:pt x="742950" y="0"/>
                              </a:cubicBezTo>
                            </a:path>
                          </a:pathLst>
                        </a:custGeom>
                        <a:ln w="12700">
                          <a:tailEnd type="stealth"/>
                        </a:ln>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reeform 69" o:spid="_x0000_s1026" style="position:absolute;margin-left:124.5pt;margin-top:199.5pt;width:42pt;height:10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837013,2476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" path="m,2476500v323850,-12700,647700,-25400,771525,-438150c895350,1625600,819150,812800,742950,e" filled="f" strokecolor="black [3040]" strokeweight="1pt">
                <v:stroke endarrow="classic"/>
                <v:path arrowok="t" o:connecttype="custom" o:connectlocs="0,1333500;491667,1097573;473457,0" o:connectangles="0,0,0"/>
              </v:shape>
            </w:pict>
          </mc:Fallback>
        </mc:AlternateContent>
      </w:r>
      <w:r>
        <w:rPr>
          <w:noProof/>
        </w:rPr>
        <mc:AlternateContent>
          <mc:Choice Requires="wps">
            <w:drawing>
              <wp:anchor distT="0" distB="0" distL="114300" distR="114300" simplePos="0" relativeHeight="251680768" behindDoc="0" locked="0" layoutInCell="1" allowOverlap="1" wp14:anchorId="0C84D6E2" wp14:editId="5F344BFB">
                <wp:simplePos x="0" y="0"/>
                <wp:positionH relativeFrom="column">
                  <wp:posOffset>1590040</wp:posOffset>
                </wp:positionH>
                <wp:positionV relativeFrom="paragraph">
                  <wp:posOffset>2524125</wp:posOffset>
                </wp:positionV>
                <wp:extent cx="809625" cy="2514600"/>
                <wp:effectExtent l="0" t="38100" r="28575" b="19050"/>
                <wp:wrapNone/>
                <wp:docPr id="68" name="Freeform 68"/>
                <wp:cNvGraphicFramePr/>
                <a:graphic xmlns:a="http://schemas.openxmlformats.org/drawingml/2006/main">
                  <a:graphicData uri="http://schemas.microsoft.com/office/word/2010/wordprocessingShape">
                    <wps:wsp>
                      <wps:cNvSpPr/>
                      <wps:spPr>
                        <a:xfrm>
                          <a:off x="0" y="0"/>
                          <a:ext cx="809625" cy="2514600"/>
                        </a:xfrm>
                        <a:custGeom>
                          <a:avLst/>
                          <a:gdLst>
                            <a:gd name="connsiteX0" fmla="*/ 0 w 837013"/>
                            <a:gd name="connsiteY0" fmla="*/ 2476500 h 2476500"/>
                            <a:gd name="connsiteX1" fmla="*/ 771525 w 837013"/>
                            <a:gd name="connsiteY1" fmla="*/ 2038350 h 2476500"/>
                            <a:gd name="connsiteX2" fmla="*/ 742950 w 837013"/>
                            <a:gd name="connsiteY2" fmla="*/ 0 h 2476500"/>
                          </a:gdLst>
                          <a:ahLst/>
                          <a:cxnLst>
                            <a:cxn ang="0">
                              <a:pos x="connsiteX0" y="connsiteY0"/>
                            </a:cxn>
                            <a:cxn ang="0">
                              <a:pos x="connsiteX1" y="connsiteY1"/>
                            </a:cxn>
                            <a:cxn ang="0">
                              <a:pos x="connsiteX2" y="connsiteY2"/>
                            </a:cxn>
                          </a:cxnLst>
                          <a:rect l="l" t="t" r="r" b="b"/>
                          <a:pathLst>
                            <a:path w="837013" h="2476500">
                              <a:moveTo>
                                <a:pt x="0" y="2476500"/>
                              </a:moveTo>
                              <a:cubicBezTo>
                                <a:pt x="323850" y="2463800"/>
                                <a:pt x="647700" y="2451100"/>
                                <a:pt x="771525" y="2038350"/>
                              </a:cubicBezTo>
                              <a:cubicBezTo>
                                <a:pt x="895350" y="1625600"/>
                                <a:pt x="819150" y="812800"/>
                                <a:pt x="742950" y="0"/>
                              </a:cubicBezTo>
                            </a:path>
                          </a:pathLst>
                        </a:custGeom>
                        <a:ln w="12700">
                          <a:tailEnd type="stealth"/>
                        </a:ln>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reeform 68" o:spid="_x0000_s1026" style="position:absolute;margin-left:125.2pt;margin-top:198.75pt;width:63.75pt;height:198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837013,2476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" path="m,2476500v323850,-12700,647700,-25400,771525,-438150c895350,1625600,819150,812800,742950,e" filled="f" strokecolor="black [3040]" strokeweight="1pt">
                <v:stroke endarrow="classic"/>
                <v:path arrowok="t" o:connecttype="custom" o:connectlocs="0,2514600;746280,2069709;718640,0" o:connectangles="0,0,0"/>
              </v:shape>
            </w:pict>
          </mc:Fallback>
        </mc:AlternateContent>
      </w:r>
      <w:r>
        <w:rPr>
          <w:noProof/>
        </w:rPr>
        <mc:AlternateContent>
          <mc:Choice Requires="wps">
            <w:drawing>
              <wp:anchor distT="0" distB="0" distL="114300" distR="114300" simplePos="0" relativeHeight="251671552" behindDoc="0" locked="0" layoutInCell="1" allowOverlap="1" wp14:anchorId="7453B8A4" wp14:editId="4ADF7153">
                <wp:simplePos x="0" y="0"/>
                <wp:positionH relativeFrom="column">
                  <wp:posOffset>241300</wp:posOffset>
                </wp:positionH>
                <wp:positionV relativeFrom="paragraph">
                  <wp:posOffset>4551045</wp:posOffset>
                </wp:positionV>
                <wp:extent cx="353060" cy="303530"/>
                <wp:effectExtent l="0" t="0" r="0" b="1270"/>
                <wp:wrapNone/>
                <wp:docPr id="61" name="Text Box 289"/>
                <wp:cNvGraphicFramePr/>
                <a:graphic xmlns:a="http://schemas.openxmlformats.org/drawingml/2006/main">
                  <a:graphicData uri="http://schemas.microsoft.com/office/word/2010/wordprocessingShape">
                    <wps:wsp>
                      <wps:cNvSpPr txBox="1"/>
                      <wps:spPr>
                        <a:xfrm>
                          <a:off x="0" y="0"/>
                          <a:ext cx="353060" cy="30353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A35938" w:rsidRPr="003E319A" w:rsidRDefault="00A35938" w:rsidP="003E319A">
                            <w:pPr>
                              <w:pStyle w:val="Header"/>
                              <w:rPr>
                                <w:vertAlign w:val="subscript"/>
                              </w:rPr>
                            </w:pPr>
                            <w:r>
                              <w:rPr>
                                <w:rFonts w:eastAsia="Batang" w:hAnsi="Symbol" w:hint="eastAsia"/>
                                <w:color w:val="000000" w:themeColor="dark1"/>
                                <w:kern w:val="24"/>
                              </w:rPr>
                              <w:sym w:font="Symbol" w:char="F067"/>
                            </w:r>
                            <w:r>
                              <w:rPr>
                                <w:rFonts w:eastAsia="Batang" w:hAnsi="Symbol"/>
                                <w:color w:val="000000" w:themeColor="dark1"/>
                                <w:kern w:val="24"/>
                                <w:vertAlign w:val="subscript"/>
                              </w:rPr>
                              <w:t>2</w:t>
                            </w:r>
                          </w:p>
                        </w:txbxContent>
                      </wps:txbx>
                      <wps:bodyPr rot="0" spcFirstLastPara="0"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89" o:spid="_x0000_s1029" type="#_x0000_t202" style="position:absolute;margin-left:19pt;margin-top:358.35pt;width:27.8pt;height:23.9pt;z-index:251671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" filled="f" stroked="f" strokeweight=".5pt">
                <v:textbox>
                  <w:txbxContent>
                    <w:p w:rsidR="00A35938" w:rsidRPr="003E319A" w:rsidRDefault="00A35938" w:rsidP="003E319A">
                      <w:pPr>
                        <w:pStyle w:val="Header"/>
                        <w:rPr>
                          <w:vertAlign w:val="subscript"/>
                        </w:rPr>
                      </w:pPr>
                      <w:r>
                        <w:rPr>
                          <w:rFonts w:eastAsia="Batang" w:hAnsi="Symbol" w:hint="eastAsia"/>
                          <w:color w:val="000000" w:themeColor="dark1"/>
                          <w:kern w:val="24"/>
                        </w:rPr>
                        <w:sym w:font="Symbol" w:char="F067"/>
                      </w:r>
                      <w:r>
                        <w:rPr>
                          <w:rFonts w:eastAsia="Batang" w:hAnsi="Symbol"/>
                          <w:color w:val="000000" w:themeColor="dark1"/>
                          <w:kern w:val="24"/>
                          <w:vertAlign w:val="subscript"/>
                        </w:rPr>
                        <w:t>2</w:t>
                      </w:r>
                    </w:p>
                  </w:txbxContent>
                </v:textbox>
              </v:shape>
            </w:pict>
          </mc:Fallback>
        </mc:AlternateContent>
      </w:r>
      <w:r>
        <w:rPr>
          <w:noProof/>
        </w:rPr>
        <mc:AlternateContent>
          <mc:Choice Requires="wps">
            <w:drawing>
              <wp:anchor distT="0" distB="0" distL="114300" distR="114300" simplePos="0" relativeHeight="251679744" behindDoc="0" locked="0" layoutInCell="1" allowOverlap="1" wp14:anchorId="790B5FD4" wp14:editId="446850AF">
                <wp:simplePos x="0" y="0"/>
                <wp:positionH relativeFrom="column">
                  <wp:posOffset>175177</wp:posOffset>
                </wp:positionH>
                <wp:positionV relativeFrom="paragraph">
                  <wp:posOffset>2581275</wp:posOffset>
                </wp:positionV>
                <wp:extent cx="539198" cy="2419350"/>
                <wp:effectExtent l="38100" t="38100" r="13335" b="19050"/>
                <wp:wrapNone/>
                <wp:docPr id="67" name="Freeform 67"/>
                <wp:cNvGraphicFramePr/>
                <a:graphic xmlns:a="http://schemas.openxmlformats.org/drawingml/2006/main">
                  <a:graphicData uri="http://schemas.microsoft.com/office/word/2010/wordprocessingShape">
                    <wps:wsp>
                      <wps:cNvSpPr/>
                      <wps:spPr>
                        <a:xfrm>
                          <a:off x="0" y="0"/>
                          <a:ext cx="539198" cy="2419350"/>
                        </a:xfrm>
                        <a:custGeom>
                          <a:avLst/>
                          <a:gdLst>
                            <a:gd name="connsiteX0" fmla="*/ 539198 w 539198"/>
                            <a:gd name="connsiteY0" fmla="*/ 2419350 h 2419350"/>
                            <a:gd name="connsiteX1" fmla="*/ 53423 w 539198"/>
                            <a:gd name="connsiteY1" fmla="*/ 1924050 h 2419350"/>
                            <a:gd name="connsiteX2" fmla="*/ 34373 w 539198"/>
                            <a:gd name="connsiteY2" fmla="*/ 0 h 2419350"/>
                          </a:gdLst>
                          <a:ahLst/>
                          <a:cxnLst>
                            <a:cxn ang="0">
                              <a:pos x="connsiteX0" y="connsiteY0"/>
                            </a:cxn>
                            <a:cxn ang="0">
                              <a:pos x="connsiteX1" y="connsiteY1"/>
                            </a:cxn>
                            <a:cxn ang="0">
                              <a:pos x="connsiteX2" y="connsiteY2"/>
                            </a:cxn>
                          </a:cxnLst>
                          <a:rect l="l" t="t" r="r" b="b"/>
                          <a:pathLst>
                            <a:path w="539198" h="2419350">
                              <a:moveTo>
                                <a:pt x="539198" y="2419350"/>
                              </a:moveTo>
                              <a:cubicBezTo>
                                <a:pt x="338379" y="2373312"/>
                                <a:pt x="137560" y="2327275"/>
                                <a:pt x="53423" y="1924050"/>
                              </a:cubicBezTo>
                              <a:cubicBezTo>
                                <a:pt x="-30714" y="1520825"/>
                                <a:pt x="1829" y="760412"/>
                                <a:pt x="34373" y="0"/>
                              </a:cubicBezTo>
                            </a:path>
                          </a:pathLst>
                        </a:custGeom>
                        <a:noFill/>
                        <a:ln w="12700">
                          <a:solidFill>
                            <a:schemeClr val="tx1"/>
                          </a:solidFill>
                          <a:tailEnd type="stealt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Freeform 67" o:spid="_x0000_s1026" style="position:absolute;margin-left:13.8pt;margin-top:203.25pt;width:42.45pt;height:190.5pt;z-index:251679744;visibility:visible;mso-wrap-style:square;mso-wrap-distance-left:9pt;mso-wrap-distance-top:0;mso-wrap-distance-right:9pt;mso-wrap-distance-bottom:0;mso-position-horizontal:absolute;mso-position-horizontal-relative:text;mso-position-vertical:absolute;mso-position-vertical-relative:text;v-text-anchor:middle" coordsize="539198,2419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" path="m539198,2419350c338379,2373312,137560,2327275,53423,1924050,-30714,1520825,1829,760412,34373,e" filled="f" strokecolor="black [3213]" strokeweight="1pt">
                <v:stroke endarrow="classic"/>
                <v:path arrowok="t" o:connecttype="custom" o:connectlocs="539198,2419350;53423,1924050;34373,0" o:connectangles="0,0,0"/>
              </v:shape>
            </w:pict>
          </mc:Fallback>
        </mc:AlternateContent>
      </w:r>
      <w:r w:rsidR="002C6877">
        <w:rPr>
          <w:noProof/>
        </w:rPr>
        <mc:AlternateContent>
          <mc:Choice Requires="wps">
            <w:drawing>
              <wp:anchor distT="0" distB="0" distL="114300" distR="114300" simplePos="0" relativeHeight="251662336" behindDoc="0" locked="0" layoutInCell="1" allowOverlap="1" wp14:anchorId="70EC2F66" wp14:editId="2FE3567D">
                <wp:simplePos x="0" y="0"/>
                <wp:positionH relativeFrom="column">
                  <wp:posOffset>704586</wp:posOffset>
                </wp:positionH>
                <wp:positionV relativeFrom="paragraph">
                  <wp:posOffset>3620770</wp:posOffset>
                </wp:positionV>
                <wp:extent cx="892810" cy="542925"/>
                <wp:effectExtent l="0" t="0" r="21590" b="28575"/>
                <wp:wrapNone/>
                <wp:docPr id="52" name="AutoShape 3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892810" cy="542925"/>
                        </a:xfrm>
                        <a:prstGeom prst="roundRect">
                          <a:avLst>
                            <a:gd name="adj" fmla="val 16667"/>
                          </a:avLst>
                        </a:prstGeom>
                        <a:noFill/>
                        <a:ln w="9525">
                          <a:solidFill>
                            <a:schemeClr val="tx1"/>
                          </a:solidFill>
                          <a:round/>
                          <a:headEnd/>
                          <a:tailEnd/>
                        </a:ln>
                        <a:effectLst/>
                        <a:extLst/>
                      </wps:spPr>
                      <wps:txbx>
                        <w:txbxContent>
                          <w:p w:rsidR="00A35938" w:rsidRDefault="00A35938" w:rsidP="003A2BF0">
                            <w:pPr>
                              <w:pStyle w:val="Header"/>
                              <w:kinsoku w:val="0"/>
                              <w:overflowPunct w:val="0"/>
                              <w:spacing w:line="180" w:lineRule="auto"/>
                              <w:jc w:val="center"/>
                            </w:pPr>
                            <w:r>
                              <w:rPr>
                                <w:rFonts w:ascii="Calibri" w:eastAsia="Times New Roman" w:hAnsi="Calibri" w:cs="Arial"/>
                                <w:color w:val="000000"/>
                                <w:kern w:val="24"/>
                              </w:rPr>
                              <w:t xml:space="preserve">One Dose Vaccinated </w:t>
                            </w:r>
                          </w:p>
                          <w:p w:rsidR="00A35938" w:rsidRDefault="00A35938" w:rsidP="003A2BF0">
                            <w:pPr>
                              <w:pStyle w:val="Header"/>
                              <w:kinsoku w:val="0"/>
                              <w:overflowPunct w:val="0"/>
                              <w:spacing w:line="180" w:lineRule="auto"/>
                              <w:jc w:val="center"/>
                            </w:pPr>
                            <w:r>
                              <w:rPr>
                                <w:rFonts w:ascii="Calibri" w:eastAsia="Times New Roman" w:hAnsi="Calibri" w:cs="Arial"/>
                                <w:i/>
                                <w:iCs/>
                                <w:color w:val="000000"/>
                                <w:kern w:val="24"/>
                              </w:rPr>
                              <w:t>(V1</w:t>
                            </w:r>
                            <w:r>
                              <w:rPr>
                                <w:rFonts w:ascii="Calibri" w:eastAsia="Times New Roman" w:hAnsi="Calibri" w:cs="Arial"/>
                                <w:color w:val="000000"/>
                                <w:kern w:val="24"/>
                              </w:rPr>
                              <w:t>)</w:t>
                            </w:r>
                          </w:p>
                        </w:txbxContent>
                      </wps:txbx>
                      <wps:bodyPr wrap="square" anchor="ctr">
                        <a:noAutofit/>
                      </wps:bodyPr>
                    </wps:wsp>
                  </a:graphicData>
                </a:graphic>
                <wp14:sizeRelV relativeFrom="margin">
                  <wp14:pctHeight>0</wp14:pctHeight>
                </wp14:sizeRelV>
              </wp:anchor>
            </w:drawing>
          </mc:Choice>
          <mc:Fallback>
            <w:pict>
              <v:roundrect id="AutoShape 34" o:spid="_x0000_s1030" style="position:absolute;margin-left:55.5pt;margin-top:285.1pt;width:70.3pt;height:42.7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" filled="f" strokecolor="black [3213]">
                <o:lock v:ext="edit" aspectratio="t"/>
                <v:textbox>
                  <w:txbxContent>
                    <w:p w:rsidR="00A35938" w:rsidRDefault="00A35938" w:rsidP="003A2BF0">
                      <w:pPr>
                        <w:pStyle w:val="Header"/>
                        <w:kinsoku w:val="0"/>
                        <w:overflowPunct w:val="0"/>
                        <w:spacing w:line="180" w:lineRule="auto"/>
                        <w:jc w:val="center"/>
                      </w:pPr>
                      <w:r>
                        <w:rPr>
                          <w:rFonts w:ascii="Calibri" w:eastAsia="Times New Roman" w:hAnsi="Calibri" w:cs="Arial"/>
                          <w:color w:val="000000"/>
                          <w:kern w:val="24"/>
                        </w:rPr>
                        <w:t xml:space="preserve">One Dose Vaccinated </w:t>
                      </w:r>
                    </w:p>
                    <w:p w:rsidR="00A35938" w:rsidRDefault="00A35938" w:rsidP="003A2BF0">
                      <w:pPr>
                        <w:pStyle w:val="Header"/>
                        <w:kinsoku w:val="0"/>
                        <w:overflowPunct w:val="0"/>
                        <w:spacing w:line="180" w:lineRule="auto"/>
                        <w:jc w:val="center"/>
                      </w:pPr>
                      <w:r>
                        <w:rPr>
                          <w:rFonts w:ascii="Calibri" w:eastAsia="Times New Roman" w:hAnsi="Calibri" w:cs="Arial"/>
                          <w:i/>
                          <w:iCs/>
                          <w:color w:val="000000"/>
                          <w:kern w:val="24"/>
                        </w:rPr>
                        <w:t>(V1</w:t>
                      </w:r>
                      <w:r>
                        <w:rPr>
                          <w:rFonts w:ascii="Calibri" w:eastAsia="Times New Roman" w:hAnsi="Calibri" w:cs="Arial"/>
                          <w:color w:val="000000"/>
                          <w:kern w:val="24"/>
                        </w:rPr>
                        <w:t>)</w:t>
                      </w:r>
                    </w:p>
                  </w:txbxContent>
                </v:textbox>
              </v:roundrect>
            </w:pict>
          </mc:Fallback>
        </mc:AlternateContent>
      </w:r>
      <w:r w:rsidR="00CF5C9C">
        <w:rPr>
          <w:noProof/>
        </w:rPr>
        <mc:AlternateContent>
          <mc:Choice Requires="wpg">
            <w:drawing>
              <wp:inline distT="0" distB="0" distL="0" distR="0" wp14:anchorId="3F79CB9B" wp14:editId="3E84DD1D">
                <wp:extent cx="5947576" cy="6797991"/>
                <wp:effectExtent l="0" t="0" r="15240" b="3175"/>
                <wp:docPr id="2" name="Group 2"/>
                <wp:cNvGraphicFramePr/>
                <a:graphic xmlns:a="http://schemas.openxmlformats.org/drawingml/2006/main">
                  <a:graphicData uri="http://schemas.microsoft.com/office/word/2010/wordprocessingGroup">
                    <wpg:wgp>
                      <wpg:cNvGrpSpPr/>
                      <wpg:grpSpPr>
                        <a:xfrm>
                          <a:off x="0" y="0"/>
                          <a:ext cx="5947576" cy="6797991"/>
                          <a:chOff x="-139551" y="68638"/>
                          <a:chExt cx="7179157" cy="6798267"/>
                        </a:xfrm>
                      </wpg:grpSpPr>
                      <wpg:grpSp>
                        <wpg:cNvPr id="54" name="Group 54"/>
                        <wpg:cNvGrpSpPr/>
                        <wpg:grpSpPr>
                          <a:xfrm>
                            <a:off x="-8" y="68638"/>
                            <a:ext cx="7039614" cy="5257071"/>
                            <a:chOff x="-8" y="68641"/>
                            <a:chExt cx="7039646" cy="5257344"/>
                          </a:xfrm>
                        </wpg:grpSpPr>
                        <wpg:grpSp>
                          <wpg:cNvPr id="8" name="Group 5"/>
                          <wpg:cNvGrpSpPr>
                            <a:grpSpLocks noChangeAspect="1"/>
                          </wpg:cNvGrpSpPr>
                          <wpg:grpSpPr>
                            <a:xfrm>
                              <a:off x="-8" y="68641"/>
                              <a:ext cx="7039646" cy="5257344"/>
                              <a:chOff x="-8" y="75627"/>
                              <a:chExt cx="7758783" cy="5792377"/>
                            </a:xfrm>
                          </wpg:grpSpPr>
                          <wps:wsp>
                            <wps:cNvPr id="22" name="AutoShape 3"/>
                            <wps:cNvSpPr>
                              <a:spLocks noChangeAspect="1" noChangeArrowheads="1"/>
                            </wps:cNvSpPr>
                            <wps:spPr bwMode="auto">
                              <a:xfrm>
                                <a:off x="-8" y="2319339"/>
                                <a:ext cx="1316146" cy="600625"/>
                              </a:xfrm>
                              <a:prstGeom prst="roundRect">
                                <a:avLst>
                                  <a:gd name="adj" fmla="val 16667"/>
                                </a:avLst>
                              </a:prstGeom>
                              <a:noFill/>
                              <a:ln w="9525">
                                <a:solidFill>
                                  <a:schemeClr val="tx1"/>
                                </a:solidFill>
                                <a:round/>
                                <a:headEnd/>
                                <a:tailEnd/>
                              </a:ln>
                              <a:effectLst/>
                              <a:extLst/>
                            </wps:spPr>
                            <wps:txbx>
                              <w:txbxContent>
                                <w:p w:rsidR="00A35938" w:rsidRDefault="00A35938" w:rsidP="00CF5C9C">
                                  <w:pPr>
                                    <w:pStyle w:val="Header"/>
                                    <w:kinsoku w:val="0"/>
                                    <w:overflowPunct w:val="0"/>
                                    <w:spacing w:line="180" w:lineRule="auto"/>
                                    <w:jc w:val="center"/>
                                  </w:pPr>
                                  <w:r>
                                    <w:rPr>
                                      <w:rFonts w:ascii="Calibri" w:eastAsia="Times New Roman" w:hAnsi="Calibri" w:cs="Arial"/>
                                      <w:color w:val="000000"/>
                                      <w:kern w:val="24"/>
                                    </w:rPr>
                                    <w:t>Susceptible</w:t>
                                  </w:r>
                                </w:p>
                                <w:p w:rsidR="00A35938" w:rsidRDefault="00A35938" w:rsidP="00CF5C9C">
                                  <w:pPr>
                                    <w:pStyle w:val="Header"/>
                                    <w:kinsoku w:val="0"/>
                                    <w:overflowPunct w:val="0"/>
                                    <w:spacing w:line="180" w:lineRule="auto"/>
                                    <w:jc w:val="center"/>
                                  </w:pPr>
                                  <w:r>
                                    <w:rPr>
                                      <w:rFonts w:ascii="Calibri" w:eastAsia="Times New Roman" w:hAnsi="Calibri" w:cs="Arial"/>
                                      <w:color w:val="000000"/>
                                      <w:kern w:val="24"/>
                                    </w:rPr>
                                    <w:t>(</w:t>
                                  </w:r>
                                  <w:r>
                                    <w:rPr>
                                      <w:rFonts w:ascii="Calibri" w:eastAsia="Times New Roman" w:hAnsi="Calibri" w:cs="Arial"/>
                                      <w:i/>
                                      <w:iCs/>
                                      <w:color w:val="000000"/>
                                      <w:kern w:val="24"/>
                                    </w:rPr>
                                    <w:t>S</w:t>
                                  </w:r>
                                  <w:r>
                                    <w:rPr>
                                      <w:rFonts w:ascii="Calibri" w:eastAsia="Times New Roman" w:hAnsi="Calibri" w:cs="Arial"/>
                                      <w:color w:val="000000"/>
                                      <w:kern w:val="24"/>
                                    </w:rPr>
                                    <w:t>)</w:t>
                                  </w:r>
                                </w:p>
                              </w:txbxContent>
                            </wps:txbx>
                            <wps:bodyPr wrap="square" anchor="ctr">
                              <a:noAutofit/>
                            </wps:bodyPr>
                          </wps:wsp>
                          <wps:wsp>
                            <wps:cNvPr id="24" name="AutoShape 20"/>
                            <wps:cNvSpPr>
                              <a:spLocks noChangeAspect="1" noChangeArrowheads="1"/>
                            </wps:cNvSpPr>
                            <wps:spPr bwMode="auto">
                              <a:xfrm>
                                <a:off x="2046717" y="2384387"/>
                                <a:ext cx="1188321" cy="472889"/>
                              </a:xfrm>
                              <a:prstGeom prst="roundRect">
                                <a:avLst>
                                  <a:gd name="adj" fmla="val 16667"/>
                                </a:avLst>
                              </a:prstGeom>
                              <a:noFill/>
                              <a:ln w="9525">
                                <a:solidFill>
                                  <a:schemeClr val="tx1"/>
                                </a:solidFill>
                                <a:round/>
                                <a:headEnd/>
                                <a:tailEnd/>
                              </a:ln>
                              <a:effectLst/>
                              <a:extLst/>
                            </wps:spPr>
                            <wps:txbx>
                              <w:txbxContent>
                                <w:p w:rsidR="00A35938" w:rsidRDefault="00A35938" w:rsidP="00CF5C9C">
                                  <w:pPr>
                                    <w:pStyle w:val="Header"/>
                                    <w:kinsoku w:val="0"/>
                                    <w:overflowPunct w:val="0"/>
                                    <w:spacing w:line="180" w:lineRule="auto"/>
                                    <w:jc w:val="center"/>
                                  </w:pPr>
                                  <w:r>
                                    <w:rPr>
                                      <w:rFonts w:ascii="Calibri" w:eastAsia="Times New Roman" w:hAnsi="Calibri" w:cs="Arial"/>
                                      <w:color w:val="000000"/>
                                      <w:kern w:val="24"/>
                                    </w:rPr>
                                    <w:t>Exposed</w:t>
                                  </w:r>
                                </w:p>
                                <w:p w:rsidR="00A35938" w:rsidRDefault="00A35938" w:rsidP="00CF5C9C">
                                  <w:pPr>
                                    <w:pStyle w:val="Header"/>
                                    <w:kinsoku w:val="0"/>
                                    <w:overflowPunct w:val="0"/>
                                    <w:spacing w:line="180" w:lineRule="auto"/>
                                    <w:jc w:val="center"/>
                                  </w:pPr>
                                  <w:r>
                                    <w:rPr>
                                      <w:rFonts w:ascii="Calibri" w:eastAsia="Times New Roman" w:hAnsi="Calibri" w:cs="Arial"/>
                                      <w:color w:val="000000"/>
                                      <w:kern w:val="24"/>
                                    </w:rPr>
                                    <w:t>(</w:t>
                                  </w:r>
                                  <w:r>
                                    <w:rPr>
                                      <w:rFonts w:ascii="Calibri" w:eastAsia="Times New Roman" w:hAnsi="Calibri" w:cs="Arial"/>
                                      <w:i/>
                                      <w:iCs/>
                                      <w:color w:val="000000"/>
                                      <w:kern w:val="24"/>
                                    </w:rPr>
                                    <w:t>E</w:t>
                                  </w:r>
                                  <w:r>
                                    <w:rPr>
                                      <w:rFonts w:ascii="Calibri" w:eastAsia="Times New Roman" w:hAnsi="Calibri" w:cs="Arial"/>
                                      <w:color w:val="000000"/>
                                      <w:kern w:val="24"/>
                                    </w:rPr>
                                    <w:t>)</w:t>
                                  </w:r>
                                </w:p>
                              </w:txbxContent>
                            </wps:txbx>
                            <wps:bodyPr wrap="square" anchor="ctr">
                              <a:noAutofit/>
                            </wps:bodyPr>
                          </wps:wsp>
                          <wps:wsp>
                            <wps:cNvPr id="25" name="AutoShape 34"/>
                            <wps:cNvSpPr>
                              <a:spLocks noChangeAspect="1" noChangeArrowheads="1"/>
                            </wps:cNvSpPr>
                            <wps:spPr bwMode="auto">
                              <a:xfrm>
                                <a:off x="775778" y="5226752"/>
                                <a:ext cx="1188321" cy="641252"/>
                              </a:xfrm>
                              <a:prstGeom prst="roundRect">
                                <a:avLst>
                                  <a:gd name="adj" fmla="val 16667"/>
                                </a:avLst>
                              </a:prstGeom>
                              <a:noFill/>
                              <a:ln w="9525">
                                <a:solidFill>
                                  <a:schemeClr val="tx1"/>
                                </a:solidFill>
                                <a:round/>
                                <a:headEnd/>
                                <a:tailEnd/>
                              </a:ln>
                              <a:effectLst/>
                              <a:extLst/>
                            </wps:spPr>
                            <wps:txbx>
                              <w:txbxContent>
                                <w:p w:rsidR="00A35938" w:rsidRDefault="00A35938" w:rsidP="00CF5C9C">
                                  <w:pPr>
                                    <w:pStyle w:val="Header"/>
                                    <w:kinsoku w:val="0"/>
                                    <w:overflowPunct w:val="0"/>
                                    <w:spacing w:line="180" w:lineRule="auto"/>
                                    <w:jc w:val="center"/>
                                  </w:pPr>
                                  <w:r>
                                    <w:rPr>
                                      <w:rFonts w:ascii="Calibri" w:eastAsia="Times New Roman" w:hAnsi="Calibri" w:cs="Arial"/>
                                      <w:color w:val="000000"/>
                                      <w:kern w:val="24"/>
                                    </w:rPr>
                                    <w:t xml:space="preserve">Two Doses Vaccinated </w:t>
                                  </w:r>
                                </w:p>
                                <w:p w:rsidR="00A35938" w:rsidRDefault="00A35938" w:rsidP="00CF5C9C">
                                  <w:pPr>
                                    <w:pStyle w:val="Header"/>
                                    <w:kinsoku w:val="0"/>
                                    <w:overflowPunct w:val="0"/>
                                    <w:spacing w:line="180" w:lineRule="auto"/>
                                    <w:jc w:val="center"/>
                                  </w:pPr>
                                  <w:r>
                                    <w:rPr>
                                      <w:rFonts w:ascii="Calibri" w:eastAsia="Times New Roman" w:hAnsi="Calibri" w:cs="Arial"/>
                                      <w:i/>
                                      <w:iCs/>
                                      <w:color w:val="000000"/>
                                      <w:kern w:val="24"/>
                                    </w:rPr>
                                    <w:t>(V2</w:t>
                                  </w:r>
                                  <w:r>
                                    <w:rPr>
                                      <w:rFonts w:ascii="Calibri" w:eastAsia="Times New Roman" w:hAnsi="Calibri" w:cs="Arial"/>
                                      <w:color w:val="000000"/>
                                      <w:kern w:val="24"/>
                                    </w:rPr>
                                    <w:t>)</w:t>
                                  </w:r>
                                </w:p>
                              </w:txbxContent>
                            </wps:txbx>
                            <wps:bodyPr wrap="square" anchor="ctr">
                              <a:noAutofit/>
                            </wps:bodyPr>
                          </wps:wsp>
                          <wps:wsp>
                            <wps:cNvPr id="26" name="AutoShape 3"/>
                            <wps:cNvSpPr>
                              <a:spLocks noChangeAspect="1" noChangeArrowheads="1"/>
                            </wps:cNvSpPr>
                            <wps:spPr bwMode="auto">
                              <a:xfrm>
                                <a:off x="88704" y="970878"/>
                                <a:ext cx="1188321" cy="472889"/>
                              </a:xfrm>
                              <a:prstGeom prst="roundRect">
                                <a:avLst>
                                  <a:gd name="adj" fmla="val 16667"/>
                                </a:avLst>
                              </a:prstGeom>
                              <a:noFill/>
                              <a:ln w="9525">
                                <a:solidFill>
                                  <a:schemeClr val="tx1"/>
                                </a:solidFill>
                                <a:round/>
                                <a:headEnd/>
                                <a:tailEnd/>
                              </a:ln>
                              <a:effectLst/>
                              <a:extLst/>
                            </wps:spPr>
                            <wps:txbx>
                              <w:txbxContent>
                                <w:p w:rsidR="00A35938" w:rsidRDefault="00A35938" w:rsidP="00CF5C9C">
                                  <w:pPr>
                                    <w:pStyle w:val="Header"/>
                                    <w:kinsoku w:val="0"/>
                                    <w:overflowPunct w:val="0"/>
                                    <w:spacing w:line="180" w:lineRule="auto"/>
                                    <w:jc w:val="center"/>
                                  </w:pPr>
                                  <w:r>
                                    <w:rPr>
                                      <w:rFonts w:ascii="Calibri" w:eastAsia="Times New Roman" w:hAnsi="Calibri" w:cs="Arial"/>
                                      <w:color w:val="000000"/>
                                      <w:kern w:val="24"/>
                                    </w:rPr>
                                    <w:t>Maternal</w:t>
                                  </w:r>
                                </w:p>
                                <w:p w:rsidR="00A35938" w:rsidRDefault="00A35938" w:rsidP="00CF5C9C">
                                  <w:pPr>
                                    <w:pStyle w:val="Header"/>
                                    <w:kinsoku w:val="0"/>
                                    <w:overflowPunct w:val="0"/>
                                    <w:spacing w:line="180" w:lineRule="auto"/>
                                    <w:jc w:val="center"/>
                                  </w:pPr>
                                  <w:r>
                                    <w:rPr>
                                      <w:rFonts w:ascii="Calibri" w:eastAsia="Times New Roman" w:hAnsi="Calibri" w:cs="Arial"/>
                                      <w:color w:val="000000"/>
                                      <w:kern w:val="24"/>
                                    </w:rPr>
                                    <w:t>(</w:t>
                                  </w:r>
                                  <w:r>
                                    <w:rPr>
                                      <w:rFonts w:ascii="Calibri" w:eastAsia="Times New Roman" w:hAnsi="Calibri" w:cs="Arial"/>
                                      <w:i/>
                                      <w:iCs/>
                                      <w:color w:val="000000"/>
                                      <w:kern w:val="24"/>
                                    </w:rPr>
                                    <w:t>M</w:t>
                                  </w:r>
                                  <w:r>
                                    <w:rPr>
                                      <w:rFonts w:ascii="Calibri" w:eastAsia="Times New Roman" w:hAnsi="Calibri" w:cs="Arial"/>
                                      <w:color w:val="000000"/>
                                      <w:kern w:val="24"/>
                                    </w:rPr>
                                    <w:t>)</w:t>
                                  </w:r>
                                </w:p>
                              </w:txbxContent>
                            </wps:txbx>
                            <wps:bodyPr wrap="square" anchor="ctr">
                              <a:noAutofit/>
                            </wps:bodyPr>
                          </wps:wsp>
                          <wps:wsp>
                            <wps:cNvPr id="27" name="AutoShape 20"/>
                            <wps:cNvSpPr>
                              <a:spLocks noChangeAspect="1" noChangeArrowheads="1"/>
                            </wps:cNvSpPr>
                            <wps:spPr bwMode="auto">
                              <a:xfrm>
                                <a:off x="4468182" y="75627"/>
                                <a:ext cx="1523902" cy="659133"/>
                              </a:xfrm>
                              <a:prstGeom prst="roundRect">
                                <a:avLst>
                                  <a:gd name="adj" fmla="val 16667"/>
                                </a:avLst>
                              </a:prstGeom>
                              <a:noFill/>
                              <a:ln w="9525">
                                <a:solidFill>
                                  <a:schemeClr val="tx1"/>
                                </a:solidFill>
                                <a:round/>
                                <a:headEnd/>
                                <a:tailEnd/>
                              </a:ln>
                              <a:effectLst/>
                              <a:extLst/>
                            </wps:spPr>
                            <wps:txbx>
                              <w:txbxContent>
                                <w:p w:rsidR="00A35938" w:rsidRDefault="00A35938" w:rsidP="00CF5C9C">
                                  <w:pPr>
                                    <w:pStyle w:val="Header"/>
                                    <w:kinsoku w:val="0"/>
                                    <w:overflowPunct w:val="0"/>
                                    <w:spacing w:line="180" w:lineRule="auto"/>
                                    <w:jc w:val="center"/>
                                  </w:pPr>
                                  <w:r>
                                    <w:rPr>
                                      <w:rFonts w:ascii="Calibri" w:eastAsia="Times New Roman" w:hAnsi="Calibri" w:cs="Arial"/>
                                      <w:color w:val="000000"/>
                                      <w:kern w:val="24"/>
                                    </w:rPr>
                                    <w:t>Asymptomatic</w:t>
                                  </w:r>
                                </w:p>
                                <w:p w:rsidR="00A35938" w:rsidRDefault="00A35938" w:rsidP="00CF5C9C">
                                  <w:pPr>
                                    <w:pStyle w:val="Header"/>
                                    <w:kinsoku w:val="0"/>
                                    <w:overflowPunct w:val="0"/>
                                    <w:spacing w:line="180" w:lineRule="auto"/>
                                    <w:jc w:val="center"/>
                                  </w:pPr>
                                  <w:r>
                                    <w:rPr>
                                      <w:rFonts w:ascii="Calibri" w:eastAsia="Times New Roman" w:hAnsi="Calibri" w:cs="Arial"/>
                                      <w:color w:val="000000"/>
                                      <w:kern w:val="24"/>
                                    </w:rPr>
                                    <w:t>(</w:t>
                                  </w:r>
                                  <w:r>
                                    <w:rPr>
                                      <w:rFonts w:ascii="Calibri" w:eastAsia="Times New Roman" w:hAnsi="Calibri" w:cs="Arial"/>
                                      <w:i/>
                                      <w:iCs/>
                                      <w:color w:val="000000"/>
                                      <w:kern w:val="24"/>
                                    </w:rPr>
                                    <w:t>I</w:t>
                                  </w:r>
                                  <w:r>
                                    <w:rPr>
                                      <w:rFonts w:ascii="Calibri" w:eastAsia="Times New Roman" w:hAnsi="Calibri" w:cs="Arial"/>
                                      <w:color w:val="000000"/>
                                      <w:kern w:val="24"/>
                                    </w:rPr>
                                    <w:t>)</w:t>
                                  </w:r>
                                </w:p>
                              </w:txbxContent>
                            </wps:txbx>
                            <wps:bodyPr wrap="square" anchor="ctr">
                              <a:noAutofit/>
                            </wps:bodyPr>
                          </wps:wsp>
                          <wps:wsp>
                            <wps:cNvPr id="28" name="AutoShape 20"/>
                            <wps:cNvSpPr>
                              <a:spLocks noChangeAspect="1" noChangeArrowheads="1"/>
                            </wps:cNvSpPr>
                            <wps:spPr bwMode="auto">
                              <a:xfrm>
                                <a:off x="4467691" y="1039910"/>
                                <a:ext cx="1537066" cy="506503"/>
                              </a:xfrm>
                              <a:prstGeom prst="roundRect">
                                <a:avLst>
                                  <a:gd name="adj" fmla="val 16667"/>
                                </a:avLst>
                              </a:prstGeom>
                              <a:noFill/>
                              <a:ln w="9525">
                                <a:solidFill>
                                  <a:schemeClr val="tx1"/>
                                </a:solidFill>
                                <a:round/>
                                <a:headEnd/>
                                <a:tailEnd/>
                              </a:ln>
                              <a:effectLst/>
                              <a:extLst/>
                            </wps:spPr>
                            <wps:txbx>
                              <w:txbxContent>
                                <w:p w:rsidR="00A35938" w:rsidRDefault="00A35938" w:rsidP="00CF5C9C">
                                  <w:pPr>
                                    <w:pStyle w:val="Header"/>
                                    <w:kinsoku w:val="0"/>
                                    <w:overflowPunct w:val="0"/>
                                    <w:spacing w:line="180" w:lineRule="auto"/>
                                    <w:jc w:val="center"/>
                                  </w:pPr>
                                  <w:r>
                                    <w:rPr>
                                      <w:rFonts w:ascii="Calibri" w:eastAsia="Times New Roman" w:hAnsi="Calibri" w:cs="Arial"/>
                                      <w:color w:val="000000"/>
                                      <w:kern w:val="24"/>
                                    </w:rPr>
                                    <w:t>Hospitalized</w:t>
                                  </w:r>
                                </w:p>
                                <w:p w:rsidR="00A35938" w:rsidRDefault="00A35938" w:rsidP="00CF5C9C">
                                  <w:pPr>
                                    <w:pStyle w:val="Header"/>
                                    <w:kinsoku w:val="0"/>
                                    <w:overflowPunct w:val="0"/>
                                    <w:spacing w:line="180" w:lineRule="auto"/>
                                    <w:jc w:val="center"/>
                                  </w:pPr>
                                  <w:r>
                                    <w:rPr>
                                      <w:rFonts w:ascii="Calibri" w:eastAsia="Times New Roman" w:hAnsi="Calibri" w:cs="Arial"/>
                                      <w:color w:val="000000"/>
                                      <w:kern w:val="24"/>
                                    </w:rPr>
                                    <w:t>(</w:t>
                                  </w:r>
                                  <w:r>
                                    <w:rPr>
                                      <w:rFonts w:ascii="Calibri" w:eastAsia="Times New Roman" w:hAnsi="Calibri" w:cs="Arial"/>
                                      <w:i/>
                                      <w:iCs/>
                                      <w:color w:val="000000"/>
                                      <w:kern w:val="24"/>
                                    </w:rPr>
                                    <w:t>H</w:t>
                                  </w:r>
                                  <w:r>
                                    <w:rPr>
                                      <w:rFonts w:ascii="Calibri" w:eastAsia="Times New Roman" w:hAnsi="Calibri" w:cs="Arial"/>
                                      <w:color w:val="000000"/>
                                      <w:kern w:val="24"/>
                                    </w:rPr>
                                    <w:t>)</w:t>
                                  </w:r>
                                </w:p>
                              </w:txbxContent>
                            </wps:txbx>
                            <wps:bodyPr wrap="square" anchor="ctr">
                              <a:noAutofit/>
                            </wps:bodyPr>
                          </wps:wsp>
                          <wps:wsp>
                            <wps:cNvPr id="29" name="AutoShape 20"/>
                            <wps:cNvSpPr>
                              <a:spLocks noChangeAspect="1" noChangeArrowheads="1"/>
                            </wps:cNvSpPr>
                            <wps:spPr bwMode="auto">
                              <a:xfrm>
                                <a:off x="4493548" y="3658421"/>
                                <a:ext cx="1485865" cy="702296"/>
                              </a:xfrm>
                              <a:prstGeom prst="roundRect">
                                <a:avLst>
                                  <a:gd name="adj" fmla="val 16667"/>
                                </a:avLst>
                              </a:prstGeom>
                              <a:noFill/>
                              <a:ln w="9525">
                                <a:solidFill>
                                  <a:schemeClr val="tx1"/>
                                </a:solidFill>
                                <a:round/>
                                <a:headEnd/>
                                <a:tailEnd/>
                              </a:ln>
                              <a:effectLst/>
                              <a:extLst/>
                            </wps:spPr>
                            <wps:txbx>
                              <w:txbxContent>
                                <w:p w:rsidR="00A35938" w:rsidRDefault="00A35938" w:rsidP="00CF5C9C">
                                  <w:pPr>
                                    <w:pStyle w:val="Header"/>
                                    <w:kinsoku w:val="0"/>
                                    <w:overflowPunct w:val="0"/>
                                    <w:spacing w:line="180" w:lineRule="auto"/>
                                    <w:jc w:val="center"/>
                                  </w:pPr>
                                  <w:r>
                                    <w:rPr>
                                      <w:rFonts w:ascii="Calibri" w:eastAsia="Times New Roman" w:hAnsi="Calibri" w:cs="Arial"/>
                                      <w:color w:val="000000"/>
                                      <w:kern w:val="24"/>
                                    </w:rPr>
                                    <w:t xml:space="preserve">Liver Transplant  </w:t>
                                  </w:r>
                                  <w:r>
                                    <w:rPr>
                                      <w:rFonts w:ascii="Calibri" w:eastAsia="Times New Roman" w:hAnsi="Calibri" w:cs="Arial"/>
                                      <w:i/>
                                      <w:iCs/>
                                      <w:color w:val="000000"/>
                                      <w:kern w:val="24"/>
                                    </w:rPr>
                                    <w:t xml:space="preserve"> </w:t>
                                  </w:r>
                                  <w:r>
                                    <w:rPr>
                                      <w:rFonts w:ascii="Calibri" w:eastAsia="Times New Roman" w:hAnsi="Calibri" w:cs="Arial"/>
                                      <w:color w:val="000000"/>
                                      <w:kern w:val="24"/>
                                    </w:rPr>
                                    <w:t>(</w:t>
                                  </w:r>
                                  <w:r>
                                    <w:rPr>
                                      <w:rFonts w:ascii="Calibri" w:eastAsia="Times New Roman" w:hAnsi="Calibri" w:cs="Arial"/>
                                      <w:i/>
                                      <w:iCs/>
                                      <w:color w:val="000000"/>
                                      <w:kern w:val="24"/>
                                    </w:rPr>
                                    <w:t>L</w:t>
                                  </w:r>
                                  <w:r>
                                    <w:rPr>
                                      <w:rFonts w:ascii="Calibri" w:eastAsia="Times New Roman" w:hAnsi="Calibri" w:cs="Arial"/>
                                      <w:color w:val="000000"/>
                                      <w:kern w:val="24"/>
                                      <w:position w:val="-6"/>
                                      <w:vertAlign w:val="subscript"/>
                                    </w:rPr>
                                    <w:t>1</w:t>
                                  </w:r>
                                  <w:r>
                                    <w:rPr>
                                      <w:rFonts w:ascii="Calibri" w:eastAsia="Times New Roman" w:hAnsi="Calibri" w:cs="Arial"/>
                                      <w:color w:val="000000"/>
                                      <w:kern w:val="24"/>
                                    </w:rPr>
                                    <w:t>)</w:t>
                                  </w:r>
                                </w:p>
                              </w:txbxContent>
                            </wps:txbx>
                            <wps:bodyPr wrap="square" anchor="ctr">
                              <a:noAutofit/>
                            </wps:bodyPr>
                          </wps:wsp>
                          <wps:wsp>
                            <wps:cNvPr id="30" name="AutoShape 20"/>
                            <wps:cNvSpPr>
                              <a:spLocks noChangeAspect="1" noChangeArrowheads="1"/>
                            </wps:cNvSpPr>
                            <wps:spPr bwMode="auto">
                              <a:xfrm>
                                <a:off x="4481242" y="2982406"/>
                                <a:ext cx="1460155" cy="472889"/>
                              </a:xfrm>
                              <a:prstGeom prst="roundRect">
                                <a:avLst>
                                  <a:gd name="adj" fmla="val 16667"/>
                                </a:avLst>
                              </a:prstGeom>
                              <a:noFill/>
                              <a:ln w="9525">
                                <a:solidFill>
                                  <a:schemeClr val="tx1"/>
                                </a:solidFill>
                                <a:round/>
                                <a:headEnd/>
                                <a:tailEnd/>
                              </a:ln>
                              <a:effectLst/>
                              <a:extLst/>
                            </wps:spPr>
                            <wps:txbx>
                              <w:txbxContent>
                                <w:p w:rsidR="00A35938" w:rsidRDefault="00A35938" w:rsidP="00CF5C9C">
                                  <w:pPr>
                                    <w:pStyle w:val="Header"/>
                                    <w:kinsoku w:val="0"/>
                                    <w:overflowPunct w:val="0"/>
                                    <w:spacing w:line="180" w:lineRule="auto"/>
                                    <w:jc w:val="center"/>
                                  </w:pPr>
                                  <w:r>
                                    <w:rPr>
                                      <w:rFonts w:ascii="Calibri" w:eastAsia="Times New Roman" w:hAnsi="Calibri" w:cs="Arial"/>
                                      <w:color w:val="000000"/>
                                      <w:kern w:val="24"/>
                                    </w:rPr>
                                    <w:t>Fulminant</w:t>
                                  </w:r>
                                </w:p>
                                <w:p w:rsidR="00A35938" w:rsidRDefault="00A35938" w:rsidP="00CF5C9C">
                                  <w:pPr>
                                    <w:pStyle w:val="Header"/>
                                    <w:kinsoku w:val="0"/>
                                    <w:overflowPunct w:val="0"/>
                                    <w:spacing w:line="180" w:lineRule="auto"/>
                                    <w:jc w:val="center"/>
                                  </w:pPr>
                                  <w:r>
                                    <w:rPr>
                                      <w:rFonts w:ascii="Calibri" w:eastAsia="Times New Roman" w:hAnsi="Calibri" w:cs="Arial"/>
                                      <w:color w:val="000000"/>
                                      <w:kern w:val="24"/>
                                    </w:rPr>
                                    <w:t>(</w:t>
                                  </w:r>
                                  <w:r>
                                    <w:rPr>
                                      <w:rFonts w:ascii="Calibri" w:eastAsia="Times New Roman" w:hAnsi="Calibri" w:cs="Arial"/>
                                      <w:i/>
                                      <w:iCs/>
                                      <w:color w:val="000000"/>
                                      <w:kern w:val="24"/>
                                    </w:rPr>
                                    <w:t>F</w:t>
                                  </w:r>
                                  <w:r>
                                    <w:rPr>
                                      <w:rFonts w:ascii="Calibri" w:eastAsia="Times New Roman" w:hAnsi="Calibri" w:cs="Arial"/>
                                      <w:color w:val="000000"/>
                                      <w:kern w:val="24"/>
                                    </w:rPr>
                                    <w:t>)</w:t>
                                  </w:r>
                                </w:p>
                              </w:txbxContent>
                            </wps:txbx>
                            <wps:bodyPr wrap="square" anchor="ctr">
                              <a:noAutofit/>
                            </wps:bodyPr>
                          </wps:wsp>
                          <wps:wsp>
                            <wps:cNvPr id="31" name="AutoShape 20"/>
                            <wps:cNvSpPr>
                              <a:spLocks noChangeAspect="1" noChangeArrowheads="1"/>
                            </wps:cNvSpPr>
                            <wps:spPr bwMode="auto">
                              <a:xfrm>
                                <a:off x="4468570" y="2090449"/>
                                <a:ext cx="1536187" cy="472889"/>
                              </a:xfrm>
                              <a:prstGeom prst="roundRect">
                                <a:avLst>
                                  <a:gd name="adj" fmla="val 16667"/>
                                </a:avLst>
                              </a:prstGeom>
                              <a:noFill/>
                              <a:ln w="9525">
                                <a:solidFill>
                                  <a:schemeClr val="tx1"/>
                                </a:solidFill>
                                <a:round/>
                                <a:headEnd/>
                                <a:tailEnd/>
                              </a:ln>
                              <a:effectLst/>
                              <a:extLst/>
                            </wps:spPr>
                            <wps:txbx>
                              <w:txbxContent>
                                <w:p w:rsidR="00A35938" w:rsidRDefault="00A35938" w:rsidP="00CF5C9C">
                                  <w:pPr>
                                    <w:pStyle w:val="Header"/>
                                    <w:kinsoku w:val="0"/>
                                    <w:overflowPunct w:val="0"/>
                                    <w:spacing w:line="180" w:lineRule="auto"/>
                                    <w:jc w:val="center"/>
                                  </w:pPr>
                                  <w:r>
                                    <w:rPr>
                                      <w:rFonts w:ascii="Calibri" w:eastAsia="Times New Roman" w:hAnsi="Calibri" w:cs="Arial"/>
                                      <w:color w:val="000000"/>
                                      <w:kern w:val="24"/>
                                    </w:rPr>
                                    <w:t>Outpatient</w:t>
                                  </w:r>
                                </w:p>
                                <w:p w:rsidR="00A35938" w:rsidRDefault="00A35938" w:rsidP="00CF5C9C">
                                  <w:pPr>
                                    <w:pStyle w:val="Header"/>
                                    <w:kinsoku w:val="0"/>
                                    <w:overflowPunct w:val="0"/>
                                    <w:spacing w:line="180" w:lineRule="auto"/>
                                    <w:jc w:val="center"/>
                                  </w:pPr>
                                  <w:r>
                                    <w:rPr>
                                      <w:rFonts w:ascii="Calibri" w:eastAsia="Times New Roman" w:hAnsi="Calibri" w:cs="Arial"/>
                                      <w:color w:val="000000"/>
                                      <w:kern w:val="24"/>
                                    </w:rPr>
                                    <w:t>(</w:t>
                                  </w:r>
                                  <w:r>
                                    <w:rPr>
                                      <w:rFonts w:ascii="Calibri" w:eastAsia="Times New Roman" w:hAnsi="Calibri" w:cs="Arial"/>
                                      <w:i/>
                                      <w:iCs/>
                                      <w:color w:val="000000"/>
                                      <w:kern w:val="24"/>
                                    </w:rPr>
                                    <w:t>O</w:t>
                                  </w:r>
                                  <w:r>
                                    <w:rPr>
                                      <w:rFonts w:ascii="Calibri" w:eastAsia="Times New Roman" w:hAnsi="Calibri" w:cs="Arial"/>
                                      <w:color w:val="000000"/>
                                      <w:kern w:val="24"/>
                                    </w:rPr>
                                    <w:t>)</w:t>
                                  </w:r>
                                </w:p>
                              </w:txbxContent>
                            </wps:txbx>
                            <wps:bodyPr wrap="square" anchor="ctr">
                              <a:noAutofit/>
                            </wps:bodyPr>
                          </wps:wsp>
                          <wps:wsp>
                            <wps:cNvPr id="32" name="AutoShape 23"/>
                            <wps:cNvSpPr>
                              <a:spLocks noChangeAspect="1" noChangeArrowheads="1"/>
                            </wps:cNvSpPr>
                            <wps:spPr bwMode="auto">
                              <a:xfrm>
                                <a:off x="6570454" y="1067509"/>
                                <a:ext cx="1188321" cy="472889"/>
                              </a:xfrm>
                              <a:prstGeom prst="roundRect">
                                <a:avLst>
                                  <a:gd name="adj" fmla="val 16667"/>
                                </a:avLst>
                              </a:prstGeom>
                              <a:noFill/>
                              <a:ln w="9525">
                                <a:solidFill>
                                  <a:schemeClr val="tx1"/>
                                </a:solidFill>
                                <a:round/>
                                <a:headEnd/>
                                <a:tailEnd/>
                              </a:ln>
                              <a:effectLst/>
                              <a:extLst/>
                            </wps:spPr>
                            <wps:txbx>
                              <w:txbxContent>
                                <w:p w:rsidR="00A35938" w:rsidRDefault="00A35938" w:rsidP="00CF5C9C">
                                  <w:pPr>
                                    <w:pStyle w:val="Header"/>
                                    <w:kinsoku w:val="0"/>
                                    <w:overflowPunct w:val="0"/>
                                    <w:spacing w:line="180" w:lineRule="auto"/>
                                    <w:jc w:val="center"/>
                                  </w:pPr>
                                  <w:r>
                                    <w:rPr>
                                      <w:rFonts w:ascii="Calibri" w:eastAsia="Times New Roman" w:hAnsi="Calibri" w:cs="Arial"/>
                                      <w:color w:val="000000"/>
                                      <w:kern w:val="24"/>
                                    </w:rPr>
                                    <w:t xml:space="preserve">Recovered </w:t>
                                  </w:r>
                                </w:p>
                                <w:p w:rsidR="00A35938" w:rsidRDefault="00A35938" w:rsidP="00CF5C9C">
                                  <w:pPr>
                                    <w:pStyle w:val="Header"/>
                                    <w:kinsoku w:val="0"/>
                                    <w:overflowPunct w:val="0"/>
                                    <w:spacing w:line="180" w:lineRule="auto"/>
                                    <w:jc w:val="center"/>
                                  </w:pPr>
                                  <w:r>
                                    <w:rPr>
                                      <w:rFonts w:ascii="Calibri" w:eastAsia="Times New Roman" w:hAnsi="Calibri" w:cs="Arial"/>
                                      <w:color w:val="000000"/>
                                      <w:kern w:val="24"/>
                                    </w:rPr>
                                    <w:t>(</w:t>
                                  </w:r>
                                  <w:r>
                                    <w:rPr>
                                      <w:rFonts w:ascii="Calibri" w:eastAsia="Times New Roman" w:hAnsi="Calibri" w:cs="Arial"/>
                                      <w:i/>
                                      <w:iCs/>
                                      <w:color w:val="000000"/>
                                      <w:kern w:val="24"/>
                                    </w:rPr>
                                    <w:t>R</w:t>
                                  </w:r>
                                  <w:r>
                                    <w:rPr>
                                      <w:rFonts w:ascii="Calibri" w:eastAsia="Times New Roman" w:hAnsi="Calibri" w:cs="Arial"/>
                                      <w:color w:val="000000"/>
                                      <w:kern w:val="24"/>
                                    </w:rPr>
                                    <w:t>)</w:t>
                                  </w:r>
                                </w:p>
                              </w:txbxContent>
                            </wps:txbx>
                            <wps:bodyPr wrap="square" anchor="ctr">
                              <a:noAutofit/>
                            </wps:bodyPr>
                          </wps:wsp>
                          <wps:wsp>
                            <wps:cNvPr id="33" name="AutoShape 20"/>
                            <wps:cNvSpPr>
                              <a:spLocks noChangeAspect="1" noChangeArrowheads="1"/>
                            </wps:cNvSpPr>
                            <wps:spPr bwMode="auto">
                              <a:xfrm>
                                <a:off x="6329925" y="3658627"/>
                                <a:ext cx="1188327" cy="702295"/>
                              </a:xfrm>
                              <a:prstGeom prst="roundRect">
                                <a:avLst>
                                  <a:gd name="adj" fmla="val 16667"/>
                                </a:avLst>
                              </a:prstGeom>
                              <a:noFill/>
                              <a:ln w="9525">
                                <a:solidFill>
                                  <a:schemeClr val="tx1"/>
                                </a:solidFill>
                                <a:round/>
                                <a:headEnd/>
                                <a:tailEnd/>
                              </a:ln>
                              <a:effectLst/>
                              <a:extLst/>
                            </wps:spPr>
                            <wps:txbx>
                              <w:txbxContent>
                                <w:p w:rsidR="00A35938" w:rsidRDefault="00A35938" w:rsidP="00CF5C9C">
                                  <w:pPr>
                                    <w:pStyle w:val="Header"/>
                                    <w:kinsoku w:val="0"/>
                                    <w:overflowPunct w:val="0"/>
                                    <w:spacing w:line="180" w:lineRule="auto"/>
                                    <w:jc w:val="center"/>
                                  </w:pPr>
                                  <w:r>
                                    <w:rPr>
                                      <w:rFonts w:ascii="Calibri" w:eastAsia="Times New Roman" w:hAnsi="Calibri" w:cs="Arial"/>
                                      <w:color w:val="000000"/>
                                      <w:kern w:val="24"/>
                                    </w:rPr>
                                    <w:t>Post Liver Transplant</w:t>
                                  </w:r>
                                </w:p>
                                <w:p w:rsidR="00A35938" w:rsidRDefault="00A35938" w:rsidP="00CF5C9C">
                                  <w:pPr>
                                    <w:pStyle w:val="Header"/>
                                    <w:kinsoku w:val="0"/>
                                    <w:overflowPunct w:val="0"/>
                                    <w:spacing w:line="180" w:lineRule="auto"/>
                                    <w:jc w:val="center"/>
                                  </w:pPr>
                                  <w:r>
                                    <w:rPr>
                                      <w:rFonts w:ascii="Calibri" w:eastAsia="Times New Roman" w:hAnsi="Calibri" w:cs="Arial"/>
                                      <w:color w:val="000000"/>
                                      <w:kern w:val="24"/>
                                    </w:rPr>
                                    <w:t>(</w:t>
                                  </w:r>
                                  <w:r>
                                    <w:rPr>
                                      <w:rFonts w:ascii="Calibri" w:eastAsia="Times New Roman" w:hAnsi="Calibri" w:cs="Arial"/>
                                      <w:i/>
                                      <w:iCs/>
                                      <w:color w:val="000000"/>
                                      <w:kern w:val="24"/>
                                    </w:rPr>
                                    <w:t>L</w:t>
                                  </w:r>
                                  <w:r>
                                    <w:rPr>
                                      <w:rFonts w:ascii="Calibri" w:eastAsia="Times New Roman" w:hAnsi="Calibri" w:cs="Arial"/>
                                      <w:color w:val="000000"/>
                                      <w:kern w:val="24"/>
                                      <w:position w:val="-6"/>
                                      <w:vertAlign w:val="subscript"/>
                                    </w:rPr>
                                    <w:t>2</w:t>
                                  </w:r>
                                  <w:r>
                                    <w:rPr>
                                      <w:rFonts w:ascii="Calibri" w:eastAsia="Times New Roman" w:hAnsi="Calibri" w:cs="Arial"/>
                                      <w:color w:val="000000"/>
                                      <w:kern w:val="24"/>
                                    </w:rPr>
                                    <w:t>)</w:t>
                                  </w:r>
                                </w:p>
                              </w:txbxContent>
                            </wps:txbx>
                            <wps:bodyPr wrap="square" anchor="ctr">
                              <a:noAutofit/>
                            </wps:bodyPr>
                          </wps:wsp>
                          <wps:wsp>
                            <wps:cNvPr id="34" name="AutoShape 9"/>
                            <wps:cNvCnPr>
                              <a:cxnSpLocks noChangeAspect="1" noChangeShapeType="1"/>
                              <a:endCxn id="26" idx="0"/>
                            </wps:cNvCnPr>
                            <wps:spPr bwMode="auto">
                              <a:xfrm>
                                <a:off x="683064" y="451299"/>
                                <a:ext cx="0" cy="519636"/>
                              </a:xfrm>
                              <a:prstGeom prst="straightConnector1">
                                <a:avLst/>
                              </a:prstGeom>
                              <a:noFill/>
                              <a:ln w="19050">
                                <a:solidFill>
                                  <a:schemeClr val="tx1"/>
                                </a:solidFill>
                                <a:round/>
                                <a:headEnd/>
                                <a:tailEnd type="stealth" w="lg" len="lg"/>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bg2"/>
                                      </a:outerShdw>
                                    </a:effectLst>
                                  </a14:hiddenEffects>
                                </a:ext>
                              </a:extLst>
                            </wps:spPr>
                            <wps:bodyPr/>
                          </wps:wsp>
                          <wps:wsp>
                            <wps:cNvPr id="36" name="AutoShape 9"/>
                            <wps:cNvCnPr>
                              <a:cxnSpLocks noChangeAspect="1" noChangeShapeType="1"/>
                              <a:stCxn id="22" idx="3"/>
                              <a:endCxn id="24" idx="1"/>
                            </wps:cNvCnPr>
                            <wps:spPr bwMode="auto">
                              <a:xfrm>
                                <a:off x="1316138" y="2619652"/>
                                <a:ext cx="730580" cy="1180"/>
                              </a:xfrm>
                              <a:prstGeom prst="straightConnector1">
                                <a:avLst/>
                              </a:prstGeom>
                              <a:noFill/>
                              <a:ln w="19050">
                                <a:solidFill>
                                  <a:schemeClr val="tx1"/>
                                </a:solidFill>
                                <a:round/>
                                <a:headEnd/>
                                <a:tailEnd type="stealth" w="lg" len="lg"/>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bg2"/>
                                      </a:outerShdw>
                                    </a:effectLst>
                                  </a14:hiddenEffects>
                                </a:ext>
                              </a:extLst>
                            </wps:spPr>
                            <wps:bodyPr/>
                          </wps:wsp>
                          <wps:wsp>
                            <wps:cNvPr id="37" name="AutoShape 9"/>
                            <wps:cNvCnPr>
                              <a:cxnSpLocks noChangeAspect="1" noChangeShapeType="1"/>
                              <a:stCxn id="26" idx="2"/>
                              <a:endCxn id="22" idx="0"/>
                            </wps:cNvCnPr>
                            <wps:spPr bwMode="auto">
                              <a:xfrm flipH="1">
                                <a:off x="658066" y="1443767"/>
                                <a:ext cx="24798" cy="875573"/>
                              </a:xfrm>
                              <a:prstGeom prst="straightConnector1">
                                <a:avLst/>
                              </a:prstGeom>
                              <a:noFill/>
                              <a:ln w="19050">
                                <a:solidFill>
                                  <a:schemeClr val="tx1"/>
                                </a:solidFill>
                                <a:round/>
                                <a:headEnd/>
                                <a:tailEnd type="stealth" w="lg" len="lg"/>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bg2"/>
                                      </a:outerShdw>
                                    </a:effectLst>
                                  </a14:hiddenEffects>
                                </a:ext>
                              </a:extLst>
                            </wps:spPr>
                            <wps:bodyPr/>
                          </wps:wsp>
                          <wps:wsp>
                            <wps:cNvPr id="38" name="AutoShape 9"/>
                            <wps:cNvCnPr>
                              <a:cxnSpLocks noChangeAspect="1" noChangeShapeType="1"/>
                              <a:stCxn id="24" idx="3"/>
                              <a:endCxn id="31" idx="1"/>
                            </wps:cNvCnPr>
                            <wps:spPr bwMode="auto">
                              <a:xfrm flipV="1">
                                <a:off x="3235038" y="2326894"/>
                                <a:ext cx="1233531" cy="293938"/>
                              </a:xfrm>
                              <a:prstGeom prst="straightConnector1">
                                <a:avLst/>
                              </a:prstGeom>
                              <a:noFill/>
                              <a:ln w="19050">
                                <a:solidFill>
                                  <a:schemeClr val="tx1"/>
                                </a:solidFill>
                                <a:round/>
                                <a:headEnd/>
                                <a:tailEnd type="stealth" w="lg" len="lg"/>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bg2"/>
                                      </a:outerShdw>
                                    </a:effectLst>
                                  </a14:hiddenEffects>
                                </a:ext>
                              </a:extLst>
                            </wps:spPr>
                            <wps:bodyPr/>
                          </wps:wsp>
                          <wps:wsp>
                            <wps:cNvPr id="39" name="AutoShape 9"/>
                            <wps:cNvCnPr>
                              <a:cxnSpLocks noChangeAspect="1" noChangeShapeType="1"/>
                              <a:stCxn id="24" idx="3"/>
                              <a:endCxn id="27" idx="1"/>
                            </wps:cNvCnPr>
                            <wps:spPr bwMode="auto">
                              <a:xfrm flipV="1">
                                <a:off x="3235038" y="405194"/>
                                <a:ext cx="1233144" cy="2215638"/>
                              </a:xfrm>
                              <a:prstGeom prst="straightConnector1">
                                <a:avLst/>
                              </a:prstGeom>
                              <a:noFill/>
                              <a:ln w="19050">
                                <a:solidFill>
                                  <a:schemeClr val="tx1"/>
                                </a:solidFill>
                                <a:round/>
                                <a:headEnd/>
                                <a:tailEnd type="stealth" w="lg" len="lg"/>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bg2"/>
                                      </a:outerShdw>
                                    </a:effectLst>
                                  </a14:hiddenEffects>
                                </a:ext>
                              </a:extLst>
                            </wps:spPr>
                            <wps:bodyPr/>
                          </wps:wsp>
                          <wps:wsp>
                            <wps:cNvPr id="40" name="AutoShape 9"/>
                            <wps:cNvCnPr>
                              <a:cxnSpLocks noChangeAspect="1" noChangeShapeType="1"/>
                              <a:stCxn id="24" idx="3"/>
                              <a:endCxn id="28" idx="1"/>
                            </wps:cNvCnPr>
                            <wps:spPr bwMode="auto">
                              <a:xfrm flipV="1">
                                <a:off x="3235038" y="1293162"/>
                                <a:ext cx="1232653" cy="1327670"/>
                              </a:xfrm>
                              <a:prstGeom prst="straightConnector1">
                                <a:avLst/>
                              </a:prstGeom>
                              <a:noFill/>
                              <a:ln w="19050">
                                <a:solidFill>
                                  <a:schemeClr val="tx1"/>
                                </a:solidFill>
                                <a:round/>
                                <a:headEnd/>
                                <a:tailEnd type="stealth" w="lg" len="lg"/>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bg2"/>
                                      </a:outerShdw>
                                    </a:effectLst>
                                  </a14:hiddenEffects>
                                </a:ext>
                              </a:extLst>
                            </wps:spPr>
                            <wps:bodyPr/>
                          </wps:wsp>
                          <wps:wsp>
                            <wps:cNvPr id="41" name="AutoShape 9"/>
                            <wps:cNvCnPr>
                              <a:cxnSpLocks noChangeAspect="1" noChangeShapeType="1"/>
                              <a:stCxn id="24" idx="3"/>
                              <a:endCxn id="30" idx="1"/>
                            </wps:cNvCnPr>
                            <wps:spPr bwMode="auto">
                              <a:xfrm>
                                <a:off x="3235038" y="2620832"/>
                                <a:ext cx="1246203" cy="598018"/>
                              </a:xfrm>
                              <a:prstGeom prst="straightConnector1">
                                <a:avLst/>
                              </a:prstGeom>
                              <a:noFill/>
                              <a:ln w="19050">
                                <a:solidFill>
                                  <a:schemeClr val="tx1"/>
                                </a:solidFill>
                                <a:round/>
                                <a:headEnd/>
                                <a:tailEnd type="stealth" w="lg" len="lg"/>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bg2"/>
                                      </a:outerShdw>
                                    </a:effectLst>
                                  </a14:hiddenEffects>
                                </a:ext>
                              </a:extLst>
                            </wps:spPr>
                            <wps:bodyPr/>
                          </wps:wsp>
                          <wps:wsp>
                            <wps:cNvPr id="42" name="AutoShape 23"/>
                            <wps:cNvSpPr>
                              <a:spLocks noChangeAspect="1" noChangeArrowheads="1"/>
                            </wps:cNvSpPr>
                            <wps:spPr bwMode="auto">
                              <a:xfrm>
                                <a:off x="4467694" y="4950397"/>
                                <a:ext cx="1499048" cy="785950"/>
                              </a:xfrm>
                              <a:prstGeom prst="roundRect">
                                <a:avLst>
                                  <a:gd name="adj" fmla="val 16667"/>
                                </a:avLst>
                              </a:prstGeom>
                              <a:noFill/>
                              <a:ln w="9525">
                                <a:solidFill>
                                  <a:schemeClr val="tx1"/>
                                </a:solidFill>
                                <a:round/>
                                <a:headEnd/>
                                <a:tailEnd/>
                              </a:ln>
                              <a:effectLst/>
                              <a:extLst/>
                            </wps:spPr>
                            <wps:txbx>
                              <w:txbxContent>
                                <w:p w:rsidR="00A35938" w:rsidRDefault="00A35938" w:rsidP="00CF5C9C">
                                  <w:pPr>
                                    <w:pStyle w:val="Header"/>
                                    <w:kinsoku w:val="0"/>
                                    <w:overflowPunct w:val="0"/>
                                    <w:spacing w:line="180" w:lineRule="auto"/>
                                    <w:jc w:val="center"/>
                                  </w:pPr>
                                  <w:r>
                                    <w:rPr>
                                      <w:rFonts w:ascii="Calibri" w:eastAsia="Times New Roman" w:hAnsi="Calibri" w:cs="Arial"/>
                                      <w:color w:val="000000"/>
                                      <w:kern w:val="24"/>
                                    </w:rPr>
                                    <w:t>Death from liver disease</w:t>
                                  </w:r>
                                </w:p>
                                <w:p w:rsidR="00A35938" w:rsidRDefault="00A35938" w:rsidP="00CF5C9C">
                                  <w:pPr>
                                    <w:pStyle w:val="Header"/>
                                    <w:kinsoku w:val="0"/>
                                    <w:overflowPunct w:val="0"/>
                                    <w:spacing w:line="180" w:lineRule="auto"/>
                                    <w:jc w:val="center"/>
                                  </w:pPr>
                                  <w:r>
                                    <w:rPr>
                                      <w:rFonts w:ascii="Calibri" w:eastAsia="Times New Roman" w:hAnsi="Calibri" w:cs="Arial"/>
                                      <w:color w:val="000000"/>
                                      <w:kern w:val="24"/>
                                    </w:rPr>
                                    <w:t>(</w:t>
                                  </w:r>
                                  <w:r>
                                    <w:rPr>
                                      <w:rFonts w:ascii="Calibri" w:eastAsia="Times New Roman" w:hAnsi="Calibri" w:cs="Arial"/>
                                      <w:i/>
                                      <w:iCs/>
                                      <w:color w:val="000000"/>
                                      <w:kern w:val="24"/>
                                    </w:rPr>
                                    <w:t>D</w:t>
                                  </w:r>
                                  <w:r>
                                    <w:rPr>
                                      <w:rFonts w:ascii="Calibri" w:eastAsia="Times New Roman" w:hAnsi="Calibri" w:cs="Arial"/>
                                      <w:color w:val="000000"/>
                                      <w:kern w:val="24"/>
                                    </w:rPr>
                                    <w:t>)</w:t>
                                  </w:r>
                                </w:p>
                              </w:txbxContent>
                            </wps:txbx>
                            <wps:bodyPr wrap="square" anchor="ctr">
                              <a:noAutofit/>
                            </wps:bodyPr>
                          </wps:wsp>
                          <wps:wsp>
                            <wps:cNvPr id="43" name="AutoShape 9"/>
                            <wps:cNvCnPr>
                              <a:cxnSpLocks noChangeAspect="1" noChangeShapeType="1"/>
                              <a:stCxn id="27" idx="3"/>
                              <a:endCxn id="32" idx="1"/>
                            </wps:cNvCnPr>
                            <wps:spPr bwMode="auto">
                              <a:xfrm>
                                <a:off x="5992084" y="405177"/>
                                <a:ext cx="578370" cy="898777"/>
                              </a:xfrm>
                              <a:prstGeom prst="straightConnector1">
                                <a:avLst/>
                              </a:prstGeom>
                              <a:noFill/>
                              <a:ln w="19050">
                                <a:solidFill>
                                  <a:schemeClr val="tx1"/>
                                </a:solidFill>
                                <a:round/>
                                <a:headEnd/>
                                <a:tailEnd type="stealth" w="lg" len="lg"/>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bg2"/>
                                      </a:outerShdw>
                                    </a:effectLst>
                                  </a14:hiddenEffects>
                                </a:ext>
                              </a:extLst>
                            </wps:spPr>
                            <wps:bodyPr/>
                          </wps:wsp>
                          <wps:wsp>
                            <wps:cNvPr id="44" name="AutoShape 9"/>
                            <wps:cNvCnPr>
                              <a:cxnSpLocks noChangeAspect="1" noChangeShapeType="1"/>
                              <a:stCxn id="28" idx="3"/>
                              <a:endCxn id="32" idx="1"/>
                            </wps:cNvCnPr>
                            <wps:spPr bwMode="auto">
                              <a:xfrm>
                                <a:off x="6004757" y="1293149"/>
                                <a:ext cx="565697" cy="10805"/>
                              </a:xfrm>
                              <a:prstGeom prst="straightConnector1">
                                <a:avLst/>
                              </a:prstGeom>
                              <a:noFill/>
                              <a:ln w="19050">
                                <a:solidFill>
                                  <a:schemeClr val="tx1"/>
                                </a:solidFill>
                                <a:round/>
                                <a:headEnd/>
                                <a:tailEnd type="stealth" w="lg" len="lg"/>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bg2"/>
                                      </a:outerShdw>
                                    </a:effectLst>
                                  </a14:hiddenEffects>
                                </a:ext>
                              </a:extLst>
                            </wps:spPr>
                            <wps:bodyPr/>
                          </wps:wsp>
                          <wps:wsp>
                            <wps:cNvPr id="45" name="AutoShape 9"/>
                            <wps:cNvCnPr>
                              <a:cxnSpLocks noChangeAspect="1" noChangeShapeType="1"/>
                              <a:stCxn id="31" idx="3"/>
                              <a:endCxn id="32" idx="1"/>
                            </wps:cNvCnPr>
                            <wps:spPr bwMode="auto">
                              <a:xfrm flipV="1">
                                <a:off x="6004757" y="1303954"/>
                                <a:ext cx="565697" cy="1022927"/>
                              </a:xfrm>
                              <a:prstGeom prst="straightConnector1">
                                <a:avLst/>
                              </a:prstGeom>
                              <a:noFill/>
                              <a:ln w="19050">
                                <a:solidFill>
                                  <a:schemeClr val="tx1"/>
                                </a:solidFill>
                                <a:round/>
                                <a:headEnd/>
                                <a:tailEnd type="stealth" w="lg" len="lg"/>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bg2"/>
                                      </a:outerShdw>
                                    </a:effectLst>
                                  </a14:hiddenEffects>
                                </a:ext>
                              </a:extLst>
                            </wps:spPr>
                            <wps:bodyPr/>
                          </wps:wsp>
                          <wps:wsp>
                            <wps:cNvPr id="46" name="AutoShape 9"/>
                            <wps:cNvCnPr>
                              <a:cxnSpLocks noChangeAspect="1" noChangeShapeType="1"/>
                              <a:stCxn id="30" idx="3"/>
                              <a:endCxn id="32" idx="2"/>
                            </wps:cNvCnPr>
                            <wps:spPr bwMode="auto">
                              <a:xfrm flipV="1">
                                <a:off x="5941396" y="1540397"/>
                                <a:ext cx="1223218" cy="1678453"/>
                              </a:xfrm>
                              <a:prstGeom prst="straightConnector1">
                                <a:avLst/>
                              </a:prstGeom>
                              <a:noFill/>
                              <a:ln w="19050">
                                <a:solidFill>
                                  <a:schemeClr val="tx1"/>
                                </a:solidFill>
                                <a:round/>
                                <a:headEnd/>
                                <a:tailEnd type="stealth" w="lg" len="lg"/>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bg2"/>
                                      </a:outerShdw>
                                    </a:effectLst>
                                  </a14:hiddenEffects>
                                </a:ext>
                              </a:extLst>
                            </wps:spPr>
                            <wps:bodyPr/>
                          </wps:wsp>
                          <wps:wsp>
                            <wps:cNvPr id="47" name="AutoShape 9"/>
                            <wps:cNvCnPr>
                              <a:cxnSpLocks noChangeAspect="1" noChangeShapeType="1"/>
                              <a:stCxn id="24" idx="3"/>
                              <a:endCxn id="42" idx="1"/>
                            </wps:cNvCnPr>
                            <wps:spPr bwMode="auto">
                              <a:xfrm>
                                <a:off x="3235038" y="2620832"/>
                                <a:ext cx="1232656" cy="2722540"/>
                              </a:xfrm>
                              <a:prstGeom prst="straightConnector1">
                                <a:avLst/>
                              </a:prstGeom>
                              <a:noFill/>
                              <a:ln w="19050">
                                <a:solidFill>
                                  <a:schemeClr val="tx1"/>
                                </a:solidFill>
                                <a:round/>
                                <a:headEnd/>
                                <a:tailEnd type="stealth" w="lg" len="lg"/>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bg2"/>
                                      </a:outerShdw>
                                    </a:effectLst>
                                  </a14:hiddenEffects>
                                </a:ext>
                              </a:extLst>
                            </wps:spPr>
                            <wps:bodyPr/>
                          </wps:wsp>
                          <wps:wsp>
                            <wps:cNvPr id="48" name="AutoShape 9"/>
                            <wps:cNvCnPr>
                              <a:cxnSpLocks noChangeAspect="1" noChangeShapeType="1"/>
                              <a:stCxn id="24" idx="3"/>
                              <a:endCxn id="29" idx="1"/>
                            </wps:cNvCnPr>
                            <wps:spPr bwMode="auto">
                              <a:xfrm>
                                <a:off x="3235038" y="2620832"/>
                                <a:ext cx="1258509" cy="1388737"/>
                              </a:xfrm>
                              <a:prstGeom prst="straightConnector1">
                                <a:avLst/>
                              </a:prstGeom>
                              <a:noFill/>
                              <a:ln w="19050">
                                <a:solidFill>
                                  <a:schemeClr val="tx1"/>
                                </a:solidFill>
                                <a:round/>
                                <a:headEnd/>
                                <a:tailEnd type="stealth" w="lg" len="lg"/>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bg2"/>
                                      </a:outerShdw>
                                    </a:effectLst>
                                  </a14:hiddenEffects>
                                </a:ext>
                              </a:extLst>
                            </wps:spPr>
                            <wps:bodyPr/>
                          </wps:wsp>
                          <wps:wsp>
                            <wps:cNvPr id="49" name="AutoShape 9"/>
                            <wps:cNvCnPr>
                              <a:cxnSpLocks noChangeAspect="1" noChangeShapeType="1"/>
                              <a:stCxn id="29" idx="3"/>
                              <a:endCxn id="33" idx="1"/>
                            </wps:cNvCnPr>
                            <wps:spPr bwMode="auto">
                              <a:xfrm>
                                <a:off x="5979412" y="4009569"/>
                                <a:ext cx="350513" cy="205"/>
                              </a:xfrm>
                              <a:prstGeom prst="straightConnector1">
                                <a:avLst/>
                              </a:prstGeom>
                              <a:noFill/>
                              <a:ln w="19050">
                                <a:solidFill>
                                  <a:schemeClr val="tx1"/>
                                </a:solidFill>
                                <a:round/>
                                <a:headEnd/>
                                <a:tailEnd type="stealth" w="lg" len="lg"/>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bg2"/>
                                      </a:outerShdw>
                                    </a:effectLst>
                                  </a14:hiddenEffects>
                                </a:ext>
                              </a:extLst>
                            </wps:spPr>
                            <wps:bodyPr/>
                          </wps:wsp>
                          <wps:wsp>
                            <wps:cNvPr id="50" name="AutoShape 9"/>
                            <wps:cNvCnPr>
                              <a:cxnSpLocks noChangeAspect="1" noChangeShapeType="1"/>
                              <a:stCxn id="29" idx="2"/>
                              <a:endCxn id="42" idx="0"/>
                            </wps:cNvCnPr>
                            <wps:spPr bwMode="auto">
                              <a:xfrm flipH="1">
                                <a:off x="5217219" y="4360717"/>
                                <a:ext cx="19261" cy="589680"/>
                              </a:xfrm>
                              <a:prstGeom prst="straightConnector1">
                                <a:avLst/>
                              </a:prstGeom>
                              <a:noFill/>
                              <a:ln w="19050">
                                <a:solidFill>
                                  <a:schemeClr val="tx1"/>
                                </a:solidFill>
                                <a:round/>
                                <a:headEnd/>
                                <a:tailEnd type="stealth" w="lg" len="lg"/>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bg2"/>
                                      </a:outerShdw>
                                    </a:effectLst>
                                  </a14:hiddenEffects>
                                </a:ext>
                              </a:extLst>
                            </wps:spPr>
                            <wps:bodyPr/>
                          </wps:wsp>
                          <wps:wsp>
                            <wps:cNvPr id="51" name="AutoShape 9"/>
                            <wps:cNvCnPr>
                              <a:cxnSpLocks noChangeAspect="1" noChangeShapeType="1"/>
                              <a:stCxn id="33" idx="2"/>
                              <a:endCxn id="42" idx="3"/>
                            </wps:cNvCnPr>
                            <wps:spPr bwMode="auto">
                              <a:xfrm flipH="1">
                                <a:off x="5966742" y="4360922"/>
                                <a:ext cx="957348" cy="982451"/>
                              </a:xfrm>
                              <a:prstGeom prst="straightConnector1">
                                <a:avLst/>
                              </a:prstGeom>
                              <a:noFill/>
                              <a:ln w="19050">
                                <a:solidFill>
                                  <a:schemeClr val="tx1"/>
                                </a:solidFill>
                                <a:round/>
                                <a:headEnd/>
                                <a:tailEnd type="stealth" w="lg" len="lg"/>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bg2"/>
                                      </a:outerShdw>
                                    </a:effectLst>
                                  </a14:hiddenEffects>
                                </a:ext>
                              </a:extLst>
                            </wps:spPr>
                            <wps:bodyPr/>
                          </wps:wsp>
                        </wpg:grpSp>
                        <wps:wsp>
                          <wps:cNvPr id="9" name="Text Box 1"/>
                          <wps:cNvSpPr txBox="1"/>
                          <wps:spPr>
                            <a:xfrm>
                              <a:off x="621387" y="1345876"/>
                              <a:ext cx="302895" cy="3746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A35938" w:rsidRDefault="00A35938" w:rsidP="00CF5C9C">
                                <w:pPr>
                                  <w:pStyle w:val="Header"/>
                                </w:pPr>
                                <w:r>
                                  <w:rPr>
                                    <w:rFonts w:eastAsia="Batang" w:hAnsi="Symbol" w:hint="eastAsia"/>
                                    <w:color w:val="000000" w:themeColor="dark1"/>
                                    <w:kern w:val="24"/>
                                  </w:rPr>
                                  <w:sym w:font="Symbol" w:char="F078"/>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0" name="Text Box 288"/>
                          <wps:cNvSpPr txBox="1"/>
                          <wps:spPr>
                            <a:xfrm>
                              <a:off x="748814" y="2873062"/>
                              <a:ext cx="753752" cy="3302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A35938" w:rsidRDefault="00A35938" w:rsidP="00CF5C9C">
                                <w:pPr>
                                  <w:pStyle w:val="Header"/>
                                </w:pPr>
                                <w:r>
                                  <w:rPr>
                                    <w:rFonts w:eastAsia="Batang" w:hAnsi="Symbol" w:hint="eastAsia"/>
                                    <w:color w:val="000000" w:themeColor="dark1"/>
                                    <w:kern w:val="24"/>
                                  </w:rPr>
                                  <w:sym w:font="Symbol" w:char="F066"/>
                                </w:r>
                                <w:r>
                                  <w:rPr>
                                    <w:rFonts w:eastAsia="Batang" w:hAnsi="Symbol"/>
                                    <w:color w:val="000000" w:themeColor="dark1"/>
                                    <w:kern w:val="24"/>
                                  </w:rPr>
                                  <w:t>(1-</w:t>
                                </w:r>
                                <w:r>
                                  <w:rPr>
                                    <w:rFonts w:eastAsia="Batang" w:hAnsi="Symbol"/>
                                    <w:color w:val="000000" w:themeColor="dark1"/>
                                    <w:kern w:val="24"/>
                                  </w:rPr>
                                  <w:sym w:font="Symbol" w:char="F06A"/>
                                </w:r>
                                <w:r>
                                  <w:rPr>
                                    <w:rFonts w:eastAsia="Batang" w:hAnsi="Symbol"/>
                                    <w:color w:val="000000" w:themeColor="dark1"/>
                                    <w:kern w:val="24"/>
                                  </w:rPr>
                                  <w:t>)</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1" name="Text Box 289"/>
                          <wps:cNvSpPr txBox="1"/>
                          <wps:spPr>
                            <a:xfrm>
                              <a:off x="1380063" y="3215884"/>
                              <a:ext cx="426591" cy="3175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A35938" w:rsidRPr="003E319A" w:rsidRDefault="00A35938" w:rsidP="00CF5C9C">
                                <w:pPr>
                                  <w:pStyle w:val="Header"/>
                                  <w:rPr>
                                    <w:vertAlign w:val="subscript"/>
                                  </w:rPr>
                                </w:pPr>
                                <w:r>
                                  <w:rPr>
                                    <w:rFonts w:eastAsia="Batang" w:hAnsi="Symbol" w:hint="eastAsia"/>
                                    <w:color w:val="000000" w:themeColor="dark1"/>
                                    <w:kern w:val="24"/>
                                  </w:rPr>
                                  <w:sym w:font="Symbol" w:char="F067"/>
                                </w:r>
                                <w:r>
                                  <w:rPr>
                                    <w:rFonts w:eastAsia="Batang" w:hAnsi="Symbol"/>
                                    <w:color w:val="000000" w:themeColor="dark1"/>
                                    <w:kern w:val="24"/>
                                    <w:vertAlign w:val="subscript"/>
                                  </w:rPr>
                                  <w:t>1</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2" name="Text Box 290"/>
                          <wps:cNvSpPr txBox="1"/>
                          <wps:spPr>
                            <a:xfrm>
                              <a:off x="1318848" y="2121819"/>
                              <a:ext cx="323849" cy="2762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A35938" w:rsidRDefault="00A35938" w:rsidP="00CF5C9C">
                                <w:pPr>
                                  <w:pStyle w:val="Header"/>
                                </w:pPr>
                                <w:r>
                                  <w:rPr>
                                    <w:rFonts w:eastAsia="Batang" w:hAnsi="Symbol" w:hint="eastAsia"/>
                                    <w:color w:val="000000" w:themeColor="dark1"/>
                                    <w:kern w:val="24"/>
                                  </w:rPr>
                                  <w:sym w:font="Symbol" w:char="F06C"/>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3" name="Text Box 291"/>
                          <wps:cNvSpPr txBox="1"/>
                          <wps:spPr>
                            <a:xfrm>
                              <a:off x="2887283" y="943860"/>
                              <a:ext cx="881579" cy="3270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A35938" w:rsidRDefault="00A35938" w:rsidP="00CF5C9C">
                                <w:pPr>
                                  <w:pStyle w:val="Header"/>
                                </w:pPr>
                                <w:r>
                                  <w:rPr>
                                    <w:rFonts w:eastAsia="Batang"/>
                                    <w:color w:val="000000" w:themeColor="dark1"/>
                                    <w:kern w:val="24"/>
                                  </w:rPr>
                                  <w:t>(1</w:t>
                                </w:r>
                                <w:r>
                                  <w:rPr>
                                    <w:rFonts w:eastAsia="Batang" w:hAnsi="Symbol" w:hint="eastAsia"/>
                                    <w:color w:val="000000" w:themeColor="dark1"/>
                                    <w:kern w:val="24"/>
                                  </w:rPr>
                                  <w:sym w:font="Symbol" w:char="F02D"/>
                                </w:r>
                                <w:r>
                                  <w:rPr>
                                    <w:rFonts w:eastAsia="Batang" w:hAnsi="Symbol" w:hint="eastAsia"/>
                                    <w:color w:val="000000" w:themeColor="dark1"/>
                                    <w:kern w:val="24"/>
                                  </w:rPr>
                                  <w:sym w:font="Symbol" w:char="F061"/>
                                </w:r>
                                <w:r>
                                  <w:rPr>
                                    <w:rFonts w:eastAsia="Batang"/>
                                    <w:color w:val="000000" w:themeColor="dark1"/>
                                    <w:kern w:val="24"/>
                                  </w:rPr>
                                  <w:t>)</w:t>
                                </w:r>
                                <w:r>
                                  <w:rPr>
                                    <w:rFonts w:eastAsia="Batang" w:hAnsi="Symbol" w:hint="eastAsia"/>
                                    <w:color w:val="000000" w:themeColor="dark1"/>
                                    <w:kern w:val="24"/>
                                  </w:rPr>
                                  <w:sym w:font="Symbol" w:char="F064"/>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4" name="Text Box 292"/>
                          <wps:cNvSpPr txBox="1"/>
                          <wps:spPr>
                            <a:xfrm>
                              <a:off x="3491335" y="1570364"/>
                              <a:ext cx="614171" cy="3270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A35938" w:rsidRDefault="00A35938" w:rsidP="00CF5C9C">
                                <w:pPr>
                                  <w:pStyle w:val="Header"/>
                                </w:pPr>
                                <w:r>
                                  <w:rPr>
                                    <w:rFonts w:eastAsia="Batang" w:hAnsi="Symbol" w:hint="eastAsia"/>
                                    <w:color w:val="000000" w:themeColor="dark1"/>
                                    <w:kern w:val="24"/>
                                  </w:rPr>
                                  <w:sym w:font="Symbol" w:char="F065"/>
                                </w:r>
                                <w:r>
                                  <w:rPr>
                                    <w:rFonts w:eastAsia="Batang" w:hAnsi="Symbol" w:hint="eastAsia"/>
                                    <w:color w:val="000000" w:themeColor="dark1"/>
                                    <w:kern w:val="24"/>
                                  </w:rPr>
                                  <w:sym w:font="Symbol" w:char="F061"/>
                                </w:r>
                                <w:r>
                                  <w:rPr>
                                    <w:rFonts w:eastAsia="Batang" w:hAnsi="Symbol" w:hint="eastAsia"/>
                                    <w:color w:val="000000" w:themeColor="dark1"/>
                                    <w:kern w:val="24"/>
                                  </w:rPr>
                                  <w:sym w:font="Symbol" w:char="F064"/>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5" name="Text Box 293"/>
                          <wps:cNvSpPr txBox="1"/>
                          <wps:spPr>
                            <a:xfrm>
                              <a:off x="3373133" y="2701181"/>
                              <a:ext cx="698034" cy="3270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A35938" w:rsidRDefault="00A35938" w:rsidP="00CF5C9C">
                                <w:pPr>
                                  <w:pStyle w:val="Header"/>
                                </w:pPr>
                                <w:r>
                                  <w:rPr>
                                    <w:rFonts w:eastAsia="Batang" w:hAnsi="Symbol" w:hint="eastAsia"/>
                                    <w:color w:val="000000" w:themeColor="dark1"/>
                                    <w:kern w:val="24"/>
                                  </w:rPr>
                                  <w:sym w:font="Symbol" w:char="F068"/>
                                </w:r>
                                <w:r>
                                  <w:rPr>
                                    <w:rFonts w:eastAsia="Batang" w:hAnsi="Symbol" w:hint="eastAsia"/>
                                    <w:color w:val="000000" w:themeColor="dark1"/>
                                    <w:kern w:val="24"/>
                                  </w:rPr>
                                  <w:sym w:font="Symbol" w:char="F061"/>
                                </w:r>
                                <w:r>
                                  <w:rPr>
                                    <w:rFonts w:eastAsia="Batang" w:hAnsi="Symbol" w:hint="eastAsia"/>
                                    <w:color w:val="000000" w:themeColor="dark1"/>
                                    <w:kern w:val="24"/>
                                  </w:rPr>
                                  <w:sym w:font="Symbol" w:char="F064"/>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6" name="Text Box 294"/>
                          <wps:cNvSpPr txBox="1"/>
                          <wps:spPr>
                            <a:xfrm>
                              <a:off x="3455372" y="3483887"/>
                              <a:ext cx="614052" cy="3270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A35938" w:rsidRDefault="00A35938" w:rsidP="00CF5C9C">
                                <w:pPr>
                                  <w:pStyle w:val="Header"/>
                                </w:pPr>
                                <w:r>
                                  <w:rPr>
                                    <w:rFonts w:eastAsia="Batang" w:hAnsi="Symbol" w:hint="eastAsia"/>
                                    <w:color w:val="000000" w:themeColor="dark1"/>
                                    <w:kern w:val="24"/>
                                  </w:rPr>
                                  <w:sym w:font="Symbol" w:char="F06E"/>
                                </w:r>
                                <w:r>
                                  <w:rPr>
                                    <w:rFonts w:eastAsia="Batang" w:hAnsi="Symbol" w:hint="eastAsia"/>
                                    <w:color w:val="000000" w:themeColor="dark1"/>
                                    <w:kern w:val="24"/>
                                  </w:rPr>
                                  <w:sym w:font="Symbol" w:char="F061"/>
                                </w:r>
                                <w:r>
                                  <w:rPr>
                                    <w:rFonts w:eastAsia="Batang" w:hAnsi="Symbol" w:hint="eastAsia"/>
                                    <w:color w:val="000000" w:themeColor="dark1"/>
                                    <w:kern w:val="24"/>
                                  </w:rPr>
                                  <w:sym w:font="Symbol" w:char="F064"/>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7" name="Text Box 295"/>
                          <wps:cNvSpPr txBox="1"/>
                          <wps:spPr>
                            <a:xfrm>
                              <a:off x="3046639" y="2268843"/>
                              <a:ext cx="1453799" cy="3270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A35938" w:rsidRDefault="00A35938" w:rsidP="00CF5C9C">
                                <w:pPr>
                                  <w:pStyle w:val="Header"/>
                                </w:pPr>
                                <w:r>
                                  <w:rPr>
                                    <w:rFonts w:eastAsia="Batang"/>
                                    <w:color w:val="000000" w:themeColor="dark1"/>
                                    <w:kern w:val="24"/>
                                  </w:rPr>
                                  <w:t>(1</w:t>
                                </w:r>
                                <w:r>
                                  <w:rPr>
                                    <w:rFonts w:eastAsia="Batang" w:hAnsi="Symbol" w:hint="eastAsia"/>
                                    <w:color w:val="000000" w:themeColor="dark1"/>
                                    <w:kern w:val="24"/>
                                  </w:rPr>
                                  <w:sym w:font="Symbol" w:char="F02D"/>
                                </w:r>
                                <w:r>
                                  <w:rPr>
                                    <w:rFonts w:eastAsia="Batang" w:hAnsi="Symbol" w:hint="eastAsia"/>
                                    <w:color w:val="000000" w:themeColor="dark1"/>
                                    <w:kern w:val="24"/>
                                  </w:rPr>
                                  <w:sym w:font="Symbol" w:char="F065"/>
                                </w:r>
                                <w:r>
                                  <w:rPr>
                                    <w:rFonts w:eastAsia="Batang" w:hAnsi="Symbol" w:hint="eastAsia"/>
                                    <w:color w:val="000000" w:themeColor="dark1"/>
                                    <w:kern w:val="24"/>
                                  </w:rPr>
                                  <w:sym w:font="Symbol" w:char="F02D"/>
                                </w:r>
                                <w:r>
                                  <w:rPr>
                                    <w:rFonts w:eastAsia="Batang" w:hAnsi="Symbol" w:hint="eastAsia"/>
                                    <w:color w:val="000000" w:themeColor="dark1"/>
                                    <w:kern w:val="24"/>
                                  </w:rPr>
                                  <w:sym w:font="Symbol" w:char="F068"/>
                                </w:r>
                                <w:r>
                                  <w:rPr>
                                    <w:rFonts w:eastAsia="Batang" w:hAnsi="Symbol" w:hint="eastAsia"/>
                                    <w:color w:val="000000" w:themeColor="dark1"/>
                                    <w:kern w:val="24"/>
                                  </w:rPr>
                                  <w:sym w:font="Symbol" w:char="F02D"/>
                                </w:r>
                                <w:r>
                                  <w:rPr>
                                    <w:rFonts w:eastAsia="Batang" w:hAnsi="Symbol" w:hint="eastAsia"/>
                                    <w:color w:val="000000" w:themeColor="dark1"/>
                                    <w:kern w:val="24"/>
                                  </w:rPr>
                                  <w:sym w:font="Symbol" w:char="F06E"/>
                                </w:r>
                                <w:r>
                                  <w:rPr>
                                    <w:rFonts w:eastAsia="Batang" w:hAnsi="Symbol" w:hint="eastAsia"/>
                                    <w:color w:val="000000" w:themeColor="dark1"/>
                                    <w:kern w:val="24"/>
                                  </w:rPr>
                                  <w:sym w:font="Symbol" w:char="F02D"/>
                                </w:r>
                                <w:r>
                                  <w:rPr>
                                    <w:rFonts w:eastAsia="Batang" w:hAnsi="Symbol" w:hint="eastAsia"/>
                                    <w:color w:val="000000" w:themeColor="dark1"/>
                                    <w:kern w:val="24"/>
                                  </w:rPr>
                                  <w:sym w:font="Symbol" w:char="F07A"/>
                                </w:r>
                                <w:r>
                                  <w:rPr>
                                    <w:rFonts w:eastAsia="Batang"/>
                                    <w:color w:val="000000" w:themeColor="dark1"/>
                                    <w:kern w:val="24"/>
                                  </w:rPr>
                                  <w:t>)</w:t>
                                </w:r>
                                <w:r>
                                  <w:rPr>
                                    <w:rFonts w:eastAsia="Batang" w:hAnsi="Symbol" w:hint="eastAsia"/>
                                    <w:color w:val="000000" w:themeColor="dark1"/>
                                    <w:kern w:val="24"/>
                                  </w:rPr>
                                  <w:sym w:font="Symbol" w:char="F061"/>
                                </w:r>
                                <w:r>
                                  <w:rPr>
                                    <w:rFonts w:eastAsia="Batang" w:hAnsi="Symbol" w:hint="eastAsia"/>
                                    <w:color w:val="000000" w:themeColor="dark1"/>
                                    <w:kern w:val="24"/>
                                  </w:rPr>
                                  <w:sym w:font="Symbol" w:char="F064"/>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8" name="Text Box 296"/>
                          <wps:cNvSpPr txBox="1"/>
                          <wps:spPr>
                            <a:xfrm>
                              <a:off x="3108554" y="3790992"/>
                              <a:ext cx="625440" cy="3270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A35938" w:rsidRDefault="00A35938" w:rsidP="00CF5C9C">
                                <w:pPr>
                                  <w:pStyle w:val="Header"/>
                                </w:pPr>
                                <w:r>
                                  <w:rPr>
                                    <w:rFonts w:eastAsia="Batang" w:hAnsi="Symbol" w:hint="eastAsia"/>
                                    <w:color w:val="000000" w:themeColor="dark1"/>
                                    <w:kern w:val="24"/>
                                  </w:rPr>
                                  <w:sym w:font="Symbol" w:char="F07A"/>
                                </w:r>
                                <w:r>
                                  <w:rPr>
                                    <w:rFonts w:eastAsia="Batang" w:hAnsi="Symbol" w:hint="eastAsia"/>
                                    <w:color w:val="000000" w:themeColor="dark1"/>
                                    <w:kern w:val="24"/>
                                  </w:rPr>
                                  <w:sym w:font="Symbol" w:char="F061"/>
                                </w:r>
                                <w:r>
                                  <w:rPr>
                                    <w:rFonts w:eastAsia="Batang" w:hAnsi="Symbol" w:hint="eastAsia"/>
                                    <w:color w:val="000000" w:themeColor="dark1"/>
                                    <w:kern w:val="24"/>
                                  </w:rPr>
                                  <w:sym w:font="Symbol" w:char="F064"/>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9" name="Text Box 298"/>
                          <wps:cNvSpPr txBox="1"/>
                          <wps:spPr>
                            <a:xfrm>
                              <a:off x="5456849" y="381000"/>
                              <a:ext cx="327935" cy="30515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A35938" w:rsidRDefault="00A35938" w:rsidP="00CF5C9C">
                                <w:pPr>
                                  <w:pStyle w:val="Header"/>
                                </w:pPr>
                                <w:r>
                                  <w:rPr>
                                    <w:rFonts w:eastAsia="Batang" w:hAnsi="Symbol" w:hint="eastAsia"/>
                                    <w:color w:val="000000" w:themeColor="dark1"/>
                                    <w:kern w:val="24"/>
                                  </w:rPr>
                                  <w:sym w:font="Symbol" w:char="F073"/>
                                </w:r>
                                <w:r>
                                  <w:rPr>
                                    <w:rFonts w:eastAsia="Batang"/>
                                    <w:color w:val="000000" w:themeColor="dark1"/>
                                    <w:kern w:val="24"/>
                                    <w:position w:val="-6"/>
                                    <w:vertAlign w:val="subscript"/>
                                  </w:rPr>
                                  <w:t>i</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20" name="Text Box 299"/>
                          <wps:cNvSpPr txBox="1"/>
                          <wps:spPr>
                            <a:xfrm>
                              <a:off x="5393755" y="885401"/>
                              <a:ext cx="518812" cy="291759"/>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A35938" w:rsidRDefault="00A35938" w:rsidP="00CF5C9C">
                                <w:pPr>
                                  <w:pStyle w:val="Header"/>
                                </w:pPr>
                                <w:r>
                                  <w:rPr>
                                    <w:rFonts w:eastAsia="Batang" w:hAnsi="Symbol" w:hint="eastAsia"/>
                                    <w:color w:val="000000" w:themeColor="dark1"/>
                                    <w:kern w:val="24"/>
                                  </w:rPr>
                                  <w:sym w:font="Symbol" w:char="F073"/>
                                </w:r>
                                <w:r>
                                  <w:rPr>
                                    <w:rFonts w:eastAsia="Batang"/>
                                    <w:color w:val="000000" w:themeColor="dark1"/>
                                    <w:kern w:val="24"/>
                                    <w:position w:val="-6"/>
                                    <w:vertAlign w:val="subscript"/>
                                  </w:rPr>
                                  <w:t>h</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21" name="Text Box 300"/>
                          <wps:cNvSpPr txBox="1"/>
                          <wps:spPr>
                            <a:xfrm>
                              <a:off x="5367279" y="1437943"/>
                              <a:ext cx="459088" cy="314666"/>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A35938" w:rsidRDefault="00A35938" w:rsidP="00CF5C9C">
                                <w:pPr>
                                  <w:pStyle w:val="Header"/>
                                </w:pPr>
                                <w:r>
                                  <w:rPr>
                                    <w:rFonts w:eastAsia="Batang" w:hAnsi="Symbol" w:hint="eastAsia"/>
                                    <w:color w:val="000000" w:themeColor="dark1"/>
                                    <w:kern w:val="24"/>
                                  </w:rPr>
                                  <w:sym w:font="Symbol" w:char="F073"/>
                                </w:r>
                                <w:r>
                                  <w:rPr>
                                    <w:rFonts w:eastAsia="Batang"/>
                                    <w:color w:val="000000" w:themeColor="dark1"/>
                                    <w:kern w:val="24"/>
                                    <w:position w:val="-6"/>
                                    <w:vertAlign w:val="subscript"/>
                                  </w:rPr>
                                  <w:t>o</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23" name="Text Box 301"/>
                          <wps:cNvSpPr txBox="1"/>
                          <wps:spPr>
                            <a:xfrm>
                              <a:off x="5356658" y="2352487"/>
                              <a:ext cx="431800" cy="32089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A35938" w:rsidRDefault="00A35938" w:rsidP="00CF5C9C">
                                <w:pPr>
                                  <w:pStyle w:val="Header"/>
                                </w:pPr>
                                <w:r>
                                  <w:rPr>
                                    <w:rFonts w:eastAsia="Batang" w:hAnsi="Symbol" w:hint="eastAsia"/>
                                    <w:color w:val="000000" w:themeColor="dark1"/>
                                    <w:kern w:val="24"/>
                                  </w:rPr>
                                  <w:sym w:font="Symbol" w:char="F073"/>
                                </w:r>
                                <w:r>
                                  <w:rPr>
                                    <w:rFonts w:eastAsia="Batang"/>
                                    <w:color w:val="000000" w:themeColor="dark1"/>
                                    <w:kern w:val="24"/>
                                    <w:position w:val="-6"/>
                                    <w:vertAlign w:val="subscript"/>
                                  </w:rPr>
                                  <w:t>f</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35" name="Text Box 302"/>
                          <wps:cNvSpPr txBox="1"/>
                          <wps:spPr>
                            <a:xfrm>
                              <a:off x="4278086" y="4164076"/>
                              <a:ext cx="394944" cy="29443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A35938" w:rsidRDefault="00A35938" w:rsidP="00CF5C9C">
                                <w:pPr>
                                  <w:pStyle w:val="Header"/>
                                </w:pPr>
                                <w:r>
                                  <w:rPr>
                                    <w:rFonts w:eastAsia="Batang" w:hAnsi="Symbol" w:hint="eastAsia"/>
                                    <w:color w:val="000000" w:themeColor="dark1"/>
                                    <w:kern w:val="24"/>
                                  </w:rPr>
                                  <w:sym w:font="Symbol" w:char="F071"/>
                                </w:r>
                                <w:r>
                                  <w:rPr>
                                    <w:rFonts w:eastAsia="Batang"/>
                                    <w:color w:val="000000" w:themeColor="dark1"/>
                                    <w:kern w:val="24"/>
                                    <w:position w:val="-6"/>
                                    <w:vertAlign w:val="subscript"/>
                                  </w:rPr>
                                  <w:t>1</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53" name="Text Box 303"/>
                          <wps:cNvSpPr txBox="1"/>
                          <wps:spPr>
                            <a:xfrm>
                              <a:off x="5490340" y="4269976"/>
                              <a:ext cx="375937" cy="3355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A35938" w:rsidRDefault="00A35938" w:rsidP="00CF5C9C">
                                <w:pPr>
                                  <w:pStyle w:val="Header"/>
                                </w:pPr>
                                <w:r>
                                  <w:rPr>
                                    <w:rFonts w:eastAsia="Batang" w:hAnsi="Symbol" w:hint="eastAsia"/>
                                    <w:color w:val="000000" w:themeColor="dark1"/>
                                    <w:kern w:val="24"/>
                                  </w:rPr>
                                  <w:sym w:font="Symbol" w:char="F071"/>
                                </w:r>
                                <w:r>
                                  <w:rPr>
                                    <w:rFonts w:eastAsia="Batang"/>
                                    <w:color w:val="000000" w:themeColor="dark1"/>
                                    <w:kern w:val="24"/>
                                    <w:position w:val="-6"/>
                                    <w:vertAlign w:val="subscript"/>
                                  </w:rPr>
                                  <w:t>2</w:t>
                                </w:r>
                              </w:p>
                            </w:txbxContent>
                          </wps:txbx>
                          <wps:bodyPr rot="0" spcFirstLastPara="0" vert="horz" wrap="square" lIns="91440" tIns="45720" rIns="91440" bIns="45720" numCol="1" spcCol="0" rtlCol="0" fromWordArt="0" anchor="t" anchorCtr="0" forceAA="0" compatLnSpc="1">
                            <a:prstTxWarp prst="textNoShape">
                              <a:avLst/>
                            </a:prstTxWarp>
                            <a:noAutofit/>
                          </wps:bodyPr>
                        </wps:wsp>
                      </wpg:grpSp>
                      <wps:wsp>
                        <wps:cNvPr id="56" name="Text Box 1"/>
                        <wps:cNvSpPr txBox="1"/>
                        <wps:spPr>
                          <a:xfrm>
                            <a:off x="-139551" y="5480391"/>
                            <a:ext cx="7039611" cy="1386514"/>
                          </a:xfrm>
                          <a:prstGeom prst="rect">
                            <a:avLst/>
                          </a:prstGeom>
                          <a:solidFill>
                            <a:prstClr val="white"/>
                          </a:solidFill>
                          <a:ln>
                            <a:noFill/>
                          </a:ln>
                          <a:effectLst/>
                        </wps:spPr>
                        <wps:txbx>
                          <w:txbxContent>
                            <w:p w:rsidR="00A35938" w:rsidRPr="00CE7B26" w:rsidRDefault="00A35938" w:rsidP="00CF5C9C">
                              <w:pPr>
                                <w:pStyle w:val="NoSpacing"/>
                                <w:rPr>
                                  <w:sz w:val="18"/>
                                </w:rPr>
                              </w:pPr>
                              <w:bookmarkStart w:id="4" w:name="_Ref430687623"/>
                              <w:r w:rsidRPr="00CE7B26">
                                <w:rPr>
                                  <w:sz w:val="18"/>
                                </w:rPr>
                                <w:t xml:space="preserve">Figure </w:t>
                              </w:r>
                              <w:r>
                                <w:rPr>
                                  <w:sz w:val="18"/>
                                </w:rPr>
                                <w:t>S</w:t>
                              </w:r>
                              <w:r w:rsidRPr="00CE7B26">
                                <w:rPr>
                                  <w:sz w:val="18"/>
                                </w:rPr>
                                <w:fldChar w:fldCharType="begin"/>
                              </w:r>
                              <w:r w:rsidRPr="00CE7B26">
                                <w:rPr>
                                  <w:sz w:val="18"/>
                                </w:rPr>
                                <w:instrText xml:space="preserve"> SEQ Figure \* ARABIC </w:instrText>
                              </w:r>
                              <w:r w:rsidRPr="00CE7B26">
                                <w:rPr>
                                  <w:sz w:val="18"/>
                                </w:rPr>
                                <w:fldChar w:fldCharType="separate"/>
                              </w:r>
                              <w:r w:rsidR="00722964">
                                <w:rPr>
                                  <w:noProof/>
                                  <w:sz w:val="18"/>
                                </w:rPr>
                                <w:t>1</w:t>
                              </w:r>
                              <w:r w:rsidRPr="00CE7B26">
                                <w:rPr>
                                  <w:noProof/>
                                  <w:sz w:val="18"/>
                                </w:rPr>
                                <w:fldChar w:fldCharType="end"/>
                              </w:r>
                              <w:bookmarkEnd w:id="4"/>
                              <w:r w:rsidRPr="00CE7B26">
                                <w:rPr>
                                  <w:sz w:val="18"/>
                                </w:rPr>
                                <w:t>: Flow diagram of hepatitis A virus transmission and vaccination model: newborns enter age group a = 0, and are assumed to be protected by maternal antibodies (</w:t>
                              </w:r>
                              <w:r w:rsidRPr="00CE7B26">
                                <w:rPr>
                                  <w:i/>
                                  <w:iCs/>
                                  <w:sz w:val="18"/>
                                </w:rPr>
                                <w:t>M</w:t>
                              </w:r>
                              <w:r w:rsidRPr="00CE7B26">
                                <w:rPr>
                                  <w:sz w:val="18"/>
                                </w:rPr>
                                <w:t>), the protection is lost over time so the children become susceptible (</w:t>
                              </w:r>
                              <w:r w:rsidRPr="00CE7B26">
                                <w:rPr>
                                  <w:i/>
                                  <w:iCs/>
                                  <w:sz w:val="18"/>
                                </w:rPr>
                                <w:t>S</w:t>
                              </w:r>
                              <w:r w:rsidRPr="00CE7B26">
                                <w:rPr>
                                  <w:sz w:val="18"/>
                                </w:rPr>
                                <w:t>). Upon infection, a person moves to the exposed compartment (</w:t>
                              </w:r>
                              <w:r w:rsidRPr="00CE7B26">
                                <w:rPr>
                                  <w:i/>
                                  <w:iCs/>
                                  <w:sz w:val="18"/>
                                </w:rPr>
                                <w:t>E</w:t>
                              </w:r>
                              <w:r w:rsidRPr="00CE7B26">
                                <w:rPr>
                                  <w:sz w:val="18"/>
                                </w:rPr>
                                <w:t>) becomes infectious after a latent period. The model distinguishes between several categories of infection and disease: Asymptomatic (</w:t>
                              </w:r>
                              <w:r w:rsidRPr="00CE7B26">
                                <w:rPr>
                                  <w:i/>
                                  <w:iCs/>
                                  <w:sz w:val="18"/>
                                </w:rPr>
                                <w:t>I</w:t>
                              </w:r>
                              <w:r w:rsidRPr="00CE7B26">
                                <w:rPr>
                                  <w:sz w:val="18"/>
                                </w:rPr>
                                <w:t>), Symptomatic infections are treated as outpatient (</w:t>
                              </w:r>
                              <w:r w:rsidRPr="00CE7B26">
                                <w:rPr>
                                  <w:i/>
                                  <w:iCs/>
                                  <w:sz w:val="18"/>
                                </w:rPr>
                                <w:t>O</w:t>
                              </w:r>
                              <w:r w:rsidRPr="00CE7B26">
                                <w:rPr>
                                  <w:sz w:val="18"/>
                                </w:rPr>
                                <w:t>), hospitalized (</w:t>
                              </w:r>
                              <w:r w:rsidRPr="00CE7B26">
                                <w:rPr>
                                  <w:i/>
                                  <w:iCs/>
                                  <w:sz w:val="18"/>
                                </w:rPr>
                                <w:t>H</w:t>
                              </w:r>
                              <w:r w:rsidRPr="00CE7B26">
                                <w:rPr>
                                  <w:sz w:val="18"/>
                                </w:rPr>
                                <w:t>), with fulminant disease (</w:t>
                              </w:r>
                              <w:r w:rsidRPr="00CE7B26">
                                <w:rPr>
                                  <w:i/>
                                  <w:iCs/>
                                  <w:sz w:val="18"/>
                                </w:rPr>
                                <w:t>F</w:t>
                              </w:r>
                              <w:r w:rsidRPr="00CE7B26">
                                <w:rPr>
                                  <w:sz w:val="18"/>
                                </w:rPr>
                                <w:t>), requiring a liver transplant (</w:t>
                              </w:r>
                              <w:r w:rsidRPr="00CE7B26">
                                <w:rPr>
                                  <w:i/>
                                  <w:iCs/>
                                  <w:sz w:val="18"/>
                                </w:rPr>
                                <w:t>L</w:t>
                              </w:r>
                              <w:r w:rsidRPr="00CE7B26">
                                <w:rPr>
                                  <w:sz w:val="18"/>
                                </w:rPr>
                                <w:t>), or die from Hepatitis A virus infection (</w:t>
                              </w:r>
                              <w:r w:rsidRPr="00CE7B26">
                                <w:rPr>
                                  <w:i/>
                                  <w:iCs/>
                                  <w:sz w:val="18"/>
                                </w:rPr>
                                <w:t>D</w:t>
                              </w:r>
                              <w:r w:rsidRPr="00CE7B26">
                                <w:rPr>
                                  <w:sz w:val="18"/>
                                </w:rPr>
                                <w:t>). Infected persons can clear their infection and move to the recovered compartment (</w:t>
                              </w:r>
                              <w:r w:rsidRPr="00CE7B26">
                                <w:rPr>
                                  <w:i/>
                                  <w:iCs/>
                                  <w:sz w:val="18"/>
                                </w:rPr>
                                <w:t>R</w:t>
                              </w:r>
                              <w:r w:rsidRPr="00CE7B26">
                                <w:rPr>
                                  <w:sz w:val="18"/>
                                </w:rPr>
                                <w:t>) with lifelong immunity. Susceptible individuals may be vaccinated and move to the Vaccinated (V) compartment.  Vaccinated individuals may more back to the susceptible (S) compartment due to waning vaccine or to the exposed compartment due to breakthrough infections. The model also applied age-specific all-cause mortality (not shown) to all persons in all epidemiologic classes.</w:t>
                              </w:r>
                            </w:p>
                            <w:p w:rsidR="00A35938" w:rsidRPr="00E121A2" w:rsidRDefault="00A35938" w:rsidP="00CF5C9C">
                              <w:pPr>
                                <w:rPr>
                                  <w:rFonts w:asciiTheme="majorHAnsi" w:eastAsiaTheme="majorEastAsia" w:hAnsiTheme="majorHAnsi" w:cstheme="majorBidi"/>
                                  <w:color w:val="17365D" w:themeColor="text2" w:themeShade="BF"/>
                                  <w:spacing w:val="5"/>
                                  <w:kern w:val="28"/>
                                  <w:sz w:val="52"/>
                                  <w:szCs w:val="52"/>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inline>
            </w:drawing>
          </mc:Choice>
          <mc:Fallback>
            <w:pict>
              <v:group id="Group 2" o:spid="_x0000_s1031" style="width:468.3pt;height:535.25pt;mso-position-horizontal-relative:char;mso-position-vertical-relative:line" coordorigin="-1395,686" coordsize="71791,679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">
                <v:group id="Group 54" o:spid="_x0000_s1032" style="position:absolute;top:686;width:70396;height:52571" coordorigin=",686" coordsize="70396,5257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ARsfdnFAAAA2wAA&#10;AA8AAAAAAAAAAAAAAAAAqgIAAGRycy9kb3ducmV2LnhtbFBLBQYAAAAABAAEAPoAAACcAwAAAAA=&#10;">
                  <v:group id="Group 5" o:spid="_x0000_s1033" style="position:absolute;top:686;width:70396;height:52573" coordorigin=",756" coordsize="77587,5792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o:lock v:ext="edit" aspectratio="t"/>
                    <v:roundrect id="AutoShape 3" o:spid="_x0000_s1034" style="position:absolute;top:23193;width:13161;height:6006;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qoDrMUA&#10;AADbAAAADwAAAGRycy9kb3ducmV2LnhtbESPQWvCQBSE7wX/w/IEL6VuzEEldRUVhOJB0Oagt9fs&#10;axLMvo27W43/3hWEHoeZ+YaZLTrTiCs5X1tWMBomIIgLq2suFeTfm48pCB+QNTaWScGdPCzmvbcZ&#10;ZtreeE/XQyhFhLDPUEEVQptJ6YuKDPqhbYmj92udwRClK6V2eItw08g0ScbSYM1xocKW1hUV58Of&#10;UTDZrX5Wx0m+PU3dO46Wdlvm7UWpQb9bfoII1IX/8Kv9pRWkKTy/xB8g5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iqgOsxQAAANsAAAAPAAAAAAAAAAAAAAAAAJgCAABkcnMv&#10;ZG93bnJldi54bWxQSwUGAAAAAAQABAD1AAAAigMAAAAA&#10;" filled="f" strokecolor="black [3213]">
                      <o:lock v:ext="edit" aspectratio="t"/>
                      <v:textbox>
                        <w:txbxContent>
                          <w:p w:rsidR="00A35938" w:rsidRDefault="00A35938" w:rsidP="00CF5C9C">
                            <w:pPr>
                              <w:pStyle w:val="Header"/>
                              <w:kinsoku w:val="0"/>
                              <w:overflowPunct w:val="0"/>
                              <w:spacing w:line="180" w:lineRule="auto"/>
                              <w:jc w:val="center"/>
                            </w:pPr>
                            <w:r>
                              <w:rPr>
                                <w:rFonts w:ascii="Calibri" w:eastAsia="Times New Roman" w:hAnsi="Calibri" w:cs="Arial"/>
                                <w:color w:val="000000"/>
                                <w:kern w:val="24"/>
                              </w:rPr>
                              <w:t>Susceptible</w:t>
                            </w:r>
                          </w:p>
                          <w:p w:rsidR="00A35938" w:rsidRDefault="00A35938" w:rsidP="00CF5C9C">
                            <w:pPr>
                              <w:pStyle w:val="Header"/>
                              <w:kinsoku w:val="0"/>
                              <w:overflowPunct w:val="0"/>
                              <w:spacing w:line="180" w:lineRule="auto"/>
                              <w:jc w:val="center"/>
                            </w:pPr>
                            <w:r>
                              <w:rPr>
                                <w:rFonts w:ascii="Calibri" w:eastAsia="Times New Roman" w:hAnsi="Calibri" w:cs="Arial"/>
                                <w:color w:val="000000"/>
                                <w:kern w:val="24"/>
                              </w:rPr>
                              <w:t>(</w:t>
                            </w:r>
                            <w:r>
                              <w:rPr>
                                <w:rFonts w:ascii="Calibri" w:eastAsia="Times New Roman" w:hAnsi="Calibri" w:cs="Arial"/>
                                <w:i/>
                                <w:iCs/>
                                <w:color w:val="000000"/>
                                <w:kern w:val="24"/>
                              </w:rPr>
                              <w:t>S</w:t>
                            </w:r>
                            <w:r>
                              <w:rPr>
                                <w:rFonts w:ascii="Calibri" w:eastAsia="Times New Roman" w:hAnsi="Calibri" w:cs="Arial"/>
                                <w:color w:val="000000"/>
                                <w:kern w:val="24"/>
                              </w:rPr>
                              <w:t>)</w:t>
                            </w:r>
                          </w:p>
                        </w:txbxContent>
                      </v:textbox>
                    </v:roundrect>
                    <v:roundrect id="AutoShape 20" o:spid="_x0000_s1035" style="position:absolute;left:20467;top:23843;width:11883;height:4729;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8+Q8YA&#10;AADbAAAADwAAAGRycy9kb3ducmV2LnhtbESPQWvCQBSE74X+h+UVvBTdKEUluoZYEMRDoZqD3p7Z&#10;1yQ0+zbdXTX9992C4HGYmW+YZdabVlzJ+caygvEoAUFcWt1wpaA4bIZzED4ga2wtk4Jf8pCtnp+W&#10;mGp740+67kMlIoR9igrqELpUSl/WZNCPbEccvS/rDIYoXSW1w1uEm1ZOkmQqDTYcF2rs6L2m8nt/&#10;MQpmH+vz+jgrdqe5e8VxbndV0f0oNXjp8wWIQH14hO/trVYweYP/L/EHyNU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g8+Q8YAAADbAAAADwAAAAAAAAAAAAAAAACYAgAAZHJz&#10;L2Rvd25yZXYueG1sUEsFBgAAAAAEAAQA9QAAAIsDAAAAAA==&#10;" filled="f" strokecolor="black [3213]">
                      <o:lock v:ext="edit" aspectratio="t"/>
                      <v:textbox>
                        <w:txbxContent>
                          <w:p w:rsidR="00A35938" w:rsidRDefault="00A35938" w:rsidP="00CF5C9C">
                            <w:pPr>
                              <w:pStyle w:val="Header"/>
                              <w:kinsoku w:val="0"/>
                              <w:overflowPunct w:val="0"/>
                              <w:spacing w:line="180" w:lineRule="auto"/>
                              <w:jc w:val="center"/>
                            </w:pPr>
                            <w:r>
                              <w:rPr>
                                <w:rFonts w:ascii="Calibri" w:eastAsia="Times New Roman" w:hAnsi="Calibri" w:cs="Arial"/>
                                <w:color w:val="000000"/>
                                <w:kern w:val="24"/>
                              </w:rPr>
                              <w:t>Exposed</w:t>
                            </w:r>
                          </w:p>
                          <w:p w:rsidR="00A35938" w:rsidRDefault="00A35938" w:rsidP="00CF5C9C">
                            <w:pPr>
                              <w:pStyle w:val="Header"/>
                              <w:kinsoku w:val="0"/>
                              <w:overflowPunct w:val="0"/>
                              <w:spacing w:line="180" w:lineRule="auto"/>
                              <w:jc w:val="center"/>
                            </w:pPr>
                            <w:r>
                              <w:rPr>
                                <w:rFonts w:ascii="Calibri" w:eastAsia="Times New Roman" w:hAnsi="Calibri" w:cs="Arial"/>
                                <w:color w:val="000000"/>
                                <w:kern w:val="24"/>
                              </w:rPr>
                              <w:t>(</w:t>
                            </w:r>
                            <w:r>
                              <w:rPr>
                                <w:rFonts w:ascii="Calibri" w:eastAsia="Times New Roman" w:hAnsi="Calibri" w:cs="Arial"/>
                                <w:i/>
                                <w:iCs/>
                                <w:color w:val="000000"/>
                                <w:kern w:val="24"/>
                              </w:rPr>
                              <w:t>E</w:t>
                            </w:r>
                            <w:r>
                              <w:rPr>
                                <w:rFonts w:ascii="Calibri" w:eastAsia="Times New Roman" w:hAnsi="Calibri" w:cs="Arial"/>
                                <w:color w:val="000000"/>
                                <w:kern w:val="24"/>
                              </w:rPr>
                              <w:t>)</w:t>
                            </w:r>
                          </w:p>
                        </w:txbxContent>
                      </v:textbox>
                    </v:roundrect>
                    <v:roundrect id="_x0000_s1036" style="position:absolute;left:7757;top:52267;width:11883;height:6413;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UOb2MYA&#10;AADbAAAADwAAAGRycy9kb3ducmV2LnhtbESPQWvCQBSE74X+h+UVvBTdKFQluoZYEMRDoZqD3p7Z&#10;1yQ0+zbdXTX9992C4HGYmW+YZdabVlzJ+caygvEoAUFcWt1wpaA4bIZzED4ga2wtk4Jf8pCtnp+W&#10;mGp740+67kMlIoR9igrqELpUSl/WZNCPbEccvS/rDIYoXSW1w1uEm1ZOkmQqDTYcF2rs6L2m8nt/&#10;MQpmH+vz+jgrdqe5e8VxbndV0f0oNXjp8wWIQH14hO/trVYweYP/L/EHyNU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UOb2MYAAADbAAAADwAAAAAAAAAAAAAAAACYAgAAZHJz&#10;L2Rvd25yZXYueG1sUEsFBgAAAAAEAAQA9QAAAIsDAAAAAA==&#10;" filled="f" strokecolor="black [3213]">
                      <o:lock v:ext="edit" aspectratio="t"/>
                      <v:textbox>
                        <w:txbxContent>
                          <w:p w:rsidR="00A35938" w:rsidRDefault="00A35938" w:rsidP="00CF5C9C">
                            <w:pPr>
                              <w:pStyle w:val="Header"/>
                              <w:kinsoku w:val="0"/>
                              <w:overflowPunct w:val="0"/>
                              <w:spacing w:line="180" w:lineRule="auto"/>
                              <w:jc w:val="center"/>
                            </w:pPr>
                            <w:r>
                              <w:rPr>
                                <w:rFonts w:ascii="Calibri" w:eastAsia="Times New Roman" w:hAnsi="Calibri" w:cs="Arial"/>
                                <w:color w:val="000000"/>
                                <w:kern w:val="24"/>
                              </w:rPr>
                              <w:t xml:space="preserve">Two Doses Vaccinated </w:t>
                            </w:r>
                          </w:p>
                          <w:p w:rsidR="00A35938" w:rsidRDefault="00A35938" w:rsidP="00CF5C9C">
                            <w:pPr>
                              <w:pStyle w:val="Header"/>
                              <w:kinsoku w:val="0"/>
                              <w:overflowPunct w:val="0"/>
                              <w:spacing w:line="180" w:lineRule="auto"/>
                              <w:jc w:val="center"/>
                            </w:pPr>
                            <w:r>
                              <w:rPr>
                                <w:rFonts w:ascii="Calibri" w:eastAsia="Times New Roman" w:hAnsi="Calibri" w:cs="Arial"/>
                                <w:i/>
                                <w:iCs/>
                                <w:color w:val="000000"/>
                                <w:kern w:val="24"/>
                              </w:rPr>
                              <w:t>(V2</w:t>
                            </w:r>
                            <w:r>
                              <w:rPr>
                                <w:rFonts w:ascii="Calibri" w:eastAsia="Times New Roman" w:hAnsi="Calibri" w:cs="Arial"/>
                                <w:color w:val="000000"/>
                                <w:kern w:val="24"/>
                              </w:rPr>
                              <w:t>)</w:t>
                            </w:r>
                          </w:p>
                        </w:txbxContent>
                      </v:textbox>
                    </v:roundrect>
                    <v:roundrect id="AutoShape 3" o:spid="_x0000_s1037" style="position:absolute;left:887;top:9708;width:11883;height:4729;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ZEFr8QA&#10;AADbAAAADwAAAGRycy9kb3ducmV2LnhtbESPQYvCMBSE78L+h/AWvMia6kGlGkUXBPEg6Pawe3s2&#10;z7bYvHSTqPXfG0HwOMzMN8xs0ZpaXMn5yrKCQT8BQZxbXXGhIPtZf01A+ICssbZMCu7kYTH/6Mww&#10;1fbGe7oeQiEihH2KCsoQmlRKn5dk0PdtQxy9k3UGQ5SukNrhLcJNLYdJMpIGK44LJTb0XVJ+PlyM&#10;gvFudVz9jrPt38T1cLC02yJr/pXqfrbLKYhAbXiHX+2NVjAcwfNL/AFy/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2RBa/EAAAA2wAAAA8AAAAAAAAAAAAAAAAAmAIAAGRycy9k&#10;b3ducmV2LnhtbFBLBQYAAAAABAAEAPUAAACJAwAAAAA=&#10;" filled="f" strokecolor="black [3213]">
                      <o:lock v:ext="edit" aspectratio="t"/>
                      <v:textbox>
                        <w:txbxContent>
                          <w:p w:rsidR="00A35938" w:rsidRDefault="00A35938" w:rsidP="00CF5C9C">
                            <w:pPr>
                              <w:pStyle w:val="Header"/>
                              <w:kinsoku w:val="0"/>
                              <w:overflowPunct w:val="0"/>
                              <w:spacing w:line="180" w:lineRule="auto"/>
                              <w:jc w:val="center"/>
                            </w:pPr>
                            <w:r>
                              <w:rPr>
                                <w:rFonts w:ascii="Calibri" w:eastAsia="Times New Roman" w:hAnsi="Calibri" w:cs="Arial"/>
                                <w:color w:val="000000"/>
                                <w:kern w:val="24"/>
                              </w:rPr>
                              <w:t>Maternal</w:t>
                            </w:r>
                          </w:p>
                          <w:p w:rsidR="00A35938" w:rsidRDefault="00A35938" w:rsidP="00CF5C9C">
                            <w:pPr>
                              <w:pStyle w:val="Header"/>
                              <w:kinsoku w:val="0"/>
                              <w:overflowPunct w:val="0"/>
                              <w:spacing w:line="180" w:lineRule="auto"/>
                              <w:jc w:val="center"/>
                            </w:pPr>
                            <w:r>
                              <w:rPr>
                                <w:rFonts w:ascii="Calibri" w:eastAsia="Times New Roman" w:hAnsi="Calibri" w:cs="Arial"/>
                                <w:color w:val="000000"/>
                                <w:kern w:val="24"/>
                              </w:rPr>
                              <w:t>(</w:t>
                            </w:r>
                            <w:r>
                              <w:rPr>
                                <w:rFonts w:ascii="Calibri" w:eastAsia="Times New Roman" w:hAnsi="Calibri" w:cs="Arial"/>
                                <w:i/>
                                <w:iCs/>
                                <w:color w:val="000000"/>
                                <w:kern w:val="24"/>
                              </w:rPr>
                              <w:t>M</w:t>
                            </w:r>
                            <w:r>
                              <w:rPr>
                                <w:rFonts w:ascii="Calibri" w:eastAsia="Times New Roman" w:hAnsi="Calibri" w:cs="Arial"/>
                                <w:color w:val="000000"/>
                                <w:kern w:val="24"/>
                              </w:rPr>
                              <w:t>)</w:t>
                            </w:r>
                          </w:p>
                        </w:txbxContent>
                      </v:textbox>
                    </v:roundrect>
                    <v:roundrect id="AutoShape 20" o:spid="_x0000_s1038" style="position:absolute;left:44681;top:756;width:15239;height:6591;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t2gNMUA&#10;AADbAAAADwAAAGRycy9kb3ducmV2LnhtbESPQWvCQBSE7wX/w/KEXopu9NBIdA2xUCgeCtoc9PbM&#10;PpNg9m3c3Wr6791CocdhZr5hVvlgOnEj51vLCmbTBARxZXXLtYLy632yAOEDssbOMin4IQ/5evS0&#10;wkzbO+/otg+1iBD2GSpoQugzKX3VkEE/tT1x9M7WGQxRulpqh/cIN52cJ8mrNNhyXGiwp7eGqsv+&#10;2yhIPzenzSEtt8eFe8FZYbd12V+Veh4PxRJEoCH8h//aH1rBPIXfL/EHyP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y3aA0xQAAANsAAAAPAAAAAAAAAAAAAAAAAJgCAABkcnMv&#10;ZG93bnJldi54bWxQSwUGAAAAAAQABAD1AAAAigMAAAAA&#10;" filled="f" strokecolor="black [3213]">
                      <o:lock v:ext="edit" aspectratio="t"/>
                      <v:textbox>
                        <w:txbxContent>
                          <w:p w:rsidR="00A35938" w:rsidRDefault="00A35938" w:rsidP="00CF5C9C">
                            <w:pPr>
                              <w:pStyle w:val="Header"/>
                              <w:kinsoku w:val="0"/>
                              <w:overflowPunct w:val="0"/>
                              <w:spacing w:line="180" w:lineRule="auto"/>
                              <w:jc w:val="center"/>
                            </w:pPr>
                            <w:r>
                              <w:rPr>
                                <w:rFonts w:ascii="Calibri" w:eastAsia="Times New Roman" w:hAnsi="Calibri" w:cs="Arial"/>
                                <w:color w:val="000000"/>
                                <w:kern w:val="24"/>
                              </w:rPr>
                              <w:t>Asymptomatic</w:t>
                            </w:r>
                          </w:p>
                          <w:p w:rsidR="00A35938" w:rsidRDefault="00A35938" w:rsidP="00CF5C9C">
                            <w:pPr>
                              <w:pStyle w:val="Header"/>
                              <w:kinsoku w:val="0"/>
                              <w:overflowPunct w:val="0"/>
                              <w:spacing w:line="180" w:lineRule="auto"/>
                              <w:jc w:val="center"/>
                            </w:pPr>
                            <w:r>
                              <w:rPr>
                                <w:rFonts w:ascii="Calibri" w:eastAsia="Times New Roman" w:hAnsi="Calibri" w:cs="Arial"/>
                                <w:color w:val="000000"/>
                                <w:kern w:val="24"/>
                              </w:rPr>
                              <w:t>(</w:t>
                            </w:r>
                            <w:r>
                              <w:rPr>
                                <w:rFonts w:ascii="Calibri" w:eastAsia="Times New Roman" w:hAnsi="Calibri" w:cs="Arial"/>
                                <w:i/>
                                <w:iCs/>
                                <w:color w:val="000000"/>
                                <w:kern w:val="24"/>
                              </w:rPr>
                              <w:t>I</w:t>
                            </w:r>
                            <w:r>
                              <w:rPr>
                                <w:rFonts w:ascii="Calibri" w:eastAsia="Times New Roman" w:hAnsi="Calibri" w:cs="Arial"/>
                                <w:color w:val="000000"/>
                                <w:kern w:val="24"/>
                              </w:rPr>
                              <w:t>)</w:t>
                            </w:r>
                          </w:p>
                        </w:txbxContent>
                      </v:textbox>
                    </v:roundrect>
                    <v:roundrect id="AutoShape 20" o:spid="_x0000_s1039" style="position:absolute;left:44676;top:10399;width:15371;height:5065;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0I0RsEA&#10;AADbAAAADwAAAGRycy9kb3ducmV2LnhtbERPTYvCMBC9C/6HMMJeRFM9qFSj6MKCeBBWe9Db2Ixt&#10;sZnUJGr3328OgsfH+16sWlOLJzlfWVYwGiYgiHOrKy4UZMefwQyED8gaa8uk4I88rJbdzgJTbV/8&#10;S89DKEQMYZ+igjKEJpXS5yUZ9EPbEEfuap3BEKErpHb4iuGmluMkmUiDFceGEhv6Lim/HR5GwXS/&#10;uWxO02x3nrk+jtZ2V2TNXamvXruegwjUho/47d5qBeM4Nn6JP0Au/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NCNEbBAAAA2wAAAA8AAAAAAAAAAAAAAAAAmAIAAGRycy9kb3du&#10;cmV2LnhtbFBLBQYAAAAABAAEAPUAAACGAwAAAAA=&#10;" filled="f" strokecolor="black [3213]">
                      <o:lock v:ext="edit" aspectratio="t"/>
                      <v:textbox>
                        <w:txbxContent>
                          <w:p w:rsidR="00A35938" w:rsidRDefault="00A35938" w:rsidP="00CF5C9C">
                            <w:pPr>
                              <w:pStyle w:val="Header"/>
                              <w:kinsoku w:val="0"/>
                              <w:overflowPunct w:val="0"/>
                              <w:spacing w:line="180" w:lineRule="auto"/>
                              <w:jc w:val="center"/>
                            </w:pPr>
                            <w:r>
                              <w:rPr>
                                <w:rFonts w:ascii="Calibri" w:eastAsia="Times New Roman" w:hAnsi="Calibri" w:cs="Arial"/>
                                <w:color w:val="000000"/>
                                <w:kern w:val="24"/>
                              </w:rPr>
                              <w:t>Hospitalized</w:t>
                            </w:r>
                          </w:p>
                          <w:p w:rsidR="00A35938" w:rsidRDefault="00A35938" w:rsidP="00CF5C9C">
                            <w:pPr>
                              <w:pStyle w:val="Header"/>
                              <w:kinsoku w:val="0"/>
                              <w:overflowPunct w:val="0"/>
                              <w:spacing w:line="180" w:lineRule="auto"/>
                              <w:jc w:val="center"/>
                            </w:pPr>
                            <w:r>
                              <w:rPr>
                                <w:rFonts w:ascii="Calibri" w:eastAsia="Times New Roman" w:hAnsi="Calibri" w:cs="Arial"/>
                                <w:color w:val="000000"/>
                                <w:kern w:val="24"/>
                              </w:rPr>
                              <w:t>(</w:t>
                            </w:r>
                            <w:r>
                              <w:rPr>
                                <w:rFonts w:ascii="Calibri" w:eastAsia="Times New Roman" w:hAnsi="Calibri" w:cs="Arial"/>
                                <w:i/>
                                <w:iCs/>
                                <w:color w:val="000000"/>
                                <w:kern w:val="24"/>
                              </w:rPr>
                              <w:t>H</w:t>
                            </w:r>
                            <w:r>
                              <w:rPr>
                                <w:rFonts w:ascii="Calibri" w:eastAsia="Times New Roman" w:hAnsi="Calibri" w:cs="Arial"/>
                                <w:color w:val="000000"/>
                                <w:kern w:val="24"/>
                              </w:rPr>
                              <w:t>)</w:t>
                            </w:r>
                          </w:p>
                        </w:txbxContent>
                      </v:textbox>
                    </v:roundrect>
                    <v:roundrect id="AutoShape 20" o:spid="_x0000_s1040" style="position:absolute;left:44935;top:36584;width:14859;height:7023;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A6R3cUA&#10;AADbAAAADwAAAGRycy9kb3ducmV2LnhtbESPQWvCQBSE7wX/w/KEXkrd6EHT6CoqCOJB0ObQ3l6z&#10;zySYfRt3t5r++64geBxm5htmtuhMI67kfG1ZwXCQgCAurK65VJB/bt5TED4ga2wsk4I/8rCY915m&#10;mGl74wNdj6EUEcI+QwVVCG0mpS8qMugHtiWO3sk6gyFKV0rt8BbhppGjJBlLgzXHhQpbWldUnI+/&#10;RsFkv/pZfU3y3Xfq3nC4tLsyby9Kvfa75RREoC48w4/2VisYfcD9S/wBcv4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sDpHdxQAAANsAAAAPAAAAAAAAAAAAAAAAAJgCAABkcnMv&#10;ZG93bnJldi54bWxQSwUGAAAAAAQABAD1AAAAigMAAAAA&#10;" filled="f" strokecolor="black [3213]">
                      <o:lock v:ext="edit" aspectratio="t"/>
                      <v:textbox>
                        <w:txbxContent>
                          <w:p w:rsidR="00A35938" w:rsidRDefault="00A35938" w:rsidP="00CF5C9C">
                            <w:pPr>
                              <w:pStyle w:val="Header"/>
                              <w:kinsoku w:val="0"/>
                              <w:overflowPunct w:val="0"/>
                              <w:spacing w:line="180" w:lineRule="auto"/>
                              <w:jc w:val="center"/>
                            </w:pPr>
                            <w:r>
                              <w:rPr>
                                <w:rFonts w:ascii="Calibri" w:eastAsia="Times New Roman" w:hAnsi="Calibri" w:cs="Arial"/>
                                <w:color w:val="000000"/>
                                <w:kern w:val="24"/>
                              </w:rPr>
                              <w:t xml:space="preserve">Liver Transplant  </w:t>
                            </w:r>
                            <w:r>
                              <w:rPr>
                                <w:rFonts w:ascii="Calibri" w:eastAsia="Times New Roman" w:hAnsi="Calibri" w:cs="Arial"/>
                                <w:i/>
                                <w:iCs/>
                                <w:color w:val="000000"/>
                                <w:kern w:val="24"/>
                              </w:rPr>
                              <w:t xml:space="preserve"> </w:t>
                            </w:r>
                            <w:r>
                              <w:rPr>
                                <w:rFonts w:ascii="Calibri" w:eastAsia="Times New Roman" w:hAnsi="Calibri" w:cs="Arial"/>
                                <w:color w:val="000000"/>
                                <w:kern w:val="24"/>
                              </w:rPr>
                              <w:t>(</w:t>
                            </w:r>
                            <w:r>
                              <w:rPr>
                                <w:rFonts w:ascii="Calibri" w:eastAsia="Times New Roman" w:hAnsi="Calibri" w:cs="Arial"/>
                                <w:i/>
                                <w:iCs/>
                                <w:color w:val="000000"/>
                                <w:kern w:val="24"/>
                              </w:rPr>
                              <w:t>L</w:t>
                            </w:r>
                            <w:r>
                              <w:rPr>
                                <w:rFonts w:ascii="Calibri" w:eastAsia="Times New Roman" w:hAnsi="Calibri" w:cs="Arial"/>
                                <w:color w:val="000000"/>
                                <w:kern w:val="24"/>
                                <w:position w:val="-6"/>
                                <w:vertAlign w:val="subscript"/>
                              </w:rPr>
                              <w:t>1</w:t>
                            </w:r>
                            <w:r>
                              <w:rPr>
                                <w:rFonts w:ascii="Calibri" w:eastAsia="Times New Roman" w:hAnsi="Calibri" w:cs="Arial"/>
                                <w:color w:val="000000"/>
                                <w:kern w:val="24"/>
                              </w:rPr>
                              <w:t>)</w:t>
                            </w:r>
                          </w:p>
                        </w:txbxContent>
                      </v:textbox>
                    </v:roundrect>
                    <v:roundrect id="AutoShape 20" o:spid="_x0000_s1041" style="position:absolute;left:44812;top:29824;width:14601;height:4728;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O2uncIA&#10;AADbAAAADwAAAGRycy9kb3ducmV2LnhtbERPTYvCMBC9C/sfwix4EU1VUKlG0QVBPCzo9rDexmZs&#10;i82km0St/94cFjw+3vdi1Zpa3Mn5yrKC4SABQZxbXXGhIPvZ9mcgfEDWWFsmBU/ysFp+dBaYavvg&#10;A92PoRAxhH2KCsoQmlRKn5dk0A9sQxy5i3UGQ4SukNrhI4abWo6SZCINVhwbSmzoq6T8erwZBdPv&#10;zXnzO832p5nr4XBt90XW/CnV/WzXcxCB2vAW/7t3WsE4ro9f4g+Qyx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47a6dwgAAANsAAAAPAAAAAAAAAAAAAAAAAJgCAABkcnMvZG93&#10;bnJldi54bWxQSwUGAAAAAAQABAD1AAAAhwMAAAAA&#10;" filled="f" strokecolor="black [3213]">
                      <o:lock v:ext="edit" aspectratio="t"/>
                      <v:textbox>
                        <w:txbxContent>
                          <w:p w:rsidR="00A35938" w:rsidRDefault="00A35938" w:rsidP="00CF5C9C">
                            <w:pPr>
                              <w:pStyle w:val="Header"/>
                              <w:kinsoku w:val="0"/>
                              <w:overflowPunct w:val="0"/>
                              <w:spacing w:line="180" w:lineRule="auto"/>
                              <w:jc w:val="center"/>
                            </w:pPr>
                            <w:r>
                              <w:rPr>
                                <w:rFonts w:ascii="Calibri" w:eastAsia="Times New Roman" w:hAnsi="Calibri" w:cs="Arial"/>
                                <w:color w:val="000000"/>
                                <w:kern w:val="24"/>
                              </w:rPr>
                              <w:t>Fulminant</w:t>
                            </w:r>
                          </w:p>
                          <w:p w:rsidR="00A35938" w:rsidRDefault="00A35938" w:rsidP="00CF5C9C">
                            <w:pPr>
                              <w:pStyle w:val="Header"/>
                              <w:kinsoku w:val="0"/>
                              <w:overflowPunct w:val="0"/>
                              <w:spacing w:line="180" w:lineRule="auto"/>
                              <w:jc w:val="center"/>
                            </w:pPr>
                            <w:r>
                              <w:rPr>
                                <w:rFonts w:ascii="Calibri" w:eastAsia="Times New Roman" w:hAnsi="Calibri" w:cs="Arial"/>
                                <w:color w:val="000000"/>
                                <w:kern w:val="24"/>
                              </w:rPr>
                              <w:t>(</w:t>
                            </w:r>
                            <w:r>
                              <w:rPr>
                                <w:rFonts w:ascii="Calibri" w:eastAsia="Times New Roman" w:hAnsi="Calibri" w:cs="Arial"/>
                                <w:i/>
                                <w:iCs/>
                                <w:color w:val="000000"/>
                                <w:kern w:val="24"/>
                              </w:rPr>
                              <w:t>F</w:t>
                            </w:r>
                            <w:r>
                              <w:rPr>
                                <w:rFonts w:ascii="Calibri" w:eastAsia="Times New Roman" w:hAnsi="Calibri" w:cs="Arial"/>
                                <w:color w:val="000000"/>
                                <w:kern w:val="24"/>
                              </w:rPr>
                              <w:t>)</w:t>
                            </w:r>
                          </w:p>
                        </w:txbxContent>
                      </v:textbox>
                    </v:roundrect>
                    <v:roundrect id="AutoShape 20" o:spid="_x0000_s1042" style="position:absolute;left:44685;top:20904;width:15362;height:4729;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6ELBsYA&#10;AADbAAAADwAAAGRycy9kb3ducmV2LnhtbESPQWvCQBSE7wX/w/KEXopu0kKV6CZooVA8CLU56O2Z&#10;fSbB7Nu4u9X037uFQo/DzHzDLIvBdOJKzreWFaTTBARxZXXLtYLy630yB+EDssbOMin4IQ9FPnpY&#10;YqbtjT/pugu1iBD2GSpoQugzKX3VkEE/tT1x9E7WGQxRulpqh7cIN518TpJXabDluNBgT28NVefd&#10;t1Ew266P6/2s3Bzm7gnTld3UZX9R6nE8rBYgAg3hP/zX/tAKXlL4/RJ/gMz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6ELBsYAAADbAAAADwAAAAAAAAAAAAAAAACYAgAAZHJz&#10;L2Rvd25yZXYueG1sUEsFBgAAAAAEAAQA9QAAAIsDAAAAAA==&#10;" filled="f" strokecolor="black [3213]">
                      <o:lock v:ext="edit" aspectratio="t"/>
                      <v:textbox>
                        <w:txbxContent>
                          <w:p w:rsidR="00A35938" w:rsidRDefault="00A35938" w:rsidP="00CF5C9C">
                            <w:pPr>
                              <w:pStyle w:val="Header"/>
                              <w:kinsoku w:val="0"/>
                              <w:overflowPunct w:val="0"/>
                              <w:spacing w:line="180" w:lineRule="auto"/>
                              <w:jc w:val="center"/>
                            </w:pPr>
                            <w:r>
                              <w:rPr>
                                <w:rFonts w:ascii="Calibri" w:eastAsia="Times New Roman" w:hAnsi="Calibri" w:cs="Arial"/>
                                <w:color w:val="000000"/>
                                <w:kern w:val="24"/>
                              </w:rPr>
                              <w:t>Outpatient</w:t>
                            </w:r>
                          </w:p>
                          <w:p w:rsidR="00A35938" w:rsidRDefault="00A35938" w:rsidP="00CF5C9C">
                            <w:pPr>
                              <w:pStyle w:val="Header"/>
                              <w:kinsoku w:val="0"/>
                              <w:overflowPunct w:val="0"/>
                              <w:spacing w:line="180" w:lineRule="auto"/>
                              <w:jc w:val="center"/>
                            </w:pPr>
                            <w:r>
                              <w:rPr>
                                <w:rFonts w:ascii="Calibri" w:eastAsia="Times New Roman" w:hAnsi="Calibri" w:cs="Arial"/>
                                <w:color w:val="000000"/>
                                <w:kern w:val="24"/>
                              </w:rPr>
                              <w:t>(</w:t>
                            </w:r>
                            <w:r>
                              <w:rPr>
                                <w:rFonts w:ascii="Calibri" w:eastAsia="Times New Roman" w:hAnsi="Calibri" w:cs="Arial"/>
                                <w:i/>
                                <w:iCs/>
                                <w:color w:val="000000"/>
                                <w:kern w:val="24"/>
                              </w:rPr>
                              <w:t>O</w:t>
                            </w:r>
                            <w:r>
                              <w:rPr>
                                <w:rFonts w:ascii="Calibri" w:eastAsia="Times New Roman" w:hAnsi="Calibri" w:cs="Arial"/>
                                <w:color w:val="000000"/>
                                <w:kern w:val="24"/>
                              </w:rPr>
                              <w:t>)</w:t>
                            </w:r>
                          </w:p>
                        </w:txbxContent>
                      </v:textbox>
                    </v:roundrect>
                    <v:roundrect id="AutoShape 23" o:spid="_x0000_s1043" style="position:absolute;left:65704;top:10675;width:11883;height:4728;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3OVccYA&#10;AADbAAAADwAAAGRycy9kb3ducmV2LnhtbESPQWvCQBSE74X+h+UVvBTdaEEluoZYEMRDoZqD3p7Z&#10;1yQ0+zbdXTX9992C4HGYmW+YZdabVlzJ+caygvEoAUFcWt1wpaA4bIZzED4ga2wtk4Jf8pCtnp+W&#10;mGp740+67kMlIoR9igrqELpUSl/WZNCPbEccvS/rDIYoXSW1w1uEm1ZOkmQqDTYcF2rs6L2m8nt/&#10;MQpmH+vz+jgrdqe5e8VxbndV0f0oNXjp8wWIQH14hO/trVbwNoH/L/EHyNU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3OVccYAAADbAAAADwAAAAAAAAAAAAAAAACYAgAAZHJz&#10;L2Rvd25yZXYueG1sUEsFBgAAAAAEAAQA9QAAAIsDAAAAAA==&#10;" filled="f" strokecolor="black [3213]">
                      <o:lock v:ext="edit" aspectratio="t"/>
                      <v:textbox>
                        <w:txbxContent>
                          <w:p w:rsidR="00A35938" w:rsidRDefault="00A35938" w:rsidP="00CF5C9C">
                            <w:pPr>
                              <w:pStyle w:val="Header"/>
                              <w:kinsoku w:val="0"/>
                              <w:overflowPunct w:val="0"/>
                              <w:spacing w:line="180" w:lineRule="auto"/>
                              <w:jc w:val="center"/>
                            </w:pPr>
                            <w:r>
                              <w:rPr>
                                <w:rFonts w:ascii="Calibri" w:eastAsia="Times New Roman" w:hAnsi="Calibri" w:cs="Arial"/>
                                <w:color w:val="000000"/>
                                <w:kern w:val="24"/>
                              </w:rPr>
                              <w:t xml:space="preserve">Recovered </w:t>
                            </w:r>
                          </w:p>
                          <w:p w:rsidR="00A35938" w:rsidRDefault="00A35938" w:rsidP="00CF5C9C">
                            <w:pPr>
                              <w:pStyle w:val="Header"/>
                              <w:kinsoku w:val="0"/>
                              <w:overflowPunct w:val="0"/>
                              <w:spacing w:line="180" w:lineRule="auto"/>
                              <w:jc w:val="center"/>
                            </w:pPr>
                            <w:r>
                              <w:rPr>
                                <w:rFonts w:ascii="Calibri" w:eastAsia="Times New Roman" w:hAnsi="Calibri" w:cs="Arial"/>
                                <w:color w:val="000000"/>
                                <w:kern w:val="24"/>
                              </w:rPr>
                              <w:t>(</w:t>
                            </w:r>
                            <w:r>
                              <w:rPr>
                                <w:rFonts w:ascii="Calibri" w:eastAsia="Times New Roman" w:hAnsi="Calibri" w:cs="Arial"/>
                                <w:i/>
                                <w:iCs/>
                                <w:color w:val="000000"/>
                                <w:kern w:val="24"/>
                              </w:rPr>
                              <w:t>R</w:t>
                            </w:r>
                            <w:r>
                              <w:rPr>
                                <w:rFonts w:ascii="Calibri" w:eastAsia="Times New Roman" w:hAnsi="Calibri" w:cs="Arial"/>
                                <w:color w:val="000000"/>
                                <w:kern w:val="24"/>
                              </w:rPr>
                              <w:t>)</w:t>
                            </w:r>
                          </w:p>
                        </w:txbxContent>
                      </v:textbox>
                    </v:roundrect>
                    <v:roundrect id="AutoShape 20" o:spid="_x0000_s1044" style="position:absolute;left:63299;top:36586;width:11883;height:7023;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D8w6sUA&#10;AADbAAAADwAAAGRycy9kb3ducmV2LnhtbESPQWvCQBSE70L/w/IKXqRuVGgkdRUVhOJBUHOwt9fs&#10;axKafRt3V03/vSsUPA4z8w0zW3SmEVdyvrasYDRMQBAXVtdcKsiPm7cpCB+QNTaWScEfeVjMX3oz&#10;zLS98Z6uh1CKCGGfoYIqhDaT0hcVGfRD2xJH78c6gyFKV0rt8BbhppHjJHmXBmuOCxW2tK6o+D1c&#10;jIJ0t/pendJ8+zV1Axwt7bbM27NS/ddu+QEiUBee4f/2p1YwmcDjS/wBcn4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IPzDqxQAAANsAAAAPAAAAAAAAAAAAAAAAAJgCAABkcnMv&#10;ZG93bnJldi54bWxQSwUGAAAAAAQABAD1AAAAigMAAAAA&#10;" filled="f" strokecolor="black [3213]">
                      <o:lock v:ext="edit" aspectratio="t"/>
                      <v:textbox>
                        <w:txbxContent>
                          <w:p w:rsidR="00A35938" w:rsidRDefault="00A35938" w:rsidP="00CF5C9C">
                            <w:pPr>
                              <w:pStyle w:val="Header"/>
                              <w:kinsoku w:val="0"/>
                              <w:overflowPunct w:val="0"/>
                              <w:spacing w:line="180" w:lineRule="auto"/>
                              <w:jc w:val="center"/>
                            </w:pPr>
                            <w:r>
                              <w:rPr>
                                <w:rFonts w:ascii="Calibri" w:eastAsia="Times New Roman" w:hAnsi="Calibri" w:cs="Arial"/>
                                <w:color w:val="000000"/>
                                <w:kern w:val="24"/>
                              </w:rPr>
                              <w:t>Post Liver Transplant</w:t>
                            </w:r>
                          </w:p>
                          <w:p w:rsidR="00A35938" w:rsidRDefault="00A35938" w:rsidP="00CF5C9C">
                            <w:pPr>
                              <w:pStyle w:val="Header"/>
                              <w:kinsoku w:val="0"/>
                              <w:overflowPunct w:val="0"/>
                              <w:spacing w:line="180" w:lineRule="auto"/>
                              <w:jc w:val="center"/>
                            </w:pPr>
                            <w:r>
                              <w:rPr>
                                <w:rFonts w:ascii="Calibri" w:eastAsia="Times New Roman" w:hAnsi="Calibri" w:cs="Arial"/>
                                <w:color w:val="000000"/>
                                <w:kern w:val="24"/>
                              </w:rPr>
                              <w:t>(</w:t>
                            </w:r>
                            <w:r>
                              <w:rPr>
                                <w:rFonts w:ascii="Calibri" w:eastAsia="Times New Roman" w:hAnsi="Calibri" w:cs="Arial"/>
                                <w:i/>
                                <w:iCs/>
                                <w:color w:val="000000"/>
                                <w:kern w:val="24"/>
                              </w:rPr>
                              <w:t>L</w:t>
                            </w:r>
                            <w:r>
                              <w:rPr>
                                <w:rFonts w:ascii="Calibri" w:eastAsia="Times New Roman" w:hAnsi="Calibri" w:cs="Arial"/>
                                <w:color w:val="000000"/>
                                <w:kern w:val="24"/>
                                <w:position w:val="-6"/>
                                <w:vertAlign w:val="subscript"/>
                              </w:rPr>
                              <w:t>2</w:t>
                            </w:r>
                            <w:r>
                              <w:rPr>
                                <w:rFonts w:ascii="Calibri" w:eastAsia="Times New Roman" w:hAnsi="Calibri" w:cs="Arial"/>
                                <w:color w:val="000000"/>
                                <w:kern w:val="24"/>
                              </w:rPr>
                              <w:t>)</w:t>
                            </w:r>
                          </w:p>
                        </w:txbxContent>
                      </v:textbox>
                    </v:roundrect>
                    <v:shapetype id="_x0000_t32" coordsize="21600,21600" o:spt="32" o:oned="t" path="m,l21600,21600e" filled="f">
                      <v:path arrowok="t" fillok="f" o:connecttype="none"/>
                      <o:lock v:ext="edit" shapetype="t"/>
                    </v:shapetype>
                    <v:shape id="AutoShape 9" o:spid="_x0000_s1045" type="#_x0000_t32" style="position:absolute;left:6830;top:4512;width:0;height:519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1MyqcQAAADbAAAADwAAAGRycy9kb3ducmV2LnhtbESPQWvCQBSE70L/w/IKvZlNq5QQs0or&#10;CEJBrNb7M/uaDc2+DdlNjP56t1DocZiZb5hiNdpGDNT52rGC5yQFQVw6XXOl4Ou4mWYgfEDW2Dgm&#10;BVfysFo+TArMtbvwJw2HUIkIYZ+jAhNCm0vpS0MWfeJa4uh9u85iiLKrpO7wEuG2kS9p+iot1hwX&#10;DLa0NlT+HHqrYL67HWW2Kdenfv9+Sg1+XGU4K/X0OL4tQAQaw3/4r73VCmZz+P0Sf4Bc3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TUzKpxAAAANsAAAAPAAAAAAAAAAAA&#10;AAAAAKECAABkcnMvZG93bnJldi54bWxQSwUGAAAAAAQABAD5AAAAkgMAAAAA&#10;" strokecolor="black [3213]" strokeweight="1.5pt">
                      <v:stroke endarrow="classic" endarrowwidth="wide" endarrowlength="long"/>
                      <v:shadow color="#eeece1 [3214]"/>
                      <o:lock v:ext="edit" aspectratio="t"/>
                    </v:shape>
                    <v:shape id="AutoShape 9" o:spid="_x0000_s1046" type="#_x0000_t32" style="position:absolute;left:13161;top:26196;width:7306;height:1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M0JRcQAAADbAAAADwAAAGRycy9kb3ducmV2LnhtbESPQWvCQBSE74L/YXlCb2bTVkRiVmkF&#10;oVCQVuv9mX1mg9m3IbuJ0V/vFgo9DjPzDZOvB1uLnlpfOVbwnKQgiAunKy4V/By20wUIH5A11o5J&#10;wY08rFfjUY6Zdlf+pn4fShEh7DNUYEJoMil9YciiT1xDHL2zay2GKNtS6havEW5r+ZKmc2mx4rhg&#10;sKGNoeKy76yC2e5+kIttsTl2X+/H1ODnTYaTUk+T4W0JItAQ/sN/7Q+t4HUOv1/iD5CrB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MzQlFxAAAANsAAAAPAAAAAAAAAAAA&#10;AAAAAKECAABkcnMvZG93bnJldi54bWxQSwUGAAAAAAQABAD5AAAAkgMAAAAA&#10;" strokecolor="black [3213]" strokeweight="1.5pt">
                      <v:stroke endarrow="classic" endarrowwidth="wide" endarrowlength="long"/>
                      <v:shadow color="#eeece1 [3214]"/>
                      <o:lock v:ext="edit" aspectratio="t"/>
                    </v:shape>
                    <v:shape id="AutoShape 9" o:spid="_x0000_s1047" type="#_x0000_t32" style="position:absolute;left:6580;top:14437;width:248;height:8756;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3oIpMQAAADbAAAADwAAAGRycy9kb3ducmV2LnhtbESPT2vCQBTE74LfYXlCb7pprFpSVymV&#10;grR48F/Pj+xrNjT7NmS3Js2n7wqCx2FmfsMs152txIUaXzpW8DhJQBDnTpdcKDgd38fPIHxA1lg5&#10;JgV/5GG9Gg6WmGnX8p4uh1CICGGfoQITQp1J6XNDFv3E1cTR+3aNxRBlU0jdYBvhtpJpksylxZLj&#10;gsGa3gzlP4dfq4DTflc8bc9faaut+fzY9H5meqUeRt3rC4hAXbiHb+2tVjBdwPVL/AFy9Q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negikxAAAANsAAAAPAAAAAAAAAAAA&#10;AAAAAKECAABkcnMvZG93bnJldi54bWxQSwUGAAAAAAQABAD5AAAAkgMAAAAA&#10;" strokecolor="black [3213]" strokeweight="1.5pt">
                      <v:stroke endarrow="classic" endarrowwidth="wide" endarrowlength="long"/>
                      <v:shadow color="#eeece1 [3214]"/>
                      <o:lock v:ext="edit" aspectratio="t"/>
                    </v:shape>
                    <v:shape id="AutoShape 9" o:spid="_x0000_s1048" type="#_x0000_t32" style="position:absolute;left:32350;top:23268;width:12335;height:294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uWc1sEAAADbAAAADwAAAGRycy9kb3ducmV2LnhtbERPz2vCMBS+C/sfwhvspuk6HaMzljEZ&#10;iOJBNz0/mremrHkpTWy7/vXmIHj8+H4v88HWoqPWV44VPM8SEMSF0xWXCn6+v6ZvIHxA1lg7JgX/&#10;5CFfPUyWmGnX84G6YyhFDGGfoQITQpNJ6QtDFv3MNcSR+3WtxRBhW0rdYh/DbS3TJHmVFiuODQYb&#10;+jRU/B0vVgGn476cb07ntNfW7Lbr0S/MqNTT4/DxDiLQEO7im3ujFbzEsfFL/AFydQU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W5ZzWwQAAANsAAAAPAAAAAAAAAAAAAAAA&#10;AKECAABkcnMvZG93bnJldi54bWxQSwUGAAAAAAQABAD5AAAAjwMAAAAA&#10;" strokecolor="black [3213]" strokeweight="1.5pt">
                      <v:stroke endarrow="classic" endarrowwidth="wide" endarrowlength="long"/>
                      <v:shadow color="#eeece1 [3214]"/>
                      <o:lock v:ext="edit" aspectratio="t"/>
                    </v:shape>
                    <v:shape id="AutoShape 9" o:spid="_x0000_s1049" type="#_x0000_t32" style="position:absolute;left:32350;top:4051;width:12331;height:22157;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ak5TcQAAADbAAAADwAAAGRycy9kb3ducmV2LnhtbESPT2vCQBTE74LfYXlCb7pprGJTVymV&#10;grR48F/Pj+xrNjT7NmS3Js2n7wqCx2FmfsMs152txIUaXzpW8DhJQBDnTpdcKDgd38cLED4ga6wc&#10;k4I/8rBeDQdLzLRreU+XQyhEhLDPUIEJoc6k9Lkhi37iauLofbvGYoiyKaRusI1wW8k0SebSYslx&#10;wWBNb4byn8OvVcBpvyuetuevtNXWfH5sej8zvVIPo+71BUSgLtzDt/ZWK5g+w/VL/AFy9Q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5qTlNxAAAANsAAAAPAAAAAAAAAAAA&#10;AAAAAKECAABkcnMvZG93bnJldi54bWxQSwUGAAAAAAQABAD5AAAAkgMAAAAA&#10;" strokecolor="black [3213]" strokeweight="1.5pt">
                      <v:stroke endarrow="classic" endarrowwidth="wide" endarrowlength="long"/>
                      <v:shadow color="#eeece1 [3214]"/>
                      <o:lock v:ext="edit" aspectratio="t"/>
                    </v:shape>
                    <v:shape id="AutoShape 9" o:spid="_x0000_s1050" type="#_x0000_t32" style="position:absolute;left:32350;top:12931;width:12326;height:13277;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JXjrcEAAADbAAAADwAAAGRycy9kb3ducmV2LnhtbERPz2vCMBS+C/4P4Q1203TFyaimRRwD&#10;ceygTs+P5tkUm5fSZLb2r18Ogx0/vt/rYrCNuFPna8cKXuYJCOLS6ZorBd+nj9kbCB+QNTaOScGD&#10;PBT5dLLGTLueD3Q/hkrEEPYZKjAhtJmUvjRk0c9dSxy5q+sshgi7SuoO+xhuG5kmyVJarDk2GGxp&#10;a6i8HX+sAk7Hr2qxO1/SXlvzuX8f/asZlXp+GjYrEIGG8C/+c++0gkVcH7/EHyDzX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wleOtwQAAANsAAAAPAAAAAAAAAAAAAAAA&#10;AKECAABkcnMvZG93bnJldi54bWxQSwUGAAAAAAQABAD5AAAAjwMAAAAA&#10;" strokecolor="black [3213]" strokeweight="1.5pt">
                      <v:stroke endarrow="classic" endarrowwidth="wide" endarrowlength="long"/>
                      <v:shadow color="#eeece1 [3214]"/>
                      <o:lock v:ext="edit" aspectratio="t"/>
                    </v:shape>
                    <v:shape id="AutoShape 9" o:spid="_x0000_s1051" type="#_x0000_t32" style="position:absolute;left:32350;top:26208;width:12462;height:598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yLiTMMAAADbAAAADwAAAGRycy9kb3ducmV2LnhtbESPzWrDMBCE74W+g9hCbo2cUkJwI5s2&#10;ECgUQuIk9621tUytlbEU/+Tpo0Chx2Hmm2HW+Wgb0VPna8cKFvMEBHHpdM2VgtNx+7wC4QOyxsYx&#10;KZjIQ549Pqwx1W7gA/VFqEQsYZ+iAhNCm0rpS0MW/dy1xNH7cZ3FEGVXSd3hEMttI1+SZCkt1hwX&#10;DLa0MVT+Fher4HV3PcrVttycL/uPc2Lwa5LhW6nZ0/j+BiLQGP7Df/SnjtwC7l/iD5DZD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si4kzDAAAA2wAAAA8AAAAAAAAAAAAA&#10;AAAAoQIAAGRycy9kb3ducmV2LnhtbFBLBQYAAAAABAAEAPkAAACRAwAAAAA=&#10;" strokecolor="black [3213]" strokeweight="1.5pt">
                      <v:stroke endarrow="classic" endarrowwidth="wide" endarrowlength="long"/>
                      <v:shadow color="#eeece1 [3214]"/>
                      <o:lock v:ext="edit" aspectratio="t"/>
                    </v:shape>
                    <v:roundrect id="AutoShape 23" o:spid="_x0000_s1052" style="position:absolute;left:44676;top:49503;width:14991;height:786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3XmDMYA&#10;AADbAAAADwAAAGRycy9kb3ducmV2LnhtbESPQWvCQBSE74X+h+UVvBTdKEUluoZYEMRDoZqD3p7Z&#10;1yQ0+zbdXTX9992C4HGYmW+YZdabVlzJ+caygvEoAUFcWt1wpaA4bIZzED4ga2wtk4Jf8pCtnp+W&#10;mGp740+67kMlIoR9igrqELpUSl/WZNCPbEccvS/rDIYoXSW1w1uEm1ZOkmQqDTYcF2rs6L2m8nt/&#10;MQpmH+vz+jgrdqe5e8VxbndV0f0oNXjp8wWIQH14hO/trVbwNoH/L/EHyNU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3XmDMYAAADbAAAADwAAAAAAAAAAAAAAAACYAgAAZHJz&#10;L2Rvd25yZXYueG1sUEsFBgAAAAAEAAQA9QAAAIsDAAAAAA==&#10;" filled="f" strokecolor="black [3213]">
                      <o:lock v:ext="edit" aspectratio="t"/>
                      <v:textbox>
                        <w:txbxContent>
                          <w:p w:rsidR="00A35938" w:rsidRDefault="00A35938" w:rsidP="00CF5C9C">
                            <w:pPr>
                              <w:pStyle w:val="Header"/>
                              <w:kinsoku w:val="0"/>
                              <w:overflowPunct w:val="0"/>
                              <w:spacing w:line="180" w:lineRule="auto"/>
                              <w:jc w:val="center"/>
                            </w:pPr>
                            <w:r>
                              <w:rPr>
                                <w:rFonts w:ascii="Calibri" w:eastAsia="Times New Roman" w:hAnsi="Calibri" w:cs="Arial"/>
                                <w:color w:val="000000"/>
                                <w:kern w:val="24"/>
                              </w:rPr>
                              <w:t>Death from liver disease</w:t>
                            </w:r>
                          </w:p>
                          <w:p w:rsidR="00A35938" w:rsidRDefault="00A35938" w:rsidP="00CF5C9C">
                            <w:pPr>
                              <w:pStyle w:val="Header"/>
                              <w:kinsoku w:val="0"/>
                              <w:overflowPunct w:val="0"/>
                              <w:spacing w:line="180" w:lineRule="auto"/>
                              <w:jc w:val="center"/>
                            </w:pPr>
                            <w:r>
                              <w:rPr>
                                <w:rFonts w:ascii="Calibri" w:eastAsia="Times New Roman" w:hAnsi="Calibri" w:cs="Arial"/>
                                <w:color w:val="000000"/>
                                <w:kern w:val="24"/>
                              </w:rPr>
                              <w:t>(</w:t>
                            </w:r>
                            <w:r>
                              <w:rPr>
                                <w:rFonts w:ascii="Calibri" w:eastAsia="Times New Roman" w:hAnsi="Calibri" w:cs="Arial"/>
                                <w:i/>
                                <w:iCs/>
                                <w:color w:val="000000"/>
                                <w:kern w:val="24"/>
                              </w:rPr>
                              <w:t>D</w:t>
                            </w:r>
                            <w:r>
                              <w:rPr>
                                <w:rFonts w:ascii="Calibri" w:eastAsia="Times New Roman" w:hAnsi="Calibri" w:cs="Arial"/>
                                <w:color w:val="000000"/>
                                <w:kern w:val="24"/>
                              </w:rPr>
                              <w:t>)</w:t>
                            </w:r>
                          </w:p>
                        </w:txbxContent>
                      </v:textbox>
                    </v:roundrect>
                    <v:shape id="AutoShape 9" o:spid="_x0000_s1053" type="#_x0000_t32" style="position:absolute;left:59920;top:4051;width:5784;height:898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LzZoMIAAADbAAAADwAAAGRycy9kb3ducmV2LnhtbESP3YrCMBSE7xd8h3AE79ZUXRapRlFB&#10;EITF9ef+2BybYnNSmqjVpzeC4OUw880w42ljS3Gl2heOFfS6CQjizOmCcwX73fJ7CMIHZI2lY1Jw&#10;Jw/TSetrjKl2N/6n6zbkIpawT1GBCaFKpfSZIYu+6yri6J1cbTFEWedS13iL5baU/ST5lRYLjgsG&#10;K1oYys7bi1Xw8/fYyeEyWxwum/khMbi+y3BUqtNuZiMQgZrwCb/plY7cAF5f4g+Qky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LzZoMIAAADbAAAADwAAAAAAAAAAAAAA&#10;AAChAgAAZHJzL2Rvd25yZXYueG1sUEsFBgAAAAAEAAQA+QAAAJADAAAAAA==&#10;" strokecolor="black [3213]" strokeweight="1.5pt">
                      <v:stroke endarrow="classic" endarrowwidth="wide" endarrowlength="long"/>
                      <v:shadow color="#eeece1 [3214]"/>
                      <o:lock v:ext="edit" aspectratio="t"/>
                    </v:shape>
                    <v:shape id="AutoShape 9" o:spid="_x0000_s1054" type="#_x0000_t32" style="position:absolute;left:60047;top:12931;width:5657;height:10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1VB1MAAAADbAAAADwAAAGRycy9kb3ducmV2LnhtbESP3YrCMBSE7wXfIRzBO00VEalGUUFY&#10;WBB/74/NsSk2J6WJWn16Iyzs5TDzzTCzRWNL8aDaF44VDPoJCOLM6YJzBafjpjcB4QOyxtIxKXiR&#10;h8W83Zphqt2T9/Q4hFzEEvYpKjAhVKmUPjNk0fddRRy9q6sthijrXOoan7HclnKYJGNpseC4YLCi&#10;taHsdrhbBaPt+ygnm2x9vu9W58Tg70uGi1LdTrOcggjUhP/wH/2jIzeC75f4A+T8A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EtVQdTAAAAA2wAAAA8AAAAAAAAAAAAAAAAA&#10;oQIAAGRycy9kb3ducmV2LnhtbFBLBQYAAAAABAAEAPkAAACOAwAAAAA=&#10;" strokecolor="black [3213]" strokeweight="1.5pt">
                      <v:stroke endarrow="classic" endarrowwidth="wide" endarrowlength="long"/>
                      <v:shadow color="#eeece1 [3214]"/>
                      <o:lock v:ext="edit" aspectratio="t"/>
                    </v:shape>
                    <v:shape id="AutoShape 9" o:spid="_x0000_s1055" type="#_x0000_t32" style="position:absolute;left:60047;top:13039;width:5657;height:10229;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OJANcMAAADbAAAADwAAAGRycy9kb3ducmV2LnhtbESPQWvCQBSE70L/w/IK3nTToFJSVykt&#10;gigetNrzI/uaDc2+DdnVxPx6VxA8DjPzDTNfdrYSF2p86VjB2zgBQZw7XXKh4PizGr2D8AFZY+WY&#10;FFzJw3LxMphjpl3Le7ocQiEihH2GCkwIdSalzw1Z9GNXE0fvzzUWQ5RNIXWDbYTbSqZJMpMWS44L&#10;Bmv6MpT/H85WAaf9rpisT79pq63Zbr57PzW9UsPX7vMDRKAuPMOP9lormEzh/iX+ALm4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DiQDXDAAAA2wAAAA8AAAAAAAAAAAAA&#10;AAAAoQIAAGRycy9kb3ducmV2LnhtbFBLBQYAAAAABAAEAPkAAACRAwAAAAA=&#10;" strokecolor="black [3213]" strokeweight="1.5pt">
                      <v:stroke endarrow="classic" endarrowwidth="wide" endarrowlength="long"/>
                      <v:shadow color="#eeece1 [3214]"/>
                      <o:lock v:ext="edit" aspectratio="t"/>
                    </v:shape>
                    <v:shape id="AutoShape 9" o:spid="_x0000_s1056" type="#_x0000_t32" style="position:absolute;left:59413;top:15403;width:12233;height:16785;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DDeQsQAAADbAAAADwAAAGRycy9kb3ducmV2LnhtbESPT2vCQBTE70K/w/IK3nTToFJSN6G0&#10;FETxoP1zfmRfs6HZtyG7NTGf3hUEj8PM/IZZF4NtxIk6XztW8DRPQBCXTtdcKfj6/Jg9g/ABWWPj&#10;mBScyUORP0zWmGnX84FOx1CJCGGfoQITQptJ6UtDFv3ctcTR+3WdxRBlV0ndYR/htpFpkqykxZrj&#10;gsGW3gyVf8d/q4DTcV8tNt8/aa+t2W3fR780o1LTx+H1BUSgIdzDt/ZGK1is4Pol/gCZ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QMN5CxAAAANsAAAAPAAAAAAAAAAAA&#10;AAAAAKECAABkcnMvZG93bnJldi54bWxQSwUGAAAAAAQABAD5AAAAkgMAAAAA&#10;" strokecolor="black [3213]" strokeweight="1.5pt">
                      <v:stroke endarrow="classic" endarrowwidth="wide" endarrowlength="long"/>
                      <v:shadow color="#eeece1 [3214]"/>
                      <o:lock v:ext="edit" aspectratio="t"/>
                    </v:shape>
                    <v:shape id="AutoShape 9" o:spid="_x0000_s1057" type="#_x0000_t32" style="position:absolute;left:32350;top:26208;width:12326;height:2722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4ffo8IAAADbAAAADwAAAGRycy9kb3ducmV2LnhtbESP3YrCMBSE7xd8h3AE79ZUkV2pRlFB&#10;EITF9ef+2BybYnNSmqjVpzeC4OUw880w42ljS3Gl2heOFfS6CQjizOmCcwX73fJ7CMIHZI2lY1Jw&#10;Jw/TSetrjKl2N/6n6zbkIpawT1GBCaFKpfSZIYu+6yri6J1cbTFEWedS13iL5baU/ST5kRYLjgsG&#10;K1oYys7bi1Uw+Hvs5HCZLQ6XzfyQGFzfZTgq1Wk3sxGIQE34hN/0SkfuF15f4g+Qky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4ffo8IAAADbAAAADwAAAAAAAAAAAAAA&#10;AAChAgAAZHJzL2Rvd25yZXYueG1sUEsFBgAAAAAEAAQA+QAAAJADAAAAAA==&#10;" strokecolor="black [3213]" strokeweight="1.5pt">
                      <v:stroke endarrow="classic" endarrowwidth="wide" endarrowlength="long"/>
                      <v:shadow color="#eeece1 [3214]"/>
                      <o:lock v:ext="edit" aspectratio="t"/>
                    </v:shape>
                    <v:shape id="AutoShape 9" o:spid="_x0000_s1058" type="#_x0000_t32" style="position:absolute;left:32350;top:26208;width:12585;height:1388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hhL0b8AAADbAAAADwAAAGRycy9kb3ducmV2LnhtbERPS2sCMRC+F/wPYQRvNatIkdUoKgiF&#10;grQ+7uNm3CxuJssm6uqv7xwKPX587/my87W6UxurwAZGwwwUcRFsxaWB42H7PgUVE7LFOjAZeFKE&#10;5aL3Nsfchgf/0H2fSiUhHHM04FJqcq1j4chjHIaGWLhLaD0mgW2pbYsPCfe1HmfZh/ZYsTQ4bGjj&#10;qLjub97AZPc66Om22Jxu3+tT5vDrqdPZmEG/W81AJerSv/jP/WnFJ2Pli/wAvfgF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yhhL0b8AAADbAAAADwAAAAAAAAAAAAAAAACh&#10;AgAAZHJzL2Rvd25yZXYueG1sUEsFBgAAAAAEAAQA+QAAAI0DAAAAAA==&#10;" strokecolor="black [3213]" strokeweight="1.5pt">
                      <v:stroke endarrow="classic" endarrowwidth="wide" endarrowlength="long"/>
                      <v:shadow color="#eeece1 [3214]"/>
                      <o:lock v:ext="edit" aspectratio="t"/>
                    </v:shape>
                    <v:shape id="AutoShape 9" o:spid="_x0000_s1059" type="#_x0000_t32" style="position:absolute;left:59794;top:40095;width:3505;height: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VTuSsIAAADbAAAADwAAAGRycy9kb3ducmV2LnhtbESP3YrCMBSE7wXfIRzBO02VRbQaRQVh&#10;QZBdf+6PzbEpNieliVp9erOw4OUw880ws0VjS3Gn2heOFQz6CQjizOmCcwXHw6Y3BuEDssbSMSl4&#10;kofFvN2aYardg3/pvg+5iCXsU1RgQqhSKX1myKLvu4o4ehdXWwxR1rnUNT5iuS3lMElG0mLBccFg&#10;RWtD2XV/swq+dq+DHG+y9en2szolBrdPGc5KdTvNcgoiUBM+4X/6W0duAn9f4g+Q8z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VTuSsIAAADbAAAADwAAAAAAAAAAAAAA&#10;AAChAgAAZHJzL2Rvd25yZXYueG1sUEsFBgAAAAAEAAQA+QAAAJADAAAAAA==&#10;" strokecolor="black [3213]" strokeweight="1.5pt">
                      <v:stroke endarrow="classic" endarrowwidth="wide" endarrowlength="long"/>
                      <v:shadow color="#eeece1 [3214]"/>
                      <o:lock v:ext="edit" aspectratio="t"/>
                    </v:shape>
                    <v:shape id="AutoShape 9" o:spid="_x0000_s1060" type="#_x0000_t32" style="position:absolute;left:52172;top:43607;width:192;height:5896;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Ux1cMEAAADbAAAADwAAAGRycy9kb3ducmV2LnhtbERPz2vCMBS+D/wfwht4m+nKHKOaFlEE&#10;ceywOj0/mmdTbF5Kk9muf/1yGOz48f1eF6NtxZ163zhW8LxIQBBXTjdcK/g67Z/eQPiArLF1TAp+&#10;yEORzx7WmGk38Cfdy1CLGMI+QwUmhC6T0leGLPqF64gjd3W9xRBhX0vd4xDDbSvTJHmVFhuODQY7&#10;2hqqbuW3VcDp9FG/HM6XdNDWvB93k1+aSan547hZgQg0hn/xn/ugFSzj+vgl/gCZ/w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1THVwwQAAANsAAAAPAAAAAAAAAAAAAAAA&#10;AKECAABkcnMvZG93bnJldi54bWxQSwUGAAAAAAQABAD5AAAAjwMAAAAA&#10;" strokecolor="black [3213]" strokeweight="1.5pt">
                      <v:stroke endarrow="classic" endarrowwidth="wide" endarrowlength="long"/>
                      <v:shadow color="#eeece1 [3214]"/>
                      <o:lock v:ext="edit" aspectratio="t"/>
                    </v:shape>
                    <v:shape id="AutoShape 9" o:spid="_x0000_s1061" type="#_x0000_t32" style="position:absolute;left:59667;top:43609;width:9573;height:9824;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gDQ68MAAADbAAAADwAAAGRycy9kb3ducmV2LnhtbESPQWvCQBSE70L/w/IK3nRjUCmpq5SK&#10;IIoHrfb8yL5mQ7NvQ3Y1Mb/eLRQ8DjPzDbNYdbYSN2p86VjBZJyAIM6dLrlQcP7ajN5A+ICssXJM&#10;Cu7kYbV8GSww067lI91OoRARwj5DBSaEOpPS54Ys+rGriaP34xqLIcqmkLrBNsJtJdMkmUuLJccF&#10;gzV9Gsp/T1ergNP+UEy3l++01dbsd+vez0yv1PC1+3gHEagLz/B/e6sVzCbw9yX+ALl8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oA0OvDAAAA2wAAAA8AAAAAAAAAAAAA&#10;AAAAoQIAAGRycy9kb3ducmV2LnhtbFBLBQYAAAAABAAEAPkAAACRAwAAAAA=&#10;" strokecolor="black [3213]" strokeweight="1.5pt">
                      <v:stroke endarrow="classic" endarrowwidth="wide" endarrowlength="long"/>
                      <v:shadow color="#eeece1 [3214]"/>
                      <o:lock v:ext="edit" aspectratio="t"/>
                    </v:shape>
                  </v:group>
                  <v:shapetype id="_x0000_t202" coordsize="21600,21600" o:spt="202" path="m,l,21600r21600,l21600,xe">
                    <v:stroke joinstyle="miter"/>
                    <v:path gradientshapeok="t" o:connecttype="rect"/>
                  </v:shapetype>
                  <v:shape id="Text Box 1" o:spid="_x0000_s1062" type="#_x0000_t202" style="position:absolute;left:6213;top:13458;width:3029;height:37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C/pSsMA&#10;AADaAAAADwAAAGRycy9kb3ducmV2LnhtbESPT4vCMBTE7wt+h/CEva2pgqLVKFKQlUUP/rl4ezbP&#10;tti81Car1U9vBMHjMDO/YSazxpTiSrUrLCvodiIQxKnVBWcK9rvFzxCE88gaS8uk4E4OZtPW1wRj&#10;bW+8oevWZyJA2MWoIPe+iqV0aU4GXcdWxME72dqgD7LOpK7xFuCmlL0oGkiDBYeFHCtKckrP23+j&#10;4C9ZrHFz7Jnho0x+V6d5ddkf+kp9t5v5GISnxn/C7/ZSKxjB60q4AXL6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C/pSsMAAADaAAAADwAAAAAAAAAAAAAAAACYAgAAZHJzL2Rv&#10;d25yZXYueG1sUEsFBgAAAAAEAAQA9QAAAIgDAAAAAA==&#10;" filled="f" stroked="f" strokeweight=".5pt">
                    <v:textbox>
                      <w:txbxContent>
                        <w:p w:rsidR="00A35938" w:rsidRDefault="00A35938" w:rsidP="00CF5C9C">
                          <w:pPr>
                            <w:pStyle w:val="Header"/>
                          </w:pPr>
                          <w:r>
                            <w:rPr>
                              <w:rFonts w:eastAsia="Batang" w:hAnsi="Symbol" w:hint="eastAsia"/>
                              <w:color w:val="000000" w:themeColor="dark1"/>
                              <w:kern w:val="24"/>
                            </w:rPr>
                            <w:sym w:font="Symbol" w:char="F078"/>
                          </w:r>
                        </w:p>
                      </w:txbxContent>
                    </v:textbox>
                  </v:shape>
                  <v:shape id="_x0000_s1063" type="#_x0000_t202" style="position:absolute;left:7488;top:28730;width:7537;height:33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Bcaj8UA&#10;AADbAAAADwAAAGRycy9kb3ducmV2LnhtbESPT2vCQBDF7wW/wzKCt7pRUCS6igSkRdqDfy7exuyY&#10;BLOzMbtq2k/vHAq9zfDevPebxapztXpQGyrPBkbDBBRx7m3FhYHjYfM+AxUissXaMxn4oQCrZe9t&#10;gan1T97RYx8LJSEcUjRQxtikWoe8JIdh6Bti0S6+dRhlbQttW3xKuKv1OEmm2mHF0lBiQ1lJ+XV/&#10;dwa22eYbd+exm/3W2cfXZd3cjqeJMYN+t56DitTFf/Pf9acVfKGXX2QAvX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UFxqPxQAAANsAAAAPAAAAAAAAAAAAAAAAAJgCAABkcnMv&#10;ZG93bnJldi54bWxQSwUGAAAAAAQABAD1AAAAigMAAAAA&#10;" filled="f" stroked="f" strokeweight=".5pt">
                    <v:textbox>
                      <w:txbxContent>
                        <w:p w:rsidR="00A35938" w:rsidRDefault="00A35938" w:rsidP="00CF5C9C">
                          <w:pPr>
                            <w:pStyle w:val="Header"/>
                          </w:pPr>
                          <w:r>
                            <w:rPr>
                              <w:rFonts w:eastAsia="Batang" w:hAnsi="Symbol" w:hint="eastAsia"/>
                              <w:color w:val="000000" w:themeColor="dark1"/>
                              <w:kern w:val="24"/>
                            </w:rPr>
                            <w:sym w:font="Symbol" w:char="F066"/>
                          </w:r>
                          <w:r>
                            <w:rPr>
                              <w:rFonts w:eastAsia="Batang" w:hAnsi="Symbol"/>
                              <w:color w:val="000000" w:themeColor="dark1"/>
                              <w:kern w:val="24"/>
                            </w:rPr>
                            <w:t>(1-</w:t>
                          </w:r>
                          <w:r>
                            <w:rPr>
                              <w:rFonts w:eastAsia="Batang" w:hAnsi="Symbol"/>
                              <w:color w:val="000000" w:themeColor="dark1"/>
                              <w:kern w:val="24"/>
                            </w:rPr>
                            <w:sym w:font="Symbol" w:char="F06A"/>
                          </w:r>
                          <w:r>
                            <w:rPr>
                              <w:rFonts w:eastAsia="Batang" w:hAnsi="Symbol"/>
                              <w:color w:val="000000" w:themeColor="dark1"/>
                              <w:kern w:val="24"/>
                            </w:rPr>
                            <w:t>)</w:t>
                          </w:r>
                        </w:p>
                      </w:txbxContent>
                    </v:textbox>
                  </v:shape>
                  <v:shape id="_x0000_s1064" type="#_x0000_t202" style="position:absolute;left:13800;top:32158;width:4266;height:31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1u/FMMA&#10;AADbAAAADwAAAGRycy9kb3ducmV2LnhtbERPS2vCQBC+C/6HZQredBNBkdRVQkBaij34uHibZsck&#10;NDsbs9sk9te7hYK3+fies94OphYdta6yrCCeRSCIc6srLhScT7vpCoTzyBpry6TgTg62m/FojYm2&#10;PR+oO/pChBB2CSoovW8SKV1ekkE3sw1x4K62NegDbAupW+xDuKnlPIqW0mDFoaHEhrKS8u/jj1Hw&#10;ke0+8fA1N6vfOnvbX9Pmdr4slJq8DOkrCE+Df4r/3e86zI/h75dwgNw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1u/FMMAAADbAAAADwAAAAAAAAAAAAAAAACYAgAAZHJzL2Rv&#10;d25yZXYueG1sUEsFBgAAAAAEAAQA9QAAAIgDAAAAAA==&#10;" filled="f" stroked="f" strokeweight=".5pt">
                    <v:textbox>
                      <w:txbxContent>
                        <w:p w:rsidR="00A35938" w:rsidRPr="003E319A" w:rsidRDefault="00A35938" w:rsidP="00CF5C9C">
                          <w:pPr>
                            <w:pStyle w:val="Header"/>
                            <w:rPr>
                              <w:vertAlign w:val="subscript"/>
                            </w:rPr>
                          </w:pPr>
                          <w:r>
                            <w:rPr>
                              <w:rFonts w:eastAsia="Batang" w:hAnsi="Symbol" w:hint="eastAsia"/>
                              <w:color w:val="000000" w:themeColor="dark1"/>
                              <w:kern w:val="24"/>
                            </w:rPr>
                            <w:sym w:font="Symbol" w:char="F067"/>
                          </w:r>
                          <w:r>
                            <w:rPr>
                              <w:rFonts w:eastAsia="Batang" w:hAnsi="Symbol"/>
                              <w:color w:val="000000" w:themeColor="dark1"/>
                              <w:kern w:val="24"/>
                              <w:vertAlign w:val="subscript"/>
                            </w:rPr>
                            <w:t>1</w:t>
                          </w:r>
                        </w:p>
                      </w:txbxContent>
                    </v:textbox>
                  </v:shape>
                  <v:shape id="Text Box 290" o:spid="_x0000_s1065" type="#_x0000_t202" style="position:absolute;left:13188;top:21218;width:3238;height:27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4khY8IA&#10;AADbAAAADwAAAGRycy9kb3ducmV2LnhtbERPTYvCMBC9C/6HMAveNN2CItUoUpBdxD2ovXibbca2&#10;bDOpTdS6v94Igrd5vM+ZLztTiyu1rrKs4HMUgSDOra64UJAd1sMpCOeRNdaWScGdHCwX/d4cE21v&#10;vKPr3hcihLBLUEHpfZNI6fKSDLqRbYgDd7KtQR9gW0jd4i2Em1rGUTSRBisODSU2lJaU/+0vRsEm&#10;Xf/g7jc20/86/dqeVs05O46VGnx0qxkIT51/i1/ubx3mx/D8JRwgF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LiSFjwgAAANsAAAAPAAAAAAAAAAAAAAAAAJgCAABkcnMvZG93&#10;bnJldi54bWxQSwUGAAAAAAQABAD1AAAAhwMAAAAA&#10;" filled="f" stroked="f" strokeweight=".5pt">
                    <v:textbox>
                      <w:txbxContent>
                        <w:p w:rsidR="00A35938" w:rsidRDefault="00A35938" w:rsidP="00CF5C9C">
                          <w:pPr>
                            <w:pStyle w:val="Header"/>
                          </w:pPr>
                          <w:r>
                            <w:rPr>
                              <w:rFonts w:eastAsia="Batang" w:hAnsi="Symbol" w:hint="eastAsia"/>
                              <w:color w:val="000000" w:themeColor="dark1"/>
                              <w:kern w:val="24"/>
                            </w:rPr>
                            <w:sym w:font="Symbol" w:char="F06C"/>
                          </w:r>
                        </w:p>
                      </w:txbxContent>
                    </v:textbox>
                  </v:shape>
                  <v:shape id="Text Box 291" o:spid="_x0000_s1066" type="#_x0000_t202" style="position:absolute;left:28872;top:9438;width:8816;height:32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MWE+MQA&#10;AADbAAAADwAAAGRycy9kb3ducmV2LnhtbERPTWvCQBC9F/wPywje6qZKJaSuEgKhRdqDqZfeptkx&#10;Cc3Optmtif56tyB4m8f7nPV2NK04Ue8aywqe5hEI4tLqhisFh8/8MQbhPLLG1jIpOJOD7WbysMZE&#10;24H3dCp8JUIIuwQV1N53iZSurMmgm9uOOHBH2xv0AfaV1D0OIdy0chFFK2mw4dBQY0dZTeVP8WcU&#10;7LL8A/ffCxNf2uz1/Zh2v4evZ6Vm0zF9AeFp9Hfxzf2mw/wl/P8SDpCbK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TFhPjEAAAA2wAAAA8AAAAAAAAAAAAAAAAAmAIAAGRycy9k&#10;b3ducmV2LnhtbFBLBQYAAAAABAAEAPUAAACJAwAAAAA=&#10;" filled="f" stroked="f" strokeweight=".5pt">
                    <v:textbox>
                      <w:txbxContent>
                        <w:p w:rsidR="00A35938" w:rsidRDefault="00A35938" w:rsidP="00CF5C9C">
                          <w:pPr>
                            <w:pStyle w:val="Header"/>
                          </w:pPr>
                          <w:r>
                            <w:rPr>
                              <w:rFonts w:eastAsia="Batang"/>
                              <w:color w:val="000000" w:themeColor="dark1"/>
                              <w:kern w:val="24"/>
                            </w:rPr>
                            <w:t>(1</w:t>
                          </w:r>
                          <w:r>
                            <w:rPr>
                              <w:rFonts w:eastAsia="Batang" w:hAnsi="Symbol" w:hint="eastAsia"/>
                              <w:color w:val="000000" w:themeColor="dark1"/>
                              <w:kern w:val="24"/>
                            </w:rPr>
                            <w:sym w:font="Symbol" w:char="F02D"/>
                          </w:r>
                          <w:r>
                            <w:rPr>
                              <w:rFonts w:eastAsia="Batang" w:hAnsi="Symbol" w:hint="eastAsia"/>
                              <w:color w:val="000000" w:themeColor="dark1"/>
                              <w:kern w:val="24"/>
                            </w:rPr>
                            <w:sym w:font="Symbol" w:char="F061"/>
                          </w:r>
                          <w:r>
                            <w:rPr>
                              <w:rFonts w:eastAsia="Batang"/>
                              <w:color w:val="000000" w:themeColor="dark1"/>
                              <w:kern w:val="24"/>
                            </w:rPr>
                            <w:t>)</w:t>
                          </w:r>
                          <w:r>
                            <w:rPr>
                              <w:rFonts w:eastAsia="Batang" w:hAnsi="Symbol" w:hint="eastAsia"/>
                              <w:color w:val="000000" w:themeColor="dark1"/>
                              <w:kern w:val="24"/>
                            </w:rPr>
                            <w:sym w:font="Symbol" w:char="F064"/>
                          </w:r>
                        </w:p>
                      </w:txbxContent>
                    </v:textbox>
                  </v:shape>
                  <v:shape id="Text Box 292" o:spid="_x0000_s1067" type="#_x0000_t202" style="position:absolute;left:34913;top:15703;width:6142;height:32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ywcjMQA&#10;AADbAAAADwAAAGRycy9kb3ducmV2LnhtbERPTWvCQBC9F/wPywje6qZiJaSuEgKhRdqDqZfeptkx&#10;Cc3Optmtif56tyB4m8f7nPV2NK04Ue8aywqe5hEI4tLqhisFh8/8MQbhPLLG1jIpOJOD7WbysMZE&#10;24H3dCp8JUIIuwQV1N53iZSurMmgm9uOOHBH2xv0AfaV1D0OIdy0chFFK2mw4dBQY0dZTeVP8WcU&#10;7LL8A/ffCxNf2uz1/Zh2v4evZ6Vm0zF9AeFp9Hfxzf2mw/wl/P8SDpCbK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ssHIzEAAAA2wAAAA8AAAAAAAAAAAAAAAAAmAIAAGRycy9k&#10;b3ducmV2LnhtbFBLBQYAAAAABAAEAPUAAACJAwAAAAA=&#10;" filled="f" stroked="f" strokeweight=".5pt">
                    <v:textbox>
                      <w:txbxContent>
                        <w:p w:rsidR="00A35938" w:rsidRDefault="00A35938" w:rsidP="00CF5C9C">
                          <w:pPr>
                            <w:pStyle w:val="Header"/>
                          </w:pPr>
                          <w:r>
                            <w:rPr>
                              <w:rFonts w:eastAsia="Batang" w:hAnsi="Symbol" w:hint="eastAsia"/>
                              <w:color w:val="000000" w:themeColor="dark1"/>
                              <w:kern w:val="24"/>
                            </w:rPr>
                            <w:sym w:font="Symbol" w:char="F065"/>
                          </w:r>
                          <w:r>
                            <w:rPr>
                              <w:rFonts w:eastAsia="Batang" w:hAnsi="Symbol" w:hint="eastAsia"/>
                              <w:color w:val="000000" w:themeColor="dark1"/>
                              <w:kern w:val="24"/>
                            </w:rPr>
                            <w:sym w:font="Symbol" w:char="F061"/>
                          </w:r>
                          <w:r>
                            <w:rPr>
                              <w:rFonts w:eastAsia="Batang" w:hAnsi="Symbol" w:hint="eastAsia"/>
                              <w:color w:val="000000" w:themeColor="dark1"/>
                              <w:kern w:val="24"/>
                            </w:rPr>
                            <w:sym w:font="Symbol" w:char="F064"/>
                          </w:r>
                        </w:p>
                      </w:txbxContent>
                    </v:textbox>
                  </v:shape>
                  <v:shape id="Text Box 293" o:spid="_x0000_s1068" type="#_x0000_t202" style="position:absolute;left:33731;top:27011;width:6980;height:32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GC5F8IA&#10;AADbAAAADwAAAGRycy9kb3ducmV2LnhtbERPS4vCMBC+L/gfwgje1nQFRbqmRQqiiHvwcfE224xt&#10;2WZSm6h1f70RBG/z8T1nlnamFldqXWVZwdcwAkGcW11xoeCwX3xOQTiPrLG2TAru5CBNeh8zjLW9&#10;8ZauO1+IEMIuRgWl900spctLMuiGtiEO3Mm2Bn2AbSF1i7cQbmo5iqKJNFhxaCixoayk/G93MQrW&#10;2eIHt78jM/2vs+XmNG/Oh+NYqUG/m3+D8NT5t/jlXukwfwzPX8IBMnk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EYLkXwgAAANsAAAAPAAAAAAAAAAAAAAAAAJgCAABkcnMvZG93&#10;bnJldi54bWxQSwUGAAAAAAQABAD1AAAAhwMAAAAA&#10;" filled="f" stroked="f" strokeweight=".5pt">
                    <v:textbox>
                      <w:txbxContent>
                        <w:p w:rsidR="00A35938" w:rsidRDefault="00A35938" w:rsidP="00CF5C9C">
                          <w:pPr>
                            <w:pStyle w:val="Header"/>
                          </w:pPr>
                          <w:r>
                            <w:rPr>
                              <w:rFonts w:eastAsia="Batang" w:hAnsi="Symbol" w:hint="eastAsia"/>
                              <w:color w:val="000000" w:themeColor="dark1"/>
                              <w:kern w:val="24"/>
                            </w:rPr>
                            <w:sym w:font="Symbol" w:char="F068"/>
                          </w:r>
                          <w:r>
                            <w:rPr>
                              <w:rFonts w:eastAsia="Batang" w:hAnsi="Symbol" w:hint="eastAsia"/>
                              <w:color w:val="000000" w:themeColor="dark1"/>
                              <w:kern w:val="24"/>
                            </w:rPr>
                            <w:sym w:font="Symbol" w:char="F061"/>
                          </w:r>
                          <w:r>
                            <w:rPr>
                              <w:rFonts w:eastAsia="Batang" w:hAnsi="Symbol" w:hint="eastAsia"/>
                              <w:color w:val="000000" w:themeColor="dark1"/>
                              <w:kern w:val="24"/>
                            </w:rPr>
                            <w:sym w:font="Symbol" w:char="F064"/>
                          </w:r>
                        </w:p>
                      </w:txbxContent>
                    </v:textbox>
                  </v:shape>
                  <v:shape id="Text Box 294" o:spid="_x0000_s1069" type="#_x0000_t202" style="position:absolute;left:34553;top:34838;width:6141;height:32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LInYMMA&#10;AADbAAAADwAAAGRycy9kb3ducmV2LnhtbERPS2vCQBC+C/0PyxS8mU2FBkmzigTEUuxBm0tv0+zk&#10;QbOzMbs1aX99VxC8zcf3nGwzmU5caHCtZQVPUQyCuLS65VpB8bFbrEA4j6yxs0wKfsnBZv0wyzDV&#10;duQjXU6+FiGEXYoKGu/7VEpXNmTQRbYnDlxlB4M+wKGWesAxhJtOLuM4kQZbDg0N9pQ3VH6ffoyC&#10;t3z3jsevpVn9dfn+UG37c/H5rNT8cdq+gPA0+bv45n7VYX4C11/CAXL9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LInYMMAAADbAAAADwAAAAAAAAAAAAAAAACYAgAAZHJzL2Rv&#10;d25yZXYueG1sUEsFBgAAAAAEAAQA9QAAAIgDAAAAAA==&#10;" filled="f" stroked="f" strokeweight=".5pt">
                    <v:textbox>
                      <w:txbxContent>
                        <w:p w:rsidR="00A35938" w:rsidRDefault="00A35938" w:rsidP="00CF5C9C">
                          <w:pPr>
                            <w:pStyle w:val="Header"/>
                          </w:pPr>
                          <w:r>
                            <w:rPr>
                              <w:rFonts w:eastAsia="Batang" w:hAnsi="Symbol" w:hint="eastAsia"/>
                              <w:color w:val="000000" w:themeColor="dark1"/>
                              <w:kern w:val="24"/>
                            </w:rPr>
                            <w:sym w:font="Symbol" w:char="F06E"/>
                          </w:r>
                          <w:r>
                            <w:rPr>
                              <w:rFonts w:eastAsia="Batang" w:hAnsi="Symbol" w:hint="eastAsia"/>
                              <w:color w:val="000000" w:themeColor="dark1"/>
                              <w:kern w:val="24"/>
                            </w:rPr>
                            <w:sym w:font="Symbol" w:char="F061"/>
                          </w:r>
                          <w:r>
                            <w:rPr>
                              <w:rFonts w:eastAsia="Batang" w:hAnsi="Symbol" w:hint="eastAsia"/>
                              <w:color w:val="000000" w:themeColor="dark1"/>
                              <w:kern w:val="24"/>
                            </w:rPr>
                            <w:sym w:font="Symbol" w:char="F064"/>
                          </w:r>
                        </w:p>
                      </w:txbxContent>
                    </v:textbox>
                  </v:shape>
                  <v:shape id="Text Box 295" o:spid="_x0000_s1070" type="#_x0000_t202" style="position:absolute;left:30466;top:22688;width:14538;height:32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6C+8QA&#10;AADbAAAADwAAAGRycy9kb3ducmV2LnhtbERPTWvCQBC9F/wPywje6qaCNaSuEgKhRdqDqZfeptkx&#10;Cc3Optmtif56tyB4m8f7nPV2NK04Ue8aywqe5hEI4tLqhisFh8/8MQbhPLLG1jIpOJOD7WbysMZE&#10;24H3dCp8JUIIuwQV1N53iZSurMmgm9uOOHBH2xv0AfaV1D0OIdy0chFFz9Jgw6Ghxo6ymsqf4s8o&#10;2GX5B+6/Fya+tNnr+zHtfg9fS6Vm0zF9AeFp9Hfxzf2mw/wV/P8SDpCbK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v+gvvEAAAA2wAAAA8AAAAAAAAAAAAAAAAAmAIAAGRycy9k&#10;b3ducmV2LnhtbFBLBQYAAAAABAAEAPUAAACJAwAAAAA=&#10;" filled="f" stroked="f" strokeweight=".5pt">
                    <v:textbox>
                      <w:txbxContent>
                        <w:p w:rsidR="00A35938" w:rsidRDefault="00A35938" w:rsidP="00CF5C9C">
                          <w:pPr>
                            <w:pStyle w:val="Header"/>
                          </w:pPr>
                          <w:r>
                            <w:rPr>
                              <w:rFonts w:eastAsia="Batang"/>
                              <w:color w:val="000000" w:themeColor="dark1"/>
                              <w:kern w:val="24"/>
                            </w:rPr>
                            <w:t>(1</w:t>
                          </w:r>
                          <w:r>
                            <w:rPr>
                              <w:rFonts w:eastAsia="Batang" w:hAnsi="Symbol" w:hint="eastAsia"/>
                              <w:color w:val="000000" w:themeColor="dark1"/>
                              <w:kern w:val="24"/>
                            </w:rPr>
                            <w:sym w:font="Symbol" w:char="F02D"/>
                          </w:r>
                          <w:r>
                            <w:rPr>
                              <w:rFonts w:eastAsia="Batang" w:hAnsi="Symbol" w:hint="eastAsia"/>
                              <w:color w:val="000000" w:themeColor="dark1"/>
                              <w:kern w:val="24"/>
                            </w:rPr>
                            <w:sym w:font="Symbol" w:char="F065"/>
                          </w:r>
                          <w:r>
                            <w:rPr>
                              <w:rFonts w:eastAsia="Batang" w:hAnsi="Symbol" w:hint="eastAsia"/>
                              <w:color w:val="000000" w:themeColor="dark1"/>
                              <w:kern w:val="24"/>
                            </w:rPr>
                            <w:sym w:font="Symbol" w:char="F02D"/>
                          </w:r>
                          <w:r>
                            <w:rPr>
                              <w:rFonts w:eastAsia="Batang" w:hAnsi="Symbol" w:hint="eastAsia"/>
                              <w:color w:val="000000" w:themeColor="dark1"/>
                              <w:kern w:val="24"/>
                            </w:rPr>
                            <w:sym w:font="Symbol" w:char="F068"/>
                          </w:r>
                          <w:r>
                            <w:rPr>
                              <w:rFonts w:eastAsia="Batang" w:hAnsi="Symbol" w:hint="eastAsia"/>
                              <w:color w:val="000000" w:themeColor="dark1"/>
                              <w:kern w:val="24"/>
                            </w:rPr>
                            <w:sym w:font="Symbol" w:char="F02D"/>
                          </w:r>
                          <w:r>
                            <w:rPr>
                              <w:rFonts w:eastAsia="Batang" w:hAnsi="Symbol" w:hint="eastAsia"/>
                              <w:color w:val="000000" w:themeColor="dark1"/>
                              <w:kern w:val="24"/>
                            </w:rPr>
                            <w:sym w:font="Symbol" w:char="F06E"/>
                          </w:r>
                          <w:r>
                            <w:rPr>
                              <w:rFonts w:eastAsia="Batang" w:hAnsi="Symbol" w:hint="eastAsia"/>
                              <w:color w:val="000000" w:themeColor="dark1"/>
                              <w:kern w:val="24"/>
                            </w:rPr>
                            <w:sym w:font="Symbol" w:char="F02D"/>
                          </w:r>
                          <w:r>
                            <w:rPr>
                              <w:rFonts w:eastAsia="Batang" w:hAnsi="Symbol" w:hint="eastAsia"/>
                              <w:color w:val="000000" w:themeColor="dark1"/>
                              <w:kern w:val="24"/>
                            </w:rPr>
                            <w:sym w:font="Symbol" w:char="F07A"/>
                          </w:r>
                          <w:r>
                            <w:rPr>
                              <w:rFonts w:eastAsia="Batang"/>
                              <w:color w:val="000000" w:themeColor="dark1"/>
                              <w:kern w:val="24"/>
                            </w:rPr>
                            <w:t>)</w:t>
                          </w:r>
                          <w:r>
                            <w:rPr>
                              <w:rFonts w:eastAsia="Batang" w:hAnsi="Symbol" w:hint="eastAsia"/>
                              <w:color w:val="000000" w:themeColor="dark1"/>
                              <w:kern w:val="24"/>
                            </w:rPr>
                            <w:sym w:font="Symbol" w:char="F061"/>
                          </w:r>
                          <w:r>
                            <w:rPr>
                              <w:rFonts w:eastAsia="Batang" w:hAnsi="Symbol" w:hint="eastAsia"/>
                              <w:color w:val="000000" w:themeColor="dark1"/>
                              <w:kern w:val="24"/>
                            </w:rPr>
                            <w:sym w:font="Symbol" w:char="F064"/>
                          </w:r>
                        </w:p>
                      </w:txbxContent>
                    </v:textbox>
                  </v:shape>
                  <v:shape id="Text Box 296" o:spid="_x0000_s1071" type="#_x0000_t202" style="position:absolute;left:31085;top:37909;width:6254;height:32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mEWicUA&#10;AADbAAAADwAAAGRycy9kb3ducmV2LnhtbESPT2vCQBDF7wW/wzKCt7pRUCS6igSkRdqDfy7exuyY&#10;BLOzMbtq2k/vHAq9zfDevPebxapztXpQGyrPBkbDBBRx7m3FhYHjYfM+AxUissXaMxn4oQCrZe9t&#10;gan1T97RYx8LJSEcUjRQxtikWoe8JIdh6Bti0S6+dRhlbQttW3xKuKv1OEmm2mHF0lBiQ1lJ+XV/&#10;dwa22eYbd+exm/3W2cfXZd3cjqeJMYN+t56DitTFf/Pf9acVfIGVX2QAvX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YRaJxQAAANsAAAAPAAAAAAAAAAAAAAAAAJgCAABkcnMv&#10;ZG93bnJldi54bWxQSwUGAAAAAAQABAD1AAAAigMAAAAA&#10;" filled="f" stroked="f" strokeweight=".5pt">
                    <v:textbox>
                      <w:txbxContent>
                        <w:p w:rsidR="00A35938" w:rsidRDefault="00A35938" w:rsidP="00CF5C9C">
                          <w:pPr>
                            <w:pStyle w:val="Header"/>
                          </w:pPr>
                          <w:r>
                            <w:rPr>
                              <w:rFonts w:eastAsia="Batang" w:hAnsi="Symbol" w:hint="eastAsia"/>
                              <w:color w:val="000000" w:themeColor="dark1"/>
                              <w:kern w:val="24"/>
                            </w:rPr>
                            <w:sym w:font="Symbol" w:char="F07A"/>
                          </w:r>
                          <w:r>
                            <w:rPr>
                              <w:rFonts w:eastAsia="Batang" w:hAnsi="Symbol" w:hint="eastAsia"/>
                              <w:color w:val="000000" w:themeColor="dark1"/>
                              <w:kern w:val="24"/>
                            </w:rPr>
                            <w:sym w:font="Symbol" w:char="F061"/>
                          </w:r>
                          <w:r>
                            <w:rPr>
                              <w:rFonts w:eastAsia="Batang" w:hAnsi="Symbol" w:hint="eastAsia"/>
                              <w:color w:val="000000" w:themeColor="dark1"/>
                              <w:kern w:val="24"/>
                            </w:rPr>
                            <w:sym w:font="Symbol" w:char="F064"/>
                          </w:r>
                        </w:p>
                      </w:txbxContent>
                    </v:textbox>
                  </v:shape>
                  <v:shape id="Text Box 298" o:spid="_x0000_s1072" type="#_x0000_t202" style="position:absolute;left:54568;top:3810;width:3279;height:30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S2zEsIA&#10;AADbAAAADwAAAGRycy9kb3ducmV2LnhtbERPS4vCMBC+L/gfwgh7W1MFRatRpCArix58XLyNzdgW&#10;m0ltslr99UYQvM3H95zJrDGluFLtCssKup0IBHFqdcGZgv1u8TME4TyyxtIyKbiTg9m09TXBWNsb&#10;b+i69ZkIIexiVJB7X8VSujQng65jK+LAnWxt0AdYZ1LXeAvhppS9KBpIgwWHhhwrSnJKz9t/o+Av&#10;Waxxc+yZ4aNMfleneXXZH/pKfbeb+RiEp8Z/xG/3Uof5I3j9Eg6Q0y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FLbMSwgAAANsAAAAPAAAAAAAAAAAAAAAAAJgCAABkcnMvZG93&#10;bnJldi54bWxQSwUGAAAAAAQABAD1AAAAhwMAAAAA&#10;" filled="f" stroked="f" strokeweight=".5pt">
                    <v:textbox>
                      <w:txbxContent>
                        <w:p w:rsidR="00A35938" w:rsidRDefault="00A35938" w:rsidP="00CF5C9C">
                          <w:pPr>
                            <w:pStyle w:val="Header"/>
                          </w:pPr>
                          <w:r>
                            <w:rPr>
                              <w:rFonts w:eastAsia="Batang" w:hAnsi="Symbol" w:hint="eastAsia"/>
                              <w:color w:val="000000" w:themeColor="dark1"/>
                              <w:kern w:val="24"/>
                            </w:rPr>
                            <w:sym w:font="Symbol" w:char="F073"/>
                          </w:r>
                          <w:r>
                            <w:rPr>
                              <w:rFonts w:eastAsia="Batang"/>
                              <w:color w:val="000000" w:themeColor="dark1"/>
                              <w:kern w:val="24"/>
                              <w:position w:val="-6"/>
                              <w:vertAlign w:val="subscript"/>
                            </w:rPr>
                            <w:t>i</w:t>
                          </w:r>
                        </w:p>
                      </w:txbxContent>
                    </v:textbox>
                  </v:shape>
                  <v:shape id="Text Box 299" o:spid="_x0000_s1073" type="#_x0000_t202" style="position:absolute;left:53937;top:8854;width:5188;height:29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nvQMsIA&#10;AADbAAAADwAAAGRycy9kb3ducmV2LnhtbERPy2rCQBTdC/7DcAvudNKAItFRJCAtxS58bNzdZq5J&#10;6MydmJkmsV/vLApdHs57vR2sER21vnas4HWWgCAunK65VHA576dLED4gazSOScGDPGw349EaM+16&#10;PlJ3CqWIIewzVFCF0GRS+qIii37mGuLI3VxrMUTYllK32Mdwa2SaJAtpsebYUGFDeUXF9+nHKvjI&#10;9594/Ert8tfkb4fbrrlfrnOlJi/DbgUi0BD+xX/ud60gjevjl/gD5OY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ae9AywgAAANsAAAAPAAAAAAAAAAAAAAAAAJgCAABkcnMvZG93&#10;bnJldi54bWxQSwUGAAAAAAQABAD1AAAAhwMAAAAA&#10;" filled="f" stroked="f" strokeweight=".5pt">
                    <v:textbox>
                      <w:txbxContent>
                        <w:p w:rsidR="00A35938" w:rsidRDefault="00A35938" w:rsidP="00CF5C9C">
                          <w:pPr>
                            <w:pStyle w:val="Header"/>
                          </w:pPr>
                          <w:r>
                            <w:rPr>
                              <w:rFonts w:eastAsia="Batang" w:hAnsi="Symbol" w:hint="eastAsia"/>
                              <w:color w:val="000000" w:themeColor="dark1"/>
                              <w:kern w:val="24"/>
                            </w:rPr>
                            <w:sym w:font="Symbol" w:char="F073"/>
                          </w:r>
                          <w:r>
                            <w:rPr>
                              <w:rFonts w:eastAsia="Batang"/>
                              <w:color w:val="000000" w:themeColor="dark1"/>
                              <w:kern w:val="24"/>
                              <w:position w:val="-6"/>
                              <w:vertAlign w:val="subscript"/>
                            </w:rPr>
                            <w:t>h</w:t>
                          </w:r>
                        </w:p>
                      </w:txbxContent>
                    </v:textbox>
                  </v:shape>
                  <v:shape id="Text Box 300" o:spid="_x0000_s1074" type="#_x0000_t202" style="position:absolute;left:53672;top:14379;width:4591;height:31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Td1qcQA&#10;AADbAAAADwAAAGRycy9kb3ducmV2LnhtbESPQYvCMBSE78L+h/AEb5paUKRrFCmIsuhBt5e9vW2e&#10;bbF56TZZrf56Iwgeh5n5hpkvO1OLC7WusqxgPIpAEOdWV1woyL7XwxkI55E11pZJwY0cLBcfvTkm&#10;2l75QJejL0SAsEtQQel9k0jp8pIMupFtiIN3sq1BH2RbSN3iNcBNLeMomkqDFYeFEhtKS8rPx3+j&#10;4Ctd7/HwG5vZvU43u9Oq+ct+JkoN+t3qE4Snzr/Dr/ZWK4jH8PwSfoBcP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U3danEAAAA2wAAAA8AAAAAAAAAAAAAAAAAmAIAAGRycy9k&#10;b3ducmV2LnhtbFBLBQYAAAAABAAEAPUAAACJAwAAAAA=&#10;" filled="f" stroked="f" strokeweight=".5pt">
                    <v:textbox>
                      <w:txbxContent>
                        <w:p w:rsidR="00A35938" w:rsidRDefault="00A35938" w:rsidP="00CF5C9C">
                          <w:pPr>
                            <w:pStyle w:val="Header"/>
                          </w:pPr>
                          <w:r>
                            <w:rPr>
                              <w:rFonts w:eastAsia="Batang" w:hAnsi="Symbol" w:hint="eastAsia"/>
                              <w:color w:val="000000" w:themeColor="dark1"/>
                              <w:kern w:val="24"/>
                            </w:rPr>
                            <w:sym w:font="Symbol" w:char="F073"/>
                          </w:r>
                          <w:r>
                            <w:rPr>
                              <w:rFonts w:eastAsia="Batang"/>
                              <w:color w:val="000000" w:themeColor="dark1"/>
                              <w:kern w:val="24"/>
                              <w:position w:val="-6"/>
                              <w:vertAlign w:val="subscript"/>
                            </w:rPr>
                            <w:t>o</w:t>
                          </w:r>
                        </w:p>
                      </w:txbxContent>
                    </v:textbox>
                  </v:shape>
                  <v:shape id="Text Box 301" o:spid="_x0000_s1075" type="#_x0000_t202" style="position:absolute;left:53566;top:23524;width:4318;height:32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qlORcUA&#10;AADbAAAADwAAAGRycy9kb3ducmV2LnhtbESPT4vCMBTE7wv7HcJb8LamVhTpGkUKsiJ68M/F29vm&#10;2Rabl24TtfrpjSB4HGbmN8x42ppKXKhxpWUFvW4EgjizuuRcwX43/x6BcB5ZY2WZFNzIwXTy+THG&#10;RNsrb+iy9bkIEHYJKii8rxMpXVaQQde1NXHwjrYx6INscqkbvAa4qWQcRUNpsOSwUGBNaUHZaXs2&#10;CpbpfI2bv9iM7lX6uzrO6v/9YaBU56ud/YDw1Pp3+NVeaAVxH55fwg+Qk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qqU5FxQAAANsAAAAPAAAAAAAAAAAAAAAAAJgCAABkcnMv&#10;ZG93bnJldi54bWxQSwUGAAAAAAQABAD1AAAAigMAAAAA&#10;" filled="f" stroked="f" strokeweight=".5pt">
                    <v:textbox>
                      <w:txbxContent>
                        <w:p w:rsidR="00A35938" w:rsidRDefault="00A35938" w:rsidP="00CF5C9C">
                          <w:pPr>
                            <w:pStyle w:val="Header"/>
                          </w:pPr>
                          <w:r>
                            <w:rPr>
                              <w:rFonts w:eastAsia="Batang" w:hAnsi="Symbol" w:hint="eastAsia"/>
                              <w:color w:val="000000" w:themeColor="dark1"/>
                              <w:kern w:val="24"/>
                            </w:rPr>
                            <w:sym w:font="Symbol" w:char="F073"/>
                          </w:r>
                          <w:r>
                            <w:rPr>
                              <w:rFonts w:eastAsia="Batang"/>
                              <w:color w:val="000000" w:themeColor="dark1"/>
                              <w:kern w:val="24"/>
                              <w:position w:val="-6"/>
                              <w:vertAlign w:val="subscript"/>
                            </w:rPr>
                            <w:t>f</w:t>
                          </w:r>
                        </w:p>
                      </w:txbxContent>
                    </v:textbox>
                  </v:shape>
                  <v:shape id="Text Box 302" o:spid="_x0000_s1076" type="#_x0000_t202" style="position:absolute;left:42780;top:41640;width:3950;height:29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9Xld8UA&#10;AADbAAAADwAAAGRycy9kb3ducmV2LnhtbESPQWvCQBSE74X+h+UJvdWNlohEVwkBaSn2oPXi7Zl9&#10;JsHs2zS7TaK/3i0IPQ4z8w2zXA+mFh21rrKsYDKOQBDnVldcKDh8b17nIJxH1lhbJgVXcrBePT8t&#10;MdG25x11e1+IAGGXoILS+yaR0uUlGXRj2xAH72xbgz7ItpC6xT7ATS2nUTSTBisOCyU2lJWUX/a/&#10;RsFntvnC3Wlq5rc6e9+e0+bncIyVehkN6QKEp8H/hx/tD63gLYa/L+EHyN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P1eV3xQAAANsAAAAPAAAAAAAAAAAAAAAAAJgCAABkcnMv&#10;ZG93bnJldi54bWxQSwUGAAAAAAQABAD1AAAAigMAAAAA&#10;" filled="f" stroked="f" strokeweight=".5pt">
                    <v:textbox>
                      <w:txbxContent>
                        <w:p w:rsidR="00A35938" w:rsidRDefault="00A35938" w:rsidP="00CF5C9C">
                          <w:pPr>
                            <w:pStyle w:val="Header"/>
                          </w:pPr>
                          <w:r>
                            <w:rPr>
                              <w:rFonts w:eastAsia="Batang" w:hAnsi="Symbol" w:hint="eastAsia"/>
                              <w:color w:val="000000" w:themeColor="dark1"/>
                              <w:kern w:val="24"/>
                            </w:rPr>
                            <w:sym w:font="Symbol" w:char="F071"/>
                          </w:r>
                          <w:r>
                            <w:rPr>
                              <w:rFonts w:eastAsia="Batang"/>
                              <w:color w:val="000000" w:themeColor="dark1"/>
                              <w:kern w:val="24"/>
                              <w:position w:val="-6"/>
                              <w:vertAlign w:val="subscript"/>
                            </w:rPr>
                            <w:t>1</w:t>
                          </w:r>
                        </w:p>
                      </w:txbxContent>
                    </v:textbox>
                  </v:shape>
                  <v:shape id="Text Box 303" o:spid="_x0000_s1077" type="#_x0000_t202" style="position:absolute;left:54903;top:42699;width:3759;height:33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q89OMUA&#10;AADbAAAADwAAAGRycy9kb3ducmV2LnhtbESPQWvCQBSE74X+h+UJvdWNlohEVwkBaSn2oPXi7Zl9&#10;JsHs2zS7TaK/3i0IPQ4z8w2zXA+mFh21rrKsYDKOQBDnVldcKDh8b17nIJxH1lhbJgVXcrBePT8t&#10;MdG25x11e1+IAGGXoILS+yaR0uUlGXRj2xAH72xbgz7ItpC6xT7ATS2nUTSTBisOCyU2lJWUX/a/&#10;RsFntvnC3Wlq5rc6e9+e0+bncIyVehkN6QKEp8H/hx/tD60gfoO/L+EHyN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yrz04xQAAANsAAAAPAAAAAAAAAAAAAAAAAJgCAABkcnMv&#10;ZG93bnJldi54bWxQSwUGAAAAAAQABAD1AAAAigMAAAAA&#10;" filled="f" stroked="f" strokeweight=".5pt">
                    <v:textbox>
                      <w:txbxContent>
                        <w:p w:rsidR="00A35938" w:rsidRDefault="00A35938" w:rsidP="00CF5C9C">
                          <w:pPr>
                            <w:pStyle w:val="Header"/>
                          </w:pPr>
                          <w:r>
                            <w:rPr>
                              <w:rFonts w:eastAsia="Batang" w:hAnsi="Symbol" w:hint="eastAsia"/>
                              <w:color w:val="000000" w:themeColor="dark1"/>
                              <w:kern w:val="24"/>
                            </w:rPr>
                            <w:sym w:font="Symbol" w:char="F071"/>
                          </w:r>
                          <w:r>
                            <w:rPr>
                              <w:rFonts w:eastAsia="Batang"/>
                              <w:color w:val="000000" w:themeColor="dark1"/>
                              <w:kern w:val="24"/>
                              <w:position w:val="-6"/>
                              <w:vertAlign w:val="subscript"/>
                            </w:rPr>
                            <w:t>2</w:t>
                          </w:r>
                        </w:p>
                      </w:txbxContent>
                    </v:textbox>
                  </v:shape>
                </v:group>
                <v:shape id="Text Box 1" o:spid="_x0000_s1078" type="#_x0000_t202" style="position:absolute;left:-1395;top:54803;width:70395;height:138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1QccUA&#10;AADbAAAADwAAAGRycy9kb3ducmV2LnhtbESPzWrDMBCE74W8g9hALqWRG6gpbpSQnwZyaA92Q86L&#10;tbVMrZWRlNh5+6hQ6HGYmW+Y5Xq0nbiSD61jBc/zDARx7XTLjYLT1+HpFUSIyBo7x6TgRgHWq8nD&#10;EgvtBi7pWsVGJAiHAhWYGPtCylAbshjmridO3rfzFmOSvpHa45DgtpOLLMulxZbTgsGedobqn+pi&#10;FeR7fxlK3j3uT+8f+Nk3i/P2dlZqNh03byAijfE//Nc+agUvOfx+ST9Aru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v7VBxxQAAANsAAAAPAAAAAAAAAAAAAAAAAJgCAABkcnMv&#10;ZG93bnJldi54bWxQSwUGAAAAAAQABAD1AAAAigMAAAAA&#10;" stroked="f">
                  <v:textbox inset="0,0,0,0">
                    <w:txbxContent>
                      <w:p w:rsidR="00A35938" w:rsidRPr="00CE7B26" w:rsidRDefault="00A35938" w:rsidP="00CF5C9C">
                        <w:pPr>
                          <w:pStyle w:val="NoSpacing"/>
                          <w:rPr>
                            <w:sz w:val="18"/>
                          </w:rPr>
                        </w:pPr>
                        <w:bookmarkStart w:id="5" w:name="_Ref430687623"/>
                        <w:r w:rsidRPr="00CE7B26">
                          <w:rPr>
                            <w:sz w:val="18"/>
                          </w:rPr>
                          <w:t xml:space="preserve">Figure </w:t>
                        </w:r>
                        <w:r>
                          <w:rPr>
                            <w:sz w:val="18"/>
                          </w:rPr>
                          <w:t>S</w:t>
                        </w:r>
                        <w:r w:rsidRPr="00CE7B26">
                          <w:rPr>
                            <w:sz w:val="18"/>
                          </w:rPr>
                          <w:fldChar w:fldCharType="begin"/>
                        </w:r>
                        <w:r w:rsidRPr="00CE7B26">
                          <w:rPr>
                            <w:sz w:val="18"/>
                          </w:rPr>
                          <w:instrText xml:space="preserve"> SEQ Figure \* ARABIC </w:instrText>
                        </w:r>
                        <w:r w:rsidRPr="00CE7B26">
                          <w:rPr>
                            <w:sz w:val="18"/>
                          </w:rPr>
                          <w:fldChar w:fldCharType="separate"/>
                        </w:r>
                        <w:r w:rsidR="00722964">
                          <w:rPr>
                            <w:noProof/>
                            <w:sz w:val="18"/>
                          </w:rPr>
                          <w:t>1</w:t>
                        </w:r>
                        <w:r w:rsidRPr="00CE7B26">
                          <w:rPr>
                            <w:noProof/>
                            <w:sz w:val="18"/>
                          </w:rPr>
                          <w:fldChar w:fldCharType="end"/>
                        </w:r>
                        <w:bookmarkEnd w:id="5"/>
                        <w:r w:rsidRPr="00CE7B26">
                          <w:rPr>
                            <w:sz w:val="18"/>
                          </w:rPr>
                          <w:t>: Flow diagram of hepatitis A virus transmission and vaccination model: newborns enter age group a = 0, and are assumed to be protected by maternal antibodies (</w:t>
                        </w:r>
                        <w:r w:rsidRPr="00CE7B26">
                          <w:rPr>
                            <w:i/>
                            <w:iCs/>
                            <w:sz w:val="18"/>
                          </w:rPr>
                          <w:t>M</w:t>
                        </w:r>
                        <w:r w:rsidRPr="00CE7B26">
                          <w:rPr>
                            <w:sz w:val="18"/>
                          </w:rPr>
                          <w:t>), the protection is lost over time so the children become susceptible (</w:t>
                        </w:r>
                        <w:r w:rsidRPr="00CE7B26">
                          <w:rPr>
                            <w:i/>
                            <w:iCs/>
                            <w:sz w:val="18"/>
                          </w:rPr>
                          <w:t>S</w:t>
                        </w:r>
                        <w:r w:rsidRPr="00CE7B26">
                          <w:rPr>
                            <w:sz w:val="18"/>
                          </w:rPr>
                          <w:t>). Upon infection, a person moves to the exposed compartment (</w:t>
                        </w:r>
                        <w:r w:rsidRPr="00CE7B26">
                          <w:rPr>
                            <w:i/>
                            <w:iCs/>
                            <w:sz w:val="18"/>
                          </w:rPr>
                          <w:t>E</w:t>
                        </w:r>
                        <w:r w:rsidRPr="00CE7B26">
                          <w:rPr>
                            <w:sz w:val="18"/>
                          </w:rPr>
                          <w:t>) becomes infectious after a latent period. The model distinguishes between several categories of infection and disease: Asymptomatic (</w:t>
                        </w:r>
                        <w:r w:rsidRPr="00CE7B26">
                          <w:rPr>
                            <w:i/>
                            <w:iCs/>
                            <w:sz w:val="18"/>
                          </w:rPr>
                          <w:t>I</w:t>
                        </w:r>
                        <w:r w:rsidRPr="00CE7B26">
                          <w:rPr>
                            <w:sz w:val="18"/>
                          </w:rPr>
                          <w:t>), Symptomatic infections are treated as outpatient (</w:t>
                        </w:r>
                        <w:r w:rsidRPr="00CE7B26">
                          <w:rPr>
                            <w:i/>
                            <w:iCs/>
                            <w:sz w:val="18"/>
                          </w:rPr>
                          <w:t>O</w:t>
                        </w:r>
                        <w:r w:rsidRPr="00CE7B26">
                          <w:rPr>
                            <w:sz w:val="18"/>
                          </w:rPr>
                          <w:t>), hospitalized (</w:t>
                        </w:r>
                        <w:r w:rsidRPr="00CE7B26">
                          <w:rPr>
                            <w:i/>
                            <w:iCs/>
                            <w:sz w:val="18"/>
                          </w:rPr>
                          <w:t>H</w:t>
                        </w:r>
                        <w:r w:rsidRPr="00CE7B26">
                          <w:rPr>
                            <w:sz w:val="18"/>
                          </w:rPr>
                          <w:t>), with fulminant disease (</w:t>
                        </w:r>
                        <w:r w:rsidRPr="00CE7B26">
                          <w:rPr>
                            <w:i/>
                            <w:iCs/>
                            <w:sz w:val="18"/>
                          </w:rPr>
                          <w:t>F</w:t>
                        </w:r>
                        <w:r w:rsidRPr="00CE7B26">
                          <w:rPr>
                            <w:sz w:val="18"/>
                          </w:rPr>
                          <w:t>), requiring a liver transplant (</w:t>
                        </w:r>
                        <w:r w:rsidRPr="00CE7B26">
                          <w:rPr>
                            <w:i/>
                            <w:iCs/>
                            <w:sz w:val="18"/>
                          </w:rPr>
                          <w:t>L</w:t>
                        </w:r>
                        <w:r w:rsidRPr="00CE7B26">
                          <w:rPr>
                            <w:sz w:val="18"/>
                          </w:rPr>
                          <w:t>), or die from Hepatitis A virus infection (</w:t>
                        </w:r>
                        <w:r w:rsidRPr="00CE7B26">
                          <w:rPr>
                            <w:i/>
                            <w:iCs/>
                            <w:sz w:val="18"/>
                          </w:rPr>
                          <w:t>D</w:t>
                        </w:r>
                        <w:r w:rsidRPr="00CE7B26">
                          <w:rPr>
                            <w:sz w:val="18"/>
                          </w:rPr>
                          <w:t>). Infected persons can clear their infection and move to the recovered compartment (</w:t>
                        </w:r>
                        <w:r w:rsidRPr="00CE7B26">
                          <w:rPr>
                            <w:i/>
                            <w:iCs/>
                            <w:sz w:val="18"/>
                          </w:rPr>
                          <w:t>R</w:t>
                        </w:r>
                        <w:r w:rsidRPr="00CE7B26">
                          <w:rPr>
                            <w:sz w:val="18"/>
                          </w:rPr>
                          <w:t>) with lifelong immunity. Susceptible individuals may be vaccinated and move to the Vaccinated (V) compartment.  Vaccinated individuals may more back to the susceptible (S) compartment due to waning vaccine or to the exposed compartment due to breakthrough infections. The model also applied age-specific all-cause mortality (not shown) to all persons in all epidemiologic classes.</w:t>
                        </w:r>
                      </w:p>
                      <w:p w:rsidR="00A35938" w:rsidRPr="00E121A2" w:rsidRDefault="00A35938" w:rsidP="00CF5C9C">
                        <w:pPr>
                          <w:rPr>
                            <w:rFonts w:asciiTheme="majorHAnsi" w:eastAsiaTheme="majorEastAsia" w:hAnsiTheme="majorHAnsi" w:cstheme="majorBidi"/>
                            <w:color w:val="17365D" w:themeColor="text2" w:themeShade="BF"/>
                            <w:spacing w:val="5"/>
                            <w:kern w:val="28"/>
                            <w:sz w:val="52"/>
                            <w:szCs w:val="52"/>
                          </w:rPr>
                        </w:pPr>
                      </w:p>
                    </w:txbxContent>
                  </v:textbox>
                </v:shape>
                <w10:anchorlock/>
              </v:group>
            </w:pict>
          </mc:Fallback>
        </mc:AlternateContent>
      </w:r>
    </w:p>
    <w:p w:rsidR="00A24565" w:rsidRDefault="00A24565" w:rsidP="004A67BD">
      <w:pPr>
        <w:pStyle w:val="Heading2"/>
      </w:pPr>
      <w:bookmarkStart w:id="6" w:name="_Ref431280540"/>
      <w:r>
        <w:lastRenderedPageBreak/>
        <w:t>Calibration Results</w:t>
      </w:r>
      <w:bookmarkEnd w:id="6"/>
    </w:p>
    <w:p w:rsidR="00A24565" w:rsidRDefault="00A66E73" w:rsidP="00A24565">
      <w:r>
        <w:t xml:space="preserve">The model was calibrated against the three sets of results discussed in the text.  </w:t>
      </w:r>
      <w:r w:rsidR="004A67BD">
        <w:t xml:space="preserve">Figures </w:t>
      </w:r>
      <w:r w:rsidR="004A67BD">
        <w:fldChar w:fldCharType="begin"/>
      </w:r>
      <w:r w:rsidR="004A67BD">
        <w:instrText xml:space="preserve"> REF _Ref431292072 \h </w:instrText>
      </w:r>
      <w:r w:rsidR="004A67BD">
        <w:fldChar w:fldCharType="separate"/>
      </w:r>
      <w:r w:rsidR="00722964">
        <w:rPr>
          <w:b/>
          <w:bCs/>
        </w:rPr>
        <w:t>Error! Reference source not found.</w:t>
      </w:r>
      <w:r w:rsidR="004A67BD">
        <w:fldChar w:fldCharType="end"/>
      </w:r>
      <w:r w:rsidR="004A67BD">
        <w:fldChar w:fldCharType="begin"/>
      </w:r>
      <w:r w:rsidR="004A67BD">
        <w:instrText xml:space="preserve"> REF _Ref431292079 \h </w:instrText>
      </w:r>
      <w:r w:rsidR="004A67BD">
        <w:fldChar w:fldCharType="separate"/>
      </w:r>
      <w:r w:rsidR="00722964">
        <w:rPr>
          <w:b/>
          <w:bCs/>
        </w:rPr>
        <w:t>Error! Reference source not found.</w:t>
      </w:r>
      <w:r w:rsidR="004A67BD">
        <w:fldChar w:fldCharType="end"/>
      </w:r>
      <w:r w:rsidR="00410534">
        <w:t xml:space="preserve"> were produced using the calibration data and the no-vaccine model using the calibration parameters from the</w:t>
      </w:r>
      <w:r w:rsidR="00AD3622">
        <w:t xml:space="preserve"> </w:t>
      </w:r>
      <w:r w:rsidR="00AD3622">
        <w:fldChar w:fldCharType="begin"/>
      </w:r>
      <w:r w:rsidR="00AD3622">
        <w:instrText xml:space="preserve"> REF _Ref431279903 \h </w:instrText>
      </w:r>
      <w:r w:rsidR="00AD3622">
        <w:fldChar w:fldCharType="separate"/>
      </w:r>
      <w:r w:rsidR="00722964">
        <w:t>Table S</w:t>
      </w:r>
      <w:r w:rsidR="00722964">
        <w:rPr>
          <w:noProof/>
        </w:rPr>
        <w:t>2</w:t>
      </w:r>
      <w:r w:rsidR="00AD3622">
        <w:fldChar w:fldCharType="end"/>
      </w:r>
      <w:r w:rsidR="00410534">
        <w:t>.</w:t>
      </w:r>
    </w:p>
    <w:p w:rsidR="00223ED9" w:rsidRDefault="00223ED9" w:rsidP="00223ED9">
      <w:pPr>
        <w:keepNext/>
      </w:pPr>
      <w:r w:rsidRPr="00223ED9">
        <w:rPr>
          <w:noProof/>
        </w:rPr>
        <w:drawing>
          <wp:inline distT="0" distB="0" distL="0" distR="0" wp14:anchorId="0A237948" wp14:editId="0DF0672C">
            <wp:extent cx="5943600" cy="3107055"/>
            <wp:effectExtent l="0" t="0" r="0" b="0"/>
            <wp:docPr id="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pic:cNvPicPr>
                      <a:picLocks noChangeAspect="1"/>
                    </pic:cNvPicPr>
                  </pic:nvPicPr>
                  <pic:blipFill>
                    <a:blip r:embed="rId41"/>
                    <a:stretch>
                      <a:fillRect/>
                    </a:stretch>
                  </pic:blipFill>
                  <pic:spPr>
                    <a:xfrm>
                      <a:off x="0" y="0"/>
                      <a:ext cx="5943600" cy="3107055"/>
                    </a:xfrm>
                    <a:prstGeom prst="rect">
                      <a:avLst/>
                    </a:prstGeom>
                  </pic:spPr>
                </pic:pic>
              </a:graphicData>
            </a:graphic>
          </wp:inline>
        </w:drawing>
      </w:r>
    </w:p>
    <w:p w:rsidR="00223ED9" w:rsidRDefault="00223ED9" w:rsidP="00223ED9">
      <w:pPr>
        <w:pStyle w:val="Caption"/>
      </w:pPr>
      <w:r>
        <w:t xml:space="preserve">Figure </w:t>
      </w:r>
      <w:r w:rsidR="00DE10EC">
        <w:fldChar w:fldCharType="begin"/>
      </w:r>
      <w:r w:rsidR="00DE10EC">
        <w:instrText xml:space="preserve"> SEQ Figure \* ARABIC </w:instrText>
      </w:r>
      <w:r w:rsidR="00DE10EC">
        <w:fldChar w:fldCharType="separate"/>
      </w:r>
      <w:r w:rsidR="00722964">
        <w:rPr>
          <w:noProof/>
        </w:rPr>
        <w:t>2</w:t>
      </w:r>
      <w:r w:rsidR="00DE10EC">
        <w:rPr>
          <w:noProof/>
        </w:rPr>
        <w:fldChar w:fldCharType="end"/>
      </w:r>
      <w:r>
        <w:t>: Seroprevalence data from Hayajneh, et al. (2008 HBF) and Toukan, et al. (1988 Toukan).  The error bars on 2008 HBF are derived from the odd ratio confidence intervals presented in Hayjneh, et al.  The data for 1988 Toukan contained no confidence interval information and were only available by extraction from a plot in the Toukan, et al</w:t>
      </w:r>
      <w:r w:rsidR="00243F90">
        <w:fldChar w:fldCharType="begin" w:fldLock="1"/>
      </w:r>
      <w:r w:rsidR="00391DEB">
        <w:instrText>ADDIN CSL_CITATION { "citationItems" : [ { "id" : "ITEM-1", "itemData" : { "author" : [ { "dropping-particle" : "", "family" : "Toukan", "given" : "A U", "non-dropping-particle" : "", "parse-names" : false, "suffix" : "" }, { "dropping-particle" : "", "family" : "Sharaiha", "given" : "Z K", "non-dropping-particle" : "", "parse-names" : false, "suffix" : "" }, { "dropping-particle" : "", "family" : "Abu-el-Rob", "given" : "O A", "non-dropping-particle" : "", "parse-names" : false, "suffix" : "" } ], "container-title" : "Tropical Gastroenterology", "id" : "ITEM-1", "issued" : { "date-parts" : [ [ "1988" ] ] }, "page" : "76-79", "title" : "The seroepidemiology of hepatitis A virus infection in Jordan", "type" : "article-journal", "volume" : "9" }, "uris" : [ "http://www.mendeley.com/documents/?uuid=6a66de9b-8cac-4aed-9f9b-a10496432572" ] } ], "mendeley" : { "formattedCitation" : "[9]", "plainTextFormattedCitation" : "[9]", "previouslyFormattedCitation" : "[9]" }, "properties" : { "noteIndex" : 0 }, "schema" : "https://github.com/citation-style-language/schema/raw/master/csl-citation.json" }</w:instrText>
      </w:r>
      <w:r w:rsidR="00243F90">
        <w:fldChar w:fldCharType="separate"/>
      </w:r>
      <w:r w:rsidR="00243F90" w:rsidRPr="00243F90">
        <w:rPr>
          <w:b w:val="0"/>
          <w:noProof/>
        </w:rPr>
        <w:t>[9]</w:t>
      </w:r>
      <w:r w:rsidR="00243F90">
        <w:fldChar w:fldCharType="end"/>
      </w:r>
      <w:r>
        <w:t>.</w:t>
      </w:r>
    </w:p>
    <w:p w:rsidR="00041A79" w:rsidRDefault="00041A79" w:rsidP="00223ED9">
      <w:pPr>
        <w:pStyle w:val="Caption"/>
      </w:pPr>
    </w:p>
    <w:p w:rsidR="00223ED9" w:rsidRDefault="00223ED9" w:rsidP="00223ED9">
      <w:pPr>
        <w:keepNext/>
      </w:pPr>
      <w:r w:rsidRPr="00223ED9">
        <w:rPr>
          <w:noProof/>
        </w:rPr>
        <w:lastRenderedPageBreak/>
        <w:drawing>
          <wp:inline distT="0" distB="0" distL="0" distR="0" wp14:anchorId="7C795FEB" wp14:editId="5761A691">
            <wp:extent cx="5943600" cy="2722880"/>
            <wp:effectExtent l="0" t="0" r="0" b="1270"/>
            <wp:docPr id="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pic:cNvPicPr>
                      <a:picLocks noChangeAspect="1"/>
                    </pic:cNvPicPr>
                  </pic:nvPicPr>
                  <pic:blipFill>
                    <a:blip r:embed="rId42"/>
                    <a:stretch>
                      <a:fillRect/>
                    </a:stretch>
                  </pic:blipFill>
                  <pic:spPr>
                    <a:xfrm>
                      <a:off x="0" y="0"/>
                      <a:ext cx="5943600" cy="2722880"/>
                    </a:xfrm>
                    <a:prstGeom prst="rect">
                      <a:avLst/>
                    </a:prstGeom>
                  </pic:spPr>
                </pic:pic>
              </a:graphicData>
            </a:graphic>
          </wp:inline>
        </w:drawing>
      </w:r>
    </w:p>
    <w:p w:rsidR="00E918B1" w:rsidRDefault="00223ED9" w:rsidP="00223ED9">
      <w:pPr>
        <w:pStyle w:val="Caption"/>
      </w:pPr>
      <w:r>
        <w:t xml:space="preserve">Figure </w:t>
      </w:r>
      <w:r w:rsidR="00DE10EC">
        <w:fldChar w:fldCharType="begin"/>
      </w:r>
      <w:r w:rsidR="00DE10EC">
        <w:instrText xml:space="preserve"> SEQ Figure \* ARABIC </w:instrText>
      </w:r>
      <w:r w:rsidR="00DE10EC">
        <w:fldChar w:fldCharType="separate"/>
      </w:r>
      <w:r w:rsidR="00722964">
        <w:rPr>
          <w:noProof/>
        </w:rPr>
        <w:t>3</w:t>
      </w:r>
      <w:r w:rsidR="00DE10EC">
        <w:rPr>
          <w:noProof/>
        </w:rPr>
        <w:fldChar w:fldCharType="end"/>
      </w:r>
      <w:r>
        <w:t>: Incidence data from Jordan Ministry of Health  2004 and 2014</w:t>
      </w:r>
    </w:p>
    <w:p w:rsidR="00223ED9" w:rsidRDefault="00223ED9" w:rsidP="00223ED9">
      <w:pPr>
        <w:pStyle w:val="Heading2"/>
      </w:pPr>
      <w:bookmarkStart w:id="7" w:name="_Ref437875384"/>
    </w:p>
    <w:p w:rsidR="00B93EB0" w:rsidRDefault="00B93EB0" w:rsidP="00B93EB0">
      <w:pPr>
        <w:pStyle w:val="Heading2"/>
      </w:pPr>
      <w:r>
        <w:t>Model Validation against epidemiologic data</w:t>
      </w:r>
    </w:p>
    <w:p w:rsidR="00B93EB0" w:rsidRDefault="00B93EB0" w:rsidP="00B93EB0">
      <w:r>
        <w:t>We compare the calibrated model incidence predictions to data available from Battik</w:t>
      </w:r>
      <w:r w:rsidR="007411A9">
        <w:t>h</w:t>
      </w:r>
      <w:r>
        <w:t>i</w:t>
      </w:r>
      <w:r w:rsidR="007411A9">
        <w:t xml:space="preserve"> &amp; Battikhi from a study of HAV incidence in Amman Jordan</w:t>
      </w:r>
      <w:r w:rsidR="007411A9">
        <w:fldChar w:fldCharType="begin" w:fldLock="1"/>
      </w:r>
      <w:r w:rsidR="00243F90">
        <w:instrText>ADDIN CSL_CITATION { "citationItems" : [ { "id" : "ITEM-1", "itemData" : { "abstract" : "\nHepatitis A virus (HAV) has emerged as an important public health problem in many countries of the Middle East region and Jordan is no exception. From January 1991 to December 2001, a total of 1015 patients were diagnosed at Al-Battikhi Medical Laboratories. Samples were collected at seventeen private laboratories distributed throughout areas of the Governorate of Amman (capital of Jordan). A significant variation (P=0.03) was obtained between number of HAV cases and year. Seasonal variation in HAV cases was seen throughout the study period with maximal rates in the spring and summer months (P&lt;0.001). The highest incidence rate (9.6/100,000 population) was detected in the year 1993 and the lowest incidence rate (1.1/100,000 population) was found in the year 2001. There was a significant difference (P&lt;0.0001) between number of HAV cases and age group. The highest number of cases 166 (16.4%) was reported for age group 5-14 years and the lowest number of cases 18 (0.02%). Male to female ratio was 1.25: 1. There was no significant sex variation (P=0.28). A significant variation (P=0.006) was observed between number of HAV cases and districts. The present results suggested a link between the age groups, year, month and occurrence of HAV infection. Male to female ratio indicates no significant sex variation.", "author" : [ { "dropping-particle" : "", "family" : "Battikhi", "given" : "M N", "non-dropping-particle" : "", "parse-names" : false, "suffix" : "" }, { "dropping-particle" : "", "family" : "Battikhi", "given" : "E G", "non-dropping-particle" : "", "parse-names" : false, "suffix" : "" } ], "container-title" : "The new microbiologica", "id" : "ITEM-1", "issue" : "3", "issued" : { "date-parts" : [ [ "2004" ] ] }, "page" : "215-220", "title" : "The seroepidemiology of hepatitis A virus in Amman, Jordan.", "type" : "article-journal", "volume" : "27" }, "uris" : [ "http://www.mendeley.com/documents/?uuid=d2b3a509-5a8c-44a1-a7a0-098975b5515d" ] } ], "mendeley" : { "formattedCitation" : "[24]", "plainTextFormattedCitation" : "[24]", "previouslyFormattedCitation" : "[24]" }, "properties" : { "noteIndex" : 0 }, "schema" : "https://github.com/citation-style-language/schema/raw/master/csl-citation.json" }</w:instrText>
      </w:r>
      <w:r w:rsidR="007411A9">
        <w:fldChar w:fldCharType="separate"/>
      </w:r>
      <w:r w:rsidR="00243F90" w:rsidRPr="00243F90">
        <w:rPr>
          <w:noProof/>
        </w:rPr>
        <w:t>[24]</w:t>
      </w:r>
      <w:r w:rsidR="007411A9">
        <w:fldChar w:fldCharType="end"/>
      </w:r>
      <w:r w:rsidR="007411A9">
        <w:t>.  Since this data from a specific city we should not expect detailed correspondence with the country wide model predictions.  The modeled results are a reasonably good fit to the average incidence over this time period.</w:t>
      </w:r>
    </w:p>
    <w:p w:rsidR="007411A9" w:rsidRDefault="00B93EB0" w:rsidP="007411A9">
      <w:pPr>
        <w:keepNext/>
      </w:pPr>
      <w:r>
        <w:rPr>
          <w:noProof/>
        </w:rPr>
        <w:lastRenderedPageBreak/>
        <w:drawing>
          <wp:inline distT="0" distB="0" distL="0" distR="0" wp14:anchorId="583FED9A" wp14:editId="278B207D">
            <wp:extent cx="5000625" cy="25812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3"/>
                    <a:stretch>
                      <a:fillRect/>
                    </a:stretch>
                  </pic:blipFill>
                  <pic:spPr>
                    <a:xfrm>
                      <a:off x="0" y="0"/>
                      <a:ext cx="5000625" cy="2581275"/>
                    </a:xfrm>
                    <a:prstGeom prst="rect">
                      <a:avLst/>
                    </a:prstGeom>
                  </pic:spPr>
                </pic:pic>
              </a:graphicData>
            </a:graphic>
          </wp:inline>
        </w:drawing>
      </w:r>
    </w:p>
    <w:p w:rsidR="00B93EB0" w:rsidRPr="00B93EB0" w:rsidRDefault="007411A9" w:rsidP="007411A9">
      <w:pPr>
        <w:pStyle w:val="Caption"/>
      </w:pPr>
      <w:r>
        <w:t xml:space="preserve">Figure </w:t>
      </w:r>
      <w:r w:rsidR="00DE10EC">
        <w:fldChar w:fldCharType="begin"/>
      </w:r>
      <w:r w:rsidR="00DE10EC">
        <w:instrText xml:space="preserve"> SEQ Figure \* ARABIC </w:instrText>
      </w:r>
      <w:r w:rsidR="00DE10EC">
        <w:fldChar w:fldCharType="separate"/>
      </w:r>
      <w:r w:rsidR="00722964">
        <w:rPr>
          <w:noProof/>
        </w:rPr>
        <w:t>4</w:t>
      </w:r>
      <w:r w:rsidR="00DE10EC">
        <w:rPr>
          <w:noProof/>
        </w:rPr>
        <w:fldChar w:fldCharType="end"/>
      </w:r>
      <w:r>
        <w:t>:  Model reported incidence results compared to results from Amman Jordan between 1991 and 1999.</w:t>
      </w:r>
    </w:p>
    <w:p w:rsidR="003B61C8" w:rsidRDefault="003B61C8" w:rsidP="00223ED9">
      <w:pPr>
        <w:pStyle w:val="Heading2"/>
      </w:pPr>
      <w:bookmarkStart w:id="8" w:name="_Ref442083410"/>
      <w:r>
        <w:t>Analysis of KAUH data</w:t>
      </w:r>
      <w:bookmarkEnd w:id="7"/>
      <w:bookmarkEnd w:id="8"/>
    </w:p>
    <w:p w:rsidR="004C3F5E" w:rsidRDefault="00051E81" w:rsidP="003B61C8">
      <w:r>
        <w:t>R</w:t>
      </w:r>
      <w:r w:rsidR="003B61C8">
        <w:t>aw unpublished admissions data from King Abdullah University Hospital (KAUH) in Irbid, Jordan</w:t>
      </w:r>
      <w:r>
        <w:t xml:space="preserve"> was available t</w:t>
      </w:r>
      <w:r w:rsidR="003B61C8">
        <w:t xml:space="preserve">o derive the incidence </w:t>
      </w:r>
      <w:r>
        <w:t>rates. W</w:t>
      </w:r>
      <w:r w:rsidR="003B61C8">
        <w:t>e first identified all patients in each year represented in the data that tested positive for Ig-M.  We then determined the proportion of the total entire Jordanian population that is served by KAUH</w:t>
      </w:r>
      <w:r w:rsidR="00C27BD0">
        <w:t xml:space="preserve"> by considering the number of hospital beds in KAUH relative to the total number of hospital beds in all of Jordan.  We also considered the total overall admissions in KAUH relative to the total overall admissions to all hospitals in Jordan.  We then used the average of these two ratios to estimate the proportion of the Jordan population represented in the KAUH data.  </w:t>
      </w:r>
      <w:r w:rsidR="004C3F5E">
        <w:t xml:space="preserve">The analysis lead to a ratio of approximately 4%.  We combined this with the total population of Jordan from the US Census Bureau International Database </w:t>
      </w:r>
      <w:r w:rsidR="004C3F5E">
        <w:fldChar w:fldCharType="begin" w:fldLock="1"/>
      </w:r>
      <w:r w:rsidR="004C3F5E">
        <w:rPr>
          <w:noProof/>
        </w:rPr>
        <w:instrText>ADDIN Docear CSL_CITATION</w:instrText>
      </w:r>
      <w:r w:rsidR="004C3F5E">
        <w:rPr>
          <w:noProof/>
        </w:rPr>
        <w:br/>
      </w:r>
      <w:r w:rsidR="004C3F5E" w:rsidRPr="004C3F5E">
        <w:rPr>
          <w:b/>
          <w:noProof/>
        </w:rPr>
        <w:instrText>THIS CITATION DATA SHOULD NOT BE MANUALLY MODIFIED!!!</w:instrText>
      </w:r>
      <w:r w:rsidR="004C3F5E">
        <w:rPr>
          <w:noProof/>
        </w:rPr>
        <w:br/>
      </w:r>
      <w:r w:rsidR="004C3F5E" w:rsidRPr="004C3F5E">
        <w:rPr>
          <w:rFonts w:ascii="Courier New" w:hAnsi="Courier New"/>
          <w:noProof/>
          <w:sz w:val="14"/>
        </w:rPr>
        <w:instrText>{</w:instrText>
      </w:r>
      <w:r w:rsidR="004C3F5E" w:rsidRPr="004C3F5E">
        <w:rPr>
          <w:rFonts w:ascii="Courier New" w:hAnsi="Courier New"/>
          <w:noProof/>
          <w:sz w:val="14"/>
        </w:rPr>
        <w:br/>
        <w:instrText xml:space="preserve"> "schema": "https://raw.github.com/citation-style-language/schema/master/csl-citation.json",</w:instrText>
      </w:r>
      <w:r w:rsidR="004C3F5E" w:rsidRPr="004C3F5E">
        <w:rPr>
          <w:rFonts w:ascii="Courier New" w:hAnsi="Courier New"/>
          <w:noProof/>
          <w:sz w:val="14"/>
        </w:rPr>
        <w:br/>
        <w:instrText xml:space="preserve"> "citationID": "{b728f156-f7a7-4d1d-b4ea-f7646d53cb61}",</w:instrText>
      </w:r>
      <w:r w:rsidR="004C3F5E" w:rsidRPr="004C3F5E">
        <w:rPr>
          <w:rFonts w:ascii="Courier New" w:hAnsi="Courier New"/>
          <w:noProof/>
          <w:sz w:val="14"/>
        </w:rPr>
        <w:br/>
        <w:instrText xml:space="preserve"> "properties": {</w:instrText>
      </w:r>
      <w:r w:rsidR="004C3F5E" w:rsidRPr="004C3F5E">
        <w:rPr>
          <w:rFonts w:ascii="Courier New" w:hAnsi="Courier New"/>
          <w:noProof/>
          <w:sz w:val="14"/>
        </w:rPr>
        <w:br/>
        <w:instrText xml:space="preserve">  "noteIndex": 0</w:instrText>
      </w:r>
      <w:r w:rsidR="004C3F5E" w:rsidRPr="004C3F5E">
        <w:rPr>
          <w:rFonts w:ascii="Courier New" w:hAnsi="Courier New"/>
          <w:noProof/>
          <w:sz w:val="14"/>
        </w:rPr>
        <w:br/>
        <w:instrText xml:space="preserve"> },</w:instrText>
      </w:r>
      <w:r w:rsidR="004C3F5E" w:rsidRPr="004C3F5E">
        <w:rPr>
          <w:rFonts w:ascii="Courier New" w:hAnsi="Courier New"/>
          <w:noProof/>
          <w:sz w:val="14"/>
        </w:rPr>
        <w:br/>
        <w:instrText xml:space="preserve"> "citationItems": [</w:instrText>
      </w:r>
      <w:r w:rsidR="004C3F5E" w:rsidRPr="004C3F5E">
        <w:rPr>
          <w:rFonts w:ascii="Courier New" w:hAnsi="Courier New"/>
          <w:noProof/>
          <w:sz w:val="14"/>
        </w:rPr>
        <w:br/>
        <w:instrText xml:space="preserve">  {</w:instrText>
      </w:r>
      <w:r w:rsidR="004C3F5E" w:rsidRPr="004C3F5E">
        <w:rPr>
          <w:rFonts w:ascii="Courier New" w:hAnsi="Courier New"/>
          <w:noProof/>
          <w:sz w:val="14"/>
        </w:rPr>
        <w:br/>
        <w:instrText xml:space="preserve">   "id": "USCIDB",</w:instrText>
      </w:r>
      <w:r w:rsidR="004C3F5E" w:rsidRPr="004C3F5E">
        <w:rPr>
          <w:rFonts w:ascii="Courier New" w:hAnsi="Courier New"/>
          <w:noProof/>
          <w:sz w:val="14"/>
        </w:rPr>
        <w:br/>
        <w:instrText xml:space="preserve">   "item": {</w:instrText>
      </w:r>
      <w:r w:rsidR="004C3F5E" w:rsidRPr="004C3F5E">
        <w:rPr>
          <w:rFonts w:ascii="Courier New" w:hAnsi="Courier New"/>
          <w:noProof/>
          <w:sz w:val="14"/>
        </w:rPr>
        <w:br/>
        <w:instrText xml:space="preserve">    "id": "USCIDB",</w:instrText>
      </w:r>
      <w:r w:rsidR="004C3F5E" w:rsidRPr="004C3F5E">
        <w:rPr>
          <w:rFonts w:ascii="Courier New" w:hAnsi="Courier New"/>
          <w:noProof/>
          <w:sz w:val="14"/>
        </w:rPr>
        <w:br/>
        <w:instrText xml:space="preserve">    "type": "webPage",</w:instrText>
      </w:r>
      <w:r w:rsidR="004C3F5E" w:rsidRPr="004C3F5E">
        <w:rPr>
          <w:rFonts w:ascii="Courier New" w:hAnsi="Courier New"/>
          <w:noProof/>
          <w:sz w:val="14"/>
        </w:rPr>
        <w:br/>
        <w:instrText xml:space="preserve">    "title": "US Census Bureau International Database",</w:instrText>
      </w:r>
      <w:r w:rsidR="004C3F5E" w:rsidRPr="004C3F5E">
        <w:rPr>
          <w:rFonts w:ascii="Courier New" w:hAnsi="Courier New"/>
          <w:noProof/>
          <w:sz w:val="14"/>
        </w:rPr>
        <w:br/>
        <w:instrText xml:space="preserve">    "publisher": "United States Census Bureau",</w:instrText>
      </w:r>
      <w:r w:rsidR="004C3F5E" w:rsidRPr="004C3F5E">
        <w:rPr>
          <w:rFonts w:ascii="Courier New" w:hAnsi="Courier New"/>
          <w:noProof/>
          <w:sz w:val="14"/>
        </w:rPr>
        <w:br/>
        <w:instrText xml:space="preserve">    "issued": {</w:instrText>
      </w:r>
      <w:r w:rsidR="004C3F5E" w:rsidRPr="004C3F5E">
        <w:rPr>
          <w:rFonts w:ascii="Courier New" w:hAnsi="Courier New"/>
          <w:noProof/>
          <w:sz w:val="14"/>
        </w:rPr>
        <w:br/>
        <w:instrText xml:space="preserve">     "date-parts": [</w:instrText>
      </w:r>
      <w:r w:rsidR="004C3F5E" w:rsidRPr="004C3F5E">
        <w:rPr>
          <w:rFonts w:ascii="Courier New" w:hAnsi="Courier New"/>
          <w:noProof/>
          <w:sz w:val="14"/>
        </w:rPr>
        <w:br/>
        <w:instrText xml:space="preserve">      [</w:instrText>
      </w:r>
      <w:r w:rsidR="004C3F5E" w:rsidRPr="004C3F5E">
        <w:rPr>
          <w:rFonts w:ascii="Courier New" w:hAnsi="Courier New"/>
          <w:noProof/>
          <w:sz w:val="14"/>
        </w:rPr>
        <w:br/>
        <w:instrText xml:space="preserve">       2015</w:instrText>
      </w:r>
      <w:r w:rsidR="004C3F5E" w:rsidRPr="004C3F5E">
        <w:rPr>
          <w:rFonts w:ascii="Courier New" w:hAnsi="Courier New"/>
          <w:noProof/>
          <w:sz w:val="14"/>
        </w:rPr>
        <w:br/>
        <w:instrText xml:space="preserve">      ]</w:instrText>
      </w:r>
      <w:r w:rsidR="004C3F5E" w:rsidRPr="004C3F5E">
        <w:rPr>
          <w:rFonts w:ascii="Courier New" w:hAnsi="Courier New"/>
          <w:noProof/>
          <w:sz w:val="14"/>
        </w:rPr>
        <w:br/>
        <w:instrText xml:space="preserve">     ]</w:instrText>
      </w:r>
      <w:r w:rsidR="004C3F5E" w:rsidRPr="004C3F5E">
        <w:rPr>
          <w:rFonts w:ascii="Courier New" w:hAnsi="Courier New"/>
          <w:noProof/>
          <w:sz w:val="14"/>
        </w:rPr>
        <w:br/>
        <w:instrText xml:space="preserve">    }</w:instrText>
      </w:r>
      <w:r w:rsidR="004C3F5E" w:rsidRPr="004C3F5E">
        <w:rPr>
          <w:rFonts w:ascii="Courier New" w:hAnsi="Courier New"/>
          <w:noProof/>
          <w:sz w:val="14"/>
        </w:rPr>
        <w:br/>
        <w:instrText xml:space="preserve">   }</w:instrText>
      </w:r>
      <w:r w:rsidR="004C3F5E" w:rsidRPr="004C3F5E">
        <w:rPr>
          <w:rFonts w:ascii="Courier New" w:hAnsi="Courier New"/>
          <w:noProof/>
          <w:sz w:val="14"/>
        </w:rPr>
        <w:br/>
        <w:instrText xml:space="preserve">  }</w:instrText>
      </w:r>
      <w:r w:rsidR="004C3F5E" w:rsidRPr="004C3F5E">
        <w:rPr>
          <w:rFonts w:ascii="Courier New" w:hAnsi="Courier New"/>
          <w:noProof/>
          <w:sz w:val="14"/>
        </w:rPr>
        <w:br/>
        <w:instrText xml:space="preserve"> ]</w:instrText>
      </w:r>
      <w:r w:rsidR="004C3F5E" w:rsidRPr="004C3F5E">
        <w:rPr>
          <w:rFonts w:ascii="Courier New" w:hAnsi="Courier New"/>
          <w:noProof/>
          <w:sz w:val="14"/>
        </w:rPr>
        <w:br/>
        <w:instrText>}</w:instrText>
      </w:r>
      <w:r w:rsidR="004C3F5E" w:rsidRPr="004C3F5E">
        <w:rPr>
          <w:rFonts w:ascii="Courier New" w:hAnsi="Courier New"/>
          <w:noProof/>
          <w:sz w:val="14"/>
        </w:rPr>
        <w:br/>
      </w:r>
      <w:r w:rsidR="004C3F5E">
        <w:fldChar w:fldCharType="separate"/>
      </w:r>
      <w:r w:rsidR="00FF1EC7" w:rsidRPr="00FF1EC7">
        <w:rPr>
          <w:noProof/>
        </w:rPr>
        <w:t>[16]</w:t>
      </w:r>
      <w:r w:rsidR="004C3F5E">
        <w:fldChar w:fldCharType="end"/>
      </w:r>
      <w:r w:rsidR="004C3F5E">
        <w:t xml:space="preserve"> to calculate the number of HAV patients per 100,000.  </w:t>
      </w:r>
    </w:p>
    <w:p w:rsidR="004C3F5E" w:rsidRDefault="004C3F5E" w:rsidP="003B61C8">
      <w:r>
        <w:t xml:space="preserve">The results are presented in </w:t>
      </w:r>
      <w:r>
        <w:fldChar w:fldCharType="begin"/>
      </w:r>
      <w:r>
        <w:instrText xml:space="preserve"> REF _Ref430781892 \h </w:instrText>
      </w:r>
      <w:r>
        <w:fldChar w:fldCharType="separate"/>
      </w:r>
      <w:r w:rsidR="00722964">
        <w:t>Table S</w:t>
      </w:r>
      <w:r w:rsidR="00722964">
        <w:rPr>
          <w:noProof/>
        </w:rPr>
        <w:t>1</w:t>
      </w:r>
      <w:r>
        <w:fldChar w:fldCharType="end"/>
      </w:r>
      <w:r w:rsidR="00A97A6F">
        <w:t>.  The table clearly shows a substantial increase in incidence from 2003 through 2013 as well as some oscillation in incidence.  The oscillations are an expected result for the non-equilibrium</w:t>
      </w:r>
      <w:r w:rsidR="009A1AF8">
        <w:t xml:space="preserve"> state affected by</w:t>
      </w:r>
      <w:r w:rsidR="00A97A6F">
        <w:t xml:space="preserve"> the overall changes in endemicity driven by socioeconomic improvements in the recent past.  If we assume that KAUH is representative in Jordan as a whole and </w:t>
      </w:r>
      <w:r w:rsidR="00A97A6F">
        <w:lastRenderedPageBreak/>
        <w:t xml:space="preserve">that there are no significant confounding factors such as a national HAV awareness campaign, then there must be a universal (across all age groups) increase in force of infection.  This is </w:t>
      </w:r>
      <w:r w:rsidR="00C36A0E">
        <w:t xml:space="preserve">represented in the </w:t>
      </w:r>
      <w:r w:rsidR="00141668">
        <w:t>Eq. 1</w:t>
      </w:r>
      <w:r w:rsidR="00EB0D45">
        <w:t xml:space="preserve">. There is some expectation of an overall increase in incidence due to the influx of Syrian refugees over the past six years. </w:t>
      </w:r>
      <w:r w:rsidR="0017589C">
        <w:t>It is also possible that KAUH may see a larger effect from the refugee situation since it is in the northern part of the country where there tend to be more Syrian refugees</w:t>
      </w:r>
      <w:r w:rsidR="0017589C">
        <w:fldChar w:fldCharType="begin" w:fldLock="1"/>
      </w:r>
      <w:r w:rsidR="0017589C">
        <w:rPr>
          <w:noProof/>
        </w:rPr>
        <w:instrText>ADDIN Docear CSL_CITATION</w:instrText>
      </w:r>
      <w:r w:rsidR="0017589C">
        <w:rPr>
          <w:noProof/>
        </w:rPr>
        <w:br/>
      </w:r>
      <w:r w:rsidR="0017589C" w:rsidRPr="0017589C">
        <w:rPr>
          <w:b/>
          <w:noProof/>
        </w:rPr>
        <w:instrText>THIS CITATION DATA SHOULD NOT BE MANUALLY MODIFIED!!!</w:instrText>
      </w:r>
      <w:r w:rsidR="0017589C">
        <w:rPr>
          <w:noProof/>
        </w:rPr>
        <w:br/>
      </w:r>
      <w:r w:rsidR="0017589C" w:rsidRPr="0017589C">
        <w:rPr>
          <w:rFonts w:ascii="Courier New" w:hAnsi="Courier New"/>
          <w:noProof/>
          <w:sz w:val="14"/>
        </w:rPr>
        <w:instrText>{</w:instrText>
      </w:r>
      <w:r w:rsidR="0017589C" w:rsidRPr="0017589C">
        <w:rPr>
          <w:rFonts w:ascii="Courier New" w:hAnsi="Courier New"/>
          <w:noProof/>
          <w:sz w:val="14"/>
        </w:rPr>
        <w:br/>
        <w:instrText xml:space="preserve"> "schema": "https://raw.github.com/citation-style-language/schema/master/csl-citation.json",</w:instrText>
      </w:r>
      <w:r w:rsidR="0017589C" w:rsidRPr="0017589C">
        <w:rPr>
          <w:rFonts w:ascii="Courier New" w:hAnsi="Courier New"/>
          <w:noProof/>
          <w:sz w:val="14"/>
        </w:rPr>
        <w:br/>
        <w:instrText xml:space="preserve"> "citationID": "{955cddeb-f0b5-4d66-807e-2e3322ed8629}",</w:instrText>
      </w:r>
      <w:r w:rsidR="0017589C" w:rsidRPr="0017589C">
        <w:rPr>
          <w:rFonts w:ascii="Courier New" w:hAnsi="Courier New"/>
          <w:noProof/>
          <w:sz w:val="14"/>
        </w:rPr>
        <w:br/>
        <w:instrText xml:space="preserve"> "properties": {</w:instrText>
      </w:r>
      <w:r w:rsidR="0017589C" w:rsidRPr="0017589C">
        <w:rPr>
          <w:rFonts w:ascii="Courier New" w:hAnsi="Courier New"/>
          <w:noProof/>
          <w:sz w:val="14"/>
        </w:rPr>
        <w:br/>
        <w:instrText xml:space="preserve">  "noteIndex": 0</w:instrText>
      </w:r>
      <w:r w:rsidR="0017589C" w:rsidRPr="0017589C">
        <w:rPr>
          <w:rFonts w:ascii="Courier New" w:hAnsi="Courier New"/>
          <w:noProof/>
          <w:sz w:val="14"/>
        </w:rPr>
        <w:br/>
        <w:instrText xml:space="preserve"> },</w:instrText>
      </w:r>
      <w:r w:rsidR="0017589C" w:rsidRPr="0017589C">
        <w:rPr>
          <w:rFonts w:ascii="Courier New" w:hAnsi="Courier New"/>
          <w:noProof/>
          <w:sz w:val="14"/>
        </w:rPr>
        <w:br/>
        <w:instrText xml:space="preserve"> "citationItems": [</w:instrText>
      </w:r>
      <w:r w:rsidR="0017589C" w:rsidRPr="0017589C">
        <w:rPr>
          <w:rFonts w:ascii="Courier New" w:hAnsi="Courier New"/>
          <w:noProof/>
          <w:sz w:val="14"/>
        </w:rPr>
        <w:br/>
        <w:instrText xml:space="preserve">  {</w:instrText>
      </w:r>
      <w:r w:rsidR="0017589C" w:rsidRPr="0017589C">
        <w:rPr>
          <w:rFonts w:ascii="Courier New" w:hAnsi="Courier New"/>
          <w:noProof/>
          <w:sz w:val="14"/>
        </w:rPr>
        <w:br/>
        <w:instrText xml:space="preserve">   "id": "UNHCRSyriaJordan",</w:instrText>
      </w:r>
      <w:r w:rsidR="0017589C" w:rsidRPr="0017589C">
        <w:rPr>
          <w:rFonts w:ascii="Courier New" w:hAnsi="Courier New"/>
          <w:noProof/>
          <w:sz w:val="14"/>
        </w:rPr>
        <w:br/>
        <w:instrText xml:space="preserve">   "item": {</w:instrText>
      </w:r>
      <w:r w:rsidR="0017589C" w:rsidRPr="0017589C">
        <w:rPr>
          <w:rFonts w:ascii="Courier New" w:hAnsi="Courier New"/>
          <w:noProof/>
          <w:sz w:val="14"/>
        </w:rPr>
        <w:br/>
        <w:instrText xml:space="preserve">    "id": "UNHCRSyriaJordan",</w:instrText>
      </w:r>
      <w:r w:rsidR="0017589C" w:rsidRPr="0017589C">
        <w:rPr>
          <w:rFonts w:ascii="Courier New" w:hAnsi="Courier New"/>
          <w:noProof/>
          <w:sz w:val="14"/>
        </w:rPr>
        <w:br/>
        <w:instrText xml:space="preserve">    "type": "webPage",</w:instrText>
      </w:r>
      <w:r w:rsidR="0017589C" w:rsidRPr="0017589C">
        <w:rPr>
          <w:rFonts w:ascii="Courier New" w:hAnsi="Courier New"/>
          <w:noProof/>
          <w:sz w:val="14"/>
        </w:rPr>
        <w:br/>
        <w:instrText xml:space="preserve">    "URL": "http://data.unhcr.org/syrianrefugees/country.php?id=107",</w:instrText>
      </w:r>
      <w:r w:rsidR="0017589C" w:rsidRPr="0017589C">
        <w:rPr>
          <w:rFonts w:ascii="Courier New" w:hAnsi="Courier New"/>
          <w:noProof/>
          <w:sz w:val="14"/>
        </w:rPr>
        <w:br/>
        <w:instrText xml:space="preserve">    "title": "Syrian Regional Refugee Response: Inter-agency Information Sharing Portal",</w:instrText>
      </w:r>
      <w:r w:rsidR="0017589C" w:rsidRPr="0017589C">
        <w:rPr>
          <w:rFonts w:ascii="Courier New" w:hAnsi="Courier New"/>
          <w:noProof/>
          <w:sz w:val="14"/>
        </w:rPr>
        <w:br/>
        <w:instrText xml:space="preserve">    "issued": {</w:instrText>
      </w:r>
      <w:r w:rsidR="0017589C" w:rsidRPr="0017589C">
        <w:rPr>
          <w:rFonts w:ascii="Courier New" w:hAnsi="Courier New"/>
          <w:noProof/>
          <w:sz w:val="14"/>
        </w:rPr>
        <w:br/>
        <w:instrText xml:space="preserve">     "date-parts": [</w:instrText>
      </w:r>
      <w:r w:rsidR="0017589C" w:rsidRPr="0017589C">
        <w:rPr>
          <w:rFonts w:ascii="Courier New" w:hAnsi="Courier New"/>
          <w:noProof/>
          <w:sz w:val="14"/>
        </w:rPr>
        <w:br/>
        <w:instrText xml:space="preserve">      [</w:instrText>
      </w:r>
      <w:r w:rsidR="0017589C" w:rsidRPr="0017589C">
        <w:rPr>
          <w:rFonts w:ascii="Courier New" w:hAnsi="Courier New"/>
          <w:noProof/>
          <w:sz w:val="14"/>
        </w:rPr>
        <w:br/>
        <w:instrText xml:space="preserve">       2015,</w:instrText>
      </w:r>
      <w:r w:rsidR="0017589C" w:rsidRPr="0017589C">
        <w:rPr>
          <w:rFonts w:ascii="Courier New" w:hAnsi="Courier New"/>
          <w:noProof/>
          <w:sz w:val="14"/>
        </w:rPr>
        <w:br/>
        <w:instrText xml:space="preserve">       9,</w:instrText>
      </w:r>
      <w:r w:rsidR="0017589C" w:rsidRPr="0017589C">
        <w:rPr>
          <w:rFonts w:ascii="Courier New" w:hAnsi="Courier New"/>
          <w:noProof/>
          <w:sz w:val="14"/>
        </w:rPr>
        <w:br/>
        <w:instrText xml:space="preserve">       29</w:instrText>
      </w:r>
      <w:r w:rsidR="0017589C" w:rsidRPr="0017589C">
        <w:rPr>
          <w:rFonts w:ascii="Courier New" w:hAnsi="Courier New"/>
          <w:noProof/>
          <w:sz w:val="14"/>
        </w:rPr>
        <w:br/>
        <w:instrText xml:space="preserve">      ]</w:instrText>
      </w:r>
      <w:r w:rsidR="0017589C" w:rsidRPr="0017589C">
        <w:rPr>
          <w:rFonts w:ascii="Courier New" w:hAnsi="Courier New"/>
          <w:noProof/>
          <w:sz w:val="14"/>
        </w:rPr>
        <w:br/>
        <w:instrText xml:space="preserve">     ]</w:instrText>
      </w:r>
      <w:r w:rsidR="0017589C" w:rsidRPr="0017589C">
        <w:rPr>
          <w:rFonts w:ascii="Courier New" w:hAnsi="Courier New"/>
          <w:noProof/>
          <w:sz w:val="14"/>
        </w:rPr>
        <w:br/>
        <w:instrText xml:space="preserve">    }</w:instrText>
      </w:r>
      <w:r w:rsidR="0017589C" w:rsidRPr="0017589C">
        <w:rPr>
          <w:rFonts w:ascii="Courier New" w:hAnsi="Courier New"/>
          <w:noProof/>
          <w:sz w:val="14"/>
        </w:rPr>
        <w:br/>
        <w:instrText xml:space="preserve">   }</w:instrText>
      </w:r>
      <w:r w:rsidR="0017589C" w:rsidRPr="0017589C">
        <w:rPr>
          <w:rFonts w:ascii="Courier New" w:hAnsi="Courier New"/>
          <w:noProof/>
          <w:sz w:val="14"/>
        </w:rPr>
        <w:br/>
        <w:instrText xml:space="preserve">  }</w:instrText>
      </w:r>
      <w:r w:rsidR="0017589C" w:rsidRPr="0017589C">
        <w:rPr>
          <w:rFonts w:ascii="Courier New" w:hAnsi="Courier New"/>
          <w:noProof/>
          <w:sz w:val="14"/>
        </w:rPr>
        <w:br/>
        <w:instrText xml:space="preserve"> ]</w:instrText>
      </w:r>
      <w:r w:rsidR="0017589C" w:rsidRPr="0017589C">
        <w:rPr>
          <w:rFonts w:ascii="Courier New" w:hAnsi="Courier New"/>
          <w:noProof/>
          <w:sz w:val="14"/>
        </w:rPr>
        <w:br/>
        <w:instrText>}</w:instrText>
      </w:r>
      <w:r w:rsidR="0017589C" w:rsidRPr="0017589C">
        <w:rPr>
          <w:rFonts w:ascii="Courier New" w:hAnsi="Courier New"/>
          <w:noProof/>
          <w:sz w:val="14"/>
        </w:rPr>
        <w:br/>
      </w:r>
      <w:r w:rsidR="0017589C">
        <w:fldChar w:fldCharType="separate"/>
      </w:r>
      <w:r w:rsidR="00FF1EC7" w:rsidRPr="00FF1EC7">
        <w:rPr>
          <w:noProof/>
        </w:rPr>
        <w:t>[15]</w:t>
      </w:r>
      <w:r w:rsidR="0017589C">
        <w:fldChar w:fldCharType="end"/>
      </w:r>
      <w:r w:rsidR="0017589C">
        <w:t>.</w:t>
      </w:r>
    </w:p>
    <w:p w:rsidR="004C3F5E" w:rsidRDefault="004C3F5E" w:rsidP="004C3F5E">
      <w:pPr>
        <w:pStyle w:val="Caption"/>
        <w:keepNext/>
      </w:pPr>
      <w:r>
        <w:t xml:space="preserve">Table </w:t>
      </w:r>
      <w:r w:rsidR="00051E81">
        <w:t>S</w:t>
      </w:r>
      <w:r w:rsidR="00DE10EC">
        <w:fldChar w:fldCharType="begin"/>
      </w:r>
      <w:r w:rsidR="00DE10EC">
        <w:instrText xml:space="preserve"> SEQ Table \* ARABIC </w:instrText>
      </w:r>
      <w:r w:rsidR="00DE10EC">
        <w:fldChar w:fldCharType="separate"/>
      </w:r>
      <w:r w:rsidR="00722964">
        <w:rPr>
          <w:noProof/>
        </w:rPr>
        <w:t>4</w:t>
      </w:r>
      <w:r w:rsidR="00DE10EC">
        <w:rPr>
          <w:noProof/>
        </w:rPr>
        <w:fldChar w:fldCharType="end"/>
      </w:r>
      <w:r>
        <w:t>: incidence of HAV for Jordan derived from KAUH admissions data.  The calculations assume that KAUH covers 4% of the Jordan population as described in the text.</w:t>
      </w:r>
    </w:p>
    <w:tbl>
      <w:tblPr>
        <w:tblW w:w="0" w:type="auto"/>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Pr>
      <w:tblGrid>
        <w:gridCol w:w="960"/>
        <w:gridCol w:w="2062"/>
        <w:gridCol w:w="1572"/>
        <w:gridCol w:w="2104"/>
        <w:gridCol w:w="1356"/>
      </w:tblGrid>
      <w:tr w:rsidR="004C3F5E" w:rsidRPr="004C3F5E" w:rsidTr="009A1AF8">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4C3F5E" w:rsidRPr="004C3F5E" w:rsidRDefault="004C3F5E" w:rsidP="00A97A6F">
            <w:pPr>
              <w:spacing w:after="0" w:line="240" w:lineRule="auto"/>
              <w:jc w:val="center"/>
              <w:rPr>
                <w:rFonts w:ascii="Calibri" w:eastAsia="Times New Roman" w:hAnsi="Calibri" w:cs="Calibri"/>
                <w:color w:val="000000"/>
              </w:rPr>
            </w:pPr>
            <w:r w:rsidRPr="004C3F5E">
              <w:rPr>
                <w:rFonts w:ascii="Calibri" w:eastAsia="Times New Roman" w:hAnsi="Calibri" w:cs="Calibri"/>
                <w:b/>
                <w:bCs/>
                <w:color w:val="000000"/>
              </w:rPr>
              <w:t>Year</w:t>
            </w:r>
          </w:p>
        </w:tc>
        <w:tc>
          <w:tcPr>
            <w:tcW w:w="206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4C3F5E" w:rsidRPr="004C3F5E" w:rsidRDefault="004C3F5E" w:rsidP="00A97A6F">
            <w:pPr>
              <w:spacing w:after="0" w:line="240" w:lineRule="auto"/>
              <w:jc w:val="center"/>
              <w:rPr>
                <w:rFonts w:ascii="Calibri" w:eastAsia="Times New Roman" w:hAnsi="Calibri" w:cs="Calibri"/>
                <w:color w:val="000000"/>
              </w:rPr>
            </w:pPr>
            <w:r w:rsidRPr="004C3F5E">
              <w:rPr>
                <w:rFonts w:ascii="Calibri" w:eastAsia="Times New Roman" w:hAnsi="Calibri" w:cs="Calibri"/>
                <w:b/>
                <w:bCs/>
                <w:color w:val="000000"/>
              </w:rPr>
              <w:t>Patients with HAV at HAUK</w:t>
            </w:r>
          </w:p>
        </w:tc>
        <w:tc>
          <w:tcPr>
            <w:tcW w:w="157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4C3F5E" w:rsidRPr="004C3F5E" w:rsidRDefault="004C3F5E" w:rsidP="00A97A6F">
            <w:pPr>
              <w:spacing w:after="0" w:line="240" w:lineRule="auto"/>
              <w:jc w:val="center"/>
              <w:rPr>
                <w:rFonts w:ascii="Calibri" w:eastAsia="Times New Roman" w:hAnsi="Calibri" w:cs="Calibri"/>
                <w:color w:val="000000"/>
              </w:rPr>
            </w:pPr>
            <w:r w:rsidRPr="004C3F5E">
              <w:rPr>
                <w:rFonts w:ascii="Calibri" w:eastAsia="Times New Roman" w:hAnsi="Calibri" w:cs="Calibri"/>
                <w:b/>
                <w:bCs/>
                <w:color w:val="000000"/>
              </w:rPr>
              <w:t>Jordan Population</w:t>
            </w:r>
          </w:p>
        </w:tc>
        <w:tc>
          <w:tcPr>
            <w:tcW w:w="210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4C3F5E" w:rsidRPr="004C3F5E" w:rsidRDefault="004C3F5E" w:rsidP="00A97A6F">
            <w:pPr>
              <w:spacing w:after="0" w:line="240" w:lineRule="auto"/>
              <w:jc w:val="center"/>
              <w:rPr>
                <w:rFonts w:ascii="Calibri" w:eastAsia="Times New Roman" w:hAnsi="Calibri" w:cs="Calibri"/>
                <w:color w:val="000000"/>
              </w:rPr>
            </w:pPr>
            <w:r w:rsidRPr="004C3F5E">
              <w:rPr>
                <w:rFonts w:ascii="Calibri" w:eastAsia="Times New Roman" w:hAnsi="Calibri" w:cs="Calibri"/>
                <w:b/>
                <w:bCs/>
                <w:color w:val="000000"/>
              </w:rPr>
              <w:t>HAUK Portion of Population</w:t>
            </w:r>
          </w:p>
        </w:tc>
        <w:tc>
          <w:tcPr>
            <w:tcW w:w="135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4C3F5E" w:rsidRPr="004C3F5E" w:rsidRDefault="004C3F5E" w:rsidP="00A97A6F">
            <w:pPr>
              <w:spacing w:after="0" w:line="240" w:lineRule="auto"/>
              <w:jc w:val="center"/>
              <w:rPr>
                <w:rFonts w:ascii="Calibri" w:eastAsia="Times New Roman" w:hAnsi="Calibri" w:cs="Calibri"/>
                <w:color w:val="000000"/>
              </w:rPr>
            </w:pPr>
            <w:r w:rsidRPr="004C3F5E">
              <w:rPr>
                <w:rFonts w:ascii="Calibri" w:eastAsia="Times New Roman" w:hAnsi="Calibri" w:cs="Calibri"/>
                <w:b/>
                <w:bCs/>
                <w:color w:val="000000"/>
              </w:rPr>
              <w:t># Per 100000</w:t>
            </w:r>
          </w:p>
        </w:tc>
      </w:tr>
      <w:tr w:rsidR="004C3F5E" w:rsidRPr="004C3F5E" w:rsidTr="009A1AF8">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4C3F5E" w:rsidRPr="004C3F5E" w:rsidRDefault="004C3F5E" w:rsidP="004C3F5E">
            <w:pPr>
              <w:spacing w:after="0" w:line="240" w:lineRule="auto"/>
              <w:rPr>
                <w:rFonts w:ascii="Calibri" w:eastAsia="Times New Roman" w:hAnsi="Calibri" w:cs="Calibri"/>
                <w:color w:val="000000"/>
              </w:rPr>
            </w:pPr>
            <w:r w:rsidRPr="004C3F5E">
              <w:rPr>
                <w:rFonts w:ascii="Calibri" w:eastAsia="Times New Roman" w:hAnsi="Calibri" w:cs="Calibri"/>
                <w:color w:val="000000"/>
              </w:rPr>
              <w:t>2003</w:t>
            </w:r>
          </w:p>
        </w:tc>
        <w:tc>
          <w:tcPr>
            <w:tcW w:w="206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4C3F5E" w:rsidRPr="004C3F5E" w:rsidRDefault="004C3F5E" w:rsidP="004C3F5E">
            <w:pPr>
              <w:spacing w:after="0" w:line="240" w:lineRule="auto"/>
              <w:rPr>
                <w:rFonts w:ascii="Calibri" w:eastAsia="Times New Roman" w:hAnsi="Calibri" w:cs="Calibri"/>
                <w:color w:val="000000"/>
              </w:rPr>
            </w:pPr>
            <w:r w:rsidRPr="004C3F5E">
              <w:rPr>
                <w:rFonts w:ascii="Calibri" w:eastAsia="Times New Roman" w:hAnsi="Calibri" w:cs="Calibri"/>
                <w:color w:val="000000"/>
              </w:rPr>
              <w:t>4</w:t>
            </w:r>
          </w:p>
        </w:tc>
        <w:tc>
          <w:tcPr>
            <w:tcW w:w="157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4C3F5E" w:rsidRPr="004C3F5E" w:rsidRDefault="004C3F5E" w:rsidP="004C3F5E">
            <w:pPr>
              <w:spacing w:after="0" w:line="240" w:lineRule="auto"/>
              <w:rPr>
                <w:rFonts w:ascii="Calibri" w:eastAsia="Times New Roman" w:hAnsi="Calibri" w:cs="Calibri"/>
                <w:color w:val="000000"/>
              </w:rPr>
            </w:pPr>
            <w:r w:rsidRPr="004C3F5E">
              <w:rPr>
                <w:rFonts w:ascii="Calibri" w:eastAsia="Times New Roman" w:hAnsi="Calibri" w:cs="Calibri"/>
                <w:color w:val="000000"/>
              </w:rPr>
              <w:t>5013775</w:t>
            </w:r>
          </w:p>
        </w:tc>
        <w:tc>
          <w:tcPr>
            <w:tcW w:w="210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4C3F5E" w:rsidRPr="004C3F5E" w:rsidRDefault="004C3F5E" w:rsidP="004C3F5E">
            <w:pPr>
              <w:spacing w:after="0" w:line="240" w:lineRule="auto"/>
              <w:rPr>
                <w:rFonts w:ascii="Calibri" w:eastAsia="Times New Roman" w:hAnsi="Calibri" w:cs="Calibri"/>
                <w:color w:val="000000"/>
              </w:rPr>
            </w:pPr>
            <w:r w:rsidRPr="004C3F5E">
              <w:rPr>
                <w:rFonts w:ascii="Calibri" w:eastAsia="Times New Roman" w:hAnsi="Calibri" w:cs="Calibri"/>
                <w:color w:val="000000"/>
              </w:rPr>
              <w:t>200551</w:t>
            </w:r>
          </w:p>
        </w:tc>
        <w:tc>
          <w:tcPr>
            <w:tcW w:w="135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4C3F5E" w:rsidRPr="004C3F5E" w:rsidRDefault="004C3F5E" w:rsidP="004C3F5E">
            <w:pPr>
              <w:spacing w:after="0" w:line="240" w:lineRule="auto"/>
              <w:rPr>
                <w:rFonts w:ascii="Calibri" w:eastAsia="Times New Roman" w:hAnsi="Calibri" w:cs="Calibri"/>
                <w:color w:val="000000"/>
              </w:rPr>
            </w:pPr>
            <w:r w:rsidRPr="004C3F5E">
              <w:rPr>
                <w:rFonts w:ascii="Calibri" w:eastAsia="Times New Roman" w:hAnsi="Calibri" w:cs="Calibri"/>
                <w:color w:val="000000"/>
              </w:rPr>
              <w:t>1.99</w:t>
            </w:r>
          </w:p>
        </w:tc>
      </w:tr>
      <w:tr w:rsidR="004C3F5E" w:rsidRPr="004C3F5E" w:rsidTr="009A1AF8">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4C3F5E" w:rsidRPr="004C3F5E" w:rsidRDefault="004C3F5E" w:rsidP="004C3F5E">
            <w:pPr>
              <w:spacing w:after="0" w:line="240" w:lineRule="auto"/>
              <w:rPr>
                <w:rFonts w:ascii="Calibri" w:eastAsia="Times New Roman" w:hAnsi="Calibri" w:cs="Calibri"/>
                <w:color w:val="000000"/>
              </w:rPr>
            </w:pPr>
            <w:r w:rsidRPr="004C3F5E">
              <w:rPr>
                <w:rFonts w:ascii="Calibri" w:eastAsia="Times New Roman" w:hAnsi="Calibri" w:cs="Calibri"/>
                <w:color w:val="000000"/>
              </w:rPr>
              <w:t>2004</w:t>
            </w:r>
          </w:p>
        </w:tc>
        <w:tc>
          <w:tcPr>
            <w:tcW w:w="206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4C3F5E" w:rsidRPr="004C3F5E" w:rsidRDefault="004C3F5E" w:rsidP="004C3F5E">
            <w:pPr>
              <w:spacing w:after="0" w:line="240" w:lineRule="auto"/>
              <w:rPr>
                <w:rFonts w:ascii="Calibri" w:eastAsia="Times New Roman" w:hAnsi="Calibri" w:cs="Calibri"/>
                <w:color w:val="000000"/>
              </w:rPr>
            </w:pPr>
            <w:r w:rsidRPr="004C3F5E">
              <w:rPr>
                <w:rFonts w:ascii="Calibri" w:eastAsia="Times New Roman" w:hAnsi="Calibri" w:cs="Calibri"/>
                <w:color w:val="000000"/>
              </w:rPr>
              <w:t>4</w:t>
            </w:r>
          </w:p>
        </w:tc>
        <w:tc>
          <w:tcPr>
            <w:tcW w:w="157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4C3F5E" w:rsidRPr="004C3F5E" w:rsidRDefault="004C3F5E" w:rsidP="004C3F5E">
            <w:pPr>
              <w:spacing w:after="0" w:line="240" w:lineRule="auto"/>
              <w:rPr>
                <w:rFonts w:ascii="Calibri" w:eastAsia="Times New Roman" w:hAnsi="Calibri" w:cs="Calibri"/>
                <w:color w:val="000000"/>
              </w:rPr>
            </w:pPr>
            <w:r w:rsidRPr="004C3F5E">
              <w:rPr>
                <w:rFonts w:ascii="Calibri" w:eastAsia="Times New Roman" w:hAnsi="Calibri" w:cs="Calibri"/>
                <w:color w:val="000000"/>
              </w:rPr>
              <w:t>5128263</w:t>
            </w:r>
          </w:p>
        </w:tc>
        <w:tc>
          <w:tcPr>
            <w:tcW w:w="210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4C3F5E" w:rsidRPr="004C3F5E" w:rsidRDefault="004C3F5E" w:rsidP="004C3F5E">
            <w:pPr>
              <w:spacing w:after="0" w:line="240" w:lineRule="auto"/>
              <w:rPr>
                <w:rFonts w:ascii="Calibri" w:eastAsia="Times New Roman" w:hAnsi="Calibri" w:cs="Calibri"/>
                <w:color w:val="000000"/>
              </w:rPr>
            </w:pPr>
            <w:r w:rsidRPr="004C3F5E">
              <w:rPr>
                <w:rFonts w:ascii="Calibri" w:eastAsia="Times New Roman" w:hAnsi="Calibri" w:cs="Calibri"/>
                <w:color w:val="000000"/>
              </w:rPr>
              <w:t>205131</w:t>
            </w:r>
          </w:p>
        </w:tc>
        <w:tc>
          <w:tcPr>
            <w:tcW w:w="135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4C3F5E" w:rsidRPr="004C3F5E" w:rsidRDefault="004C3F5E" w:rsidP="004C3F5E">
            <w:pPr>
              <w:spacing w:after="0" w:line="240" w:lineRule="auto"/>
              <w:rPr>
                <w:rFonts w:ascii="Calibri" w:eastAsia="Times New Roman" w:hAnsi="Calibri" w:cs="Calibri"/>
                <w:color w:val="000000"/>
              </w:rPr>
            </w:pPr>
            <w:r w:rsidRPr="004C3F5E">
              <w:rPr>
                <w:rFonts w:ascii="Calibri" w:eastAsia="Times New Roman" w:hAnsi="Calibri" w:cs="Calibri"/>
                <w:color w:val="000000"/>
              </w:rPr>
              <w:t>1.95</w:t>
            </w:r>
          </w:p>
        </w:tc>
      </w:tr>
      <w:tr w:rsidR="004C3F5E" w:rsidRPr="004C3F5E" w:rsidTr="009A1AF8">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4C3F5E" w:rsidRPr="004C3F5E" w:rsidRDefault="004C3F5E" w:rsidP="004C3F5E">
            <w:pPr>
              <w:spacing w:after="0" w:line="240" w:lineRule="auto"/>
              <w:rPr>
                <w:rFonts w:ascii="Calibri" w:eastAsia="Times New Roman" w:hAnsi="Calibri" w:cs="Calibri"/>
                <w:color w:val="000000"/>
              </w:rPr>
            </w:pPr>
            <w:r w:rsidRPr="004C3F5E">
              <w:rPr>
                <w:rFonts w:ascii="Calibri" w:eastAsia="Times New Roman" w:hAnsi="Calibri" w:cs="Calibri"/>
                <w:color w:val="000000"/>
              </w:rPr>
              <w:t>2005</w:t>
            </w:r>
          </w:p>
        </w:tc>
        <w:tc>
          <w:tcPr>
            <w:tcW w:w="206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4C3F5E" w:rsidRPr="004C3F5E" w:rsidRDefault="004C3F5E" w:rsidP="004C3F5E">
            <w:pPr>
              <w:spacing w:after="0" w:line="240" w:lineRule="auto"/>
              <w:rPr>
                <w:rFonts w:ascii="Calibri" w:eastAsia="Times New Roman" w:hAnsi="Calibri" w:cs="Calibri"/>
                <w:color w:val="000000"/>
              </w:rPr>
            </w:pPr>
            <w:r w:rsidRPr="004C3F5E">
              <w:rPr>
                <w:rFonts w:ascii="Calibri" w:eastAsia="Times New Roman" w:hAnsi="Calibri" w:cs="Calibri"/>
                <w:color w:val="000000"/>
              </w:rPr>
              <w:t>21</w:t>
            </w:r>
          </w:p>
        </w:tc>
        <w:tc>
          <w:tcPr>
            <w:tcW w:w="157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4C3F5E" w:rsidRPr="004C3F5E" w:rsidRDefault="004C3F5E" w:rsidP="004C3F5E">
            <w:pPr>
              <w:spacing w:after="0" w:line="240" w:lineRule="auto"/>
              <w:rPr>
                <w:rFonts w:ascii="Calibri" w:eastAsia="Times New Roman" w:hAnsi="Calibri" w:cs="Calibri"/>
                <w:color w:val="000000"/>
              </w:rPr>
            </w:pPr>
            <w:r w:rsidRPr="004C3F5E">
              <w:rPr>
                <w:rFonts w:ascii="Calibri" w:eastAsia="Times New Roman" w:hAnsi="Calibri" w:cs="Calibri"/>
                <w:color w:val="000000"/>
              </w:rPr>
              <w:t>5245404</w:t>
            </w:r>
          </w:p>
        </w:tc>
        <w:tc>
          <w:tcPr>
            <w:tcW w:w="210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4C3F5E" w:rsidRPr="004C3F5E" w:rsidRDefault="004C3F5E" w:rsidP="004C3F5E">
            <w:pPr>
              <w:spacing w:after="0" w:line="240" w:lineRule="auto"/>
              <w:rPr>
                <w:rFonts w:ascii="Calibri" w:eastAsia="Times New Roman" w:hAnsi="Calibri" w:cs="Calibri"/>
                <w:color w:val="000000"/>
              </w:rPr>
            </w:pPr>
            <w:r w:rsidRPr="004C3F5E">
              <w:rPr>
                <w:rFonts w:ascii="Calibri" w:eastAsia="Times New Roman" w:hAnsi="Calibri" w:cs="Calibri"/>
                <w:color w:val="000000"/>
              </w:rPr>
              <w:t>209816</w:t>
            </w:r>
          </w:p>
        </w:tc>
        <w:tc>
          <w:tcPr>
            <w:tcW w:w="135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4C3F5E" w:rsidRPr="004C3F5E" w:rsidRDefault="004C3F5E" w:rsidP="004C3F5E">
            <w:pPr>
              <w:spacing w:after="0" w:line="240" w:lineRule="auto"/>
              <w:rPr>
                <w:rFonts w:ascii="Calibri" w:eastAsia="Times New Roman" w:hAnsi="Calibri" w:cs="Calibri"/>
                <w:color w:val="000000"/>
              </w:rPr>
            </w:pPr>
            <w:r w:rsidRPr="004C3F5E">
              <w:rPr>
                <w:rFonts w:ascii="Calibri" w:eastAsia="Times New Roman" w:hAnsi="Calibri" w:cs="Calibri"/>
                <w:color w:val="000000"/>
              </w:rPr>
              <w:t>10.01</w:t>
            </w:r>
          </w:p>
        </w:tc>
      </w:tr>
      <w:tr w:rsidR="004C3F5E" w:rsidRPr="004C3F5E" w:rsidTr="009A1AF8">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4C3F5E" w:rsidRPr="004C3F5E" w:rsidRDefault="004C3F5E" w:rsidP="004C3F5E">
            <w:pPr>
              <w:spacing w:after="0" w:line="240" w:lineRule="auto"/>
              <w:rPr>
                <w:rFonts w:ascii="Calibri" w:eastAsia="Times New Roman" w:hAnsi="Calibri" w:cs="Calibri"/>
                <w:color w:val="000000"/>
              </w:rPr>
            </w:pPr>
            <w:r w:rsidRPr="004C3F5E">
              <w:rPr>
                <w:rFonts w:ascii="Calibri" w:eastAsia="Times New Roman" w:hAnsi="Calibri" w:cs="Calibri"/>
                <w:color w:val="000000"/>
              </w:rPr>
              <w:t>2006</w:t>
            </w:r>
          </w:p>
        </w:tc>
        <w:tc>
          <w:tcPr>
            <w:tcW w:w="206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4C3F5E" w:rsidRPr="004C3F5E" w:rsidRDefault="004C3F5E" w:rsidP="004C3F5E">
            <w:pPr>
              <w:spacing w:after="0" w:line="240" w:lineRule="auto"/>
              <w:rPr>
                <w:rFonts w:ascii="Calibri" w:eastAsia="Times New Roman" w:hAnsi="Calibri" w:cs="Calibri"/>
                <w:color w:val="000000"/>
              </w:rPr>
            </w:pPr>
            <w:r w:rsidRPr="004C3F5E">
              <w:rPr>
                <w:rFonts w:ascii="Calibri" w:eastAsia="Times New Roman" w:hAnsi="Calibri" w:cs="Calibri"/>
                <w:color w:val="000000"/>
              </w:rPr>
              <w:t>25</w:t>
            </w:r>
          </w:p>
        </w:tc>
        <w:tc>
          <w:tcPr>
            <w:tcW w:w="157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4C3F5E" w:rsidRPr="004C3F5E" w:rsidRDefault="004C3F5E" w:rsidP="004C3F5E">
            <w:pPr>
              <w:spacing w:after="0" w:line="240" w:lineRule="auto"/>
              <w:rPr>
                <w:rFonts w:ascii="Calibri" w:eastAsia="Times New Roman" w:hAnsi="Calibri" w:cs="Calibri"/>
                <w:color w:val="000000"/>
              </w:rPr>
            </w:pPr>
            <w:r w:rsidRPr="004C3F5E">
              <w:rPr>
                <w:rFonts w:ascii="Calibri" w:eastAsia="Times New Roman" w:hAnsi="Calibri" w:cs="Calibri"/>
                <w:color w:val="000000"/>
              </w:rPr>
              <w:t>5617215</w:t>
            </w:r>
          </w:p>
        </w:tc>
        <w:tc>
          <w:tcPr>
            <w:tcW w:w="210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4C3F5E" w:rsidRPr="004C3F5E" w:rsidRDefault="004C3F5E" w:rsidP="004C3F5E">
            <w:pPr>
              <w:spacing w:after="0" w:line="240" w:lineRule="auto"/>
              <w:rPr>
                <w:rFonts w:ascii="Calibri" w:eastAsia="Times New Roman" w:hAnsi="Calibri" w:cs="Calibri"/>
                <w:color w:val="000000"/>
              </w:rPr>
            </w:pPr>
            <w:r w:rsidRPr="004C3F5E">
              <w:rPr>
                <w:rFonts w:ascii="Calibri" w:eastAsia="Times New Roman" w:hAnsi="Calibri" w:cs="Calibri"/>
                <w:color w:val="000000"/>
              </w:rPr>
              <w:t>224689</w:t>
            </w:r>
          </w:p>
        </w:tc>
        <w:tc>
          <w:tcPr>
            <w:tcW w:w="135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4C3F5E" w:rsidRPr="004C3F5E" w:rsidRDefault="004C3F5E" w:rsidP="004C3F5E">
            <w:pPr>
              <w:spacing w:after="0" w:line="240" w:lineRule="auto"/>
              <w:rPr>
                <w:rFonts w:ascii="Calibri" w:eastAsia="Times New Roman" w:hAnsi="Calibri" w:cs="Calibri"/>
                <w:color w:val="000000"/>
              </w:rPr>
            </w:pPr>
            <w:r w:rsidRPr="004C3F5E">
              <w:rPr>
                <w:rFonts w:ascii="Calibri" w:eastAsia="Times New Roman" w:hAnsi="Calibri" w:cs="Calibri"/>
                <w:color w:val="000000"/>
              </w:rPr>
              <w:t>11.13</w:t>
            </w:r>
          </w:p>
        </w:tc>
      </w:tr>
      <w:tr w:rsidR="004C3F5E" w:rsidRPr="004C3F5E" w:rsidTr="009A1AF8">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4C3F5E" w:rsidRPr="004C3F5E" w:rsidRDefault="004C3F5E" w:rsidP="004C3F5E">
            <w:pPr>
              <w:spacing w:after="0" w:line="240" w:lineRule="auto"/>
              <w:rPr>
                <w:rFonts w:ascii="Calibri" w:eastAsia="Times New Roman" w:hAnsi="Calibri" w:cs="Calibri"/>
                <w:color w:val="000000"/>
              </w:rPr>
            </w:pPr>
            <w:r w:rsidRPr="004C3F5E">
              <w:rPr>
                <w:rFonts w:ascii="Calibri" w:eastAsia="Times New Roman" w:hAnsi="Calibri" w:cs="Calibri"/>
                <w:color w:val="000000"/>
              </w:rPr>
              <w:t>2007</w:t>
            </w:r>
          </w:p>
        </w:tc>
        <w:tc>
          <w:tcPr>
            <w:tcW w:w="206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4C3F5E" w:rsidRPr="004C3F5E" w:rsidRDefault="004C3F5E" w:rsidP="004C3F5E">
            <w:pPr>
              <w:spacing w:after="0" w:line="240" w:lineRule="auto"/>
              <w:rPr>
                <w:rFonts w:ascii="Calibri" w:eastAsia="Times New Roman" w:hAnsi="Calibri" w:cs="Calibri"/>
                <w:color w:val="000000"/>
              </w:rPr>
            </w:pPr>
            <w:r w:rsidRPr="004C3F5E">
              <w:rPr>
                <w:rFonts w:ascii="Calibri" w:eastAsia="Times New Roman" w:hAnsi="Calibri" w:cs="Calibri"/>
                <w:color w:val="000000"/>
              </w:rPr>
              <w:t>44</w:t>
            </w:r>
          </w:p>
        </w:tc>
        <w:tc>
          <w:tcPr>
            <w:tcW w:w="157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4C3F5E" w:rsidRPr="004C3F5E" w:rsidRDefault="004C3F5E" w:rsidP="004C3F5E">
            <w:pPr>
              <w:spacing w:after="0" w:line="240" w:lineRule="auto"/>
              <w:rPr>
                <w:rFonts w:ascii="Calibri" w:eastAsia="Times New Roman" w:hAnsi="Calibri" w:cs="Calibri"/>
                <w:color w:val="000000"/>
              </w:rPr>
            </w:pPr>
            <w:r w:rsidRPr="004C3F5E">
              <w:rPr>
                <w:rFonts w:ascii="Calibri" w:eastAsia="Times New Roman" w:hAnsi="Calibri" w:cs="Calibri"/>
                <w:color w:val="000000"/>
              </w:rPr>
              <w:t>5997193</w:t>
            </w:r>
          </w:p>
        </w:tc>
        <w:tc>
          <w:tcPr>
            <w:tcW w:w="210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4C3F5E" w:rsidRPr="004C3F5E" w:rsidRDefault="004C3F5E" w:rsidP="004C3F5E">
            <w:pPr>
              <w:spacing w:after="0" w:line="240" w:lineRule="auto"/>
              <w:rPr>
                <w:rFonts w:ascii="Calibri" w:eastAsia="Times New Roman" w:hAnsi="Calibri" w:cs="Calibri"/>
                <w:color w:val="000000"/>
              </w:rPr>
            </w:pPr>
            <w:r w:rsidRPr="004C3F5E">
              <w:rPr>
                <w:rFonts w:ascii="Calibri" w:eastAsia="Times New Roman" w:hAnsi="Calibri" w:cs="Calibri"/>
                <w:color w:val="000000"/>
              </w:rPr>
              <w:t>239888</w:t>
            </w:r>
          </w:p>
        </w:tc>
        <w:tc>
          <w:tcPr>
            <w:tcW w:w="135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4C3F5E" w:rsidRPr="004C3F5E" w:rsidRDefault="004C3F5E" w:rsidP="004C3F5E">
            <w:pPr>
              <w:spacing w:after="0" w:line="240" w:lineRule="auto"/>
              <w:rPr>
                <w:rFonts w:ascii="Calibri" w:eastAsia="Times New Roman" w:hAnsi="Calibri" w:cs="Calibri"/>
                <w:color w:val="000000"/>
              </w:rPr>
            </w:pPr>
            <w:r w:rsidRPr="004C3F5E">
              <w:rPr>
                <w:rFonts w:ascii="Calibri" w:eastAsia="Times New Roman" w:hAnsi="Calibri" w:cs="Calibri"/>
                <w:color w:val="000000"/>
              </w:rPr>
              <w:t>18.34</w:t>
            </w:r>
          </w:p>
        </w:tc>
      </w:tr>
      <w:tr w:rsidR="004C3F5E" w:rsidRPr="004C3F5E" w:rsidTr="009A1AF8">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4C3F5E" w:rsidRPr="004C3F5E" w:rsidRDefault="004C3F5E" w:rsidP="004C3F5E">
            <w:pPr>
              <w:spacing w:after="0" w:line="240" w:lineRule="auto"/>
              <w:rPr>
                <w:rFonts w:ascii="Calibri" w:eastAsia="Times New Roman" w:hAnsi="Calibri" w:cs="Calibri"/>
                <w:color w:val="000000"/>
              </w:rPr>
            </w:pPr>
            <w:r w:rsidRPr="004C3F5E">
              <w:rPr>
                <w:rFonts w:ascii="Calibri" w:eastAsia="Times New Roman" w:hAnsi="Calibri" w:cs="Calibri"/>
                <w:color w:val="000000"/>
              </w:rPr>
              <w:t>2008</w:t>
            </w:r>
          </w:p>
        </w:tc>
        <w:tc>
          <w:tcPr>
            <w:tcW w:w="206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4C3F5E" w:rsidRPr="004C3F5E" w:rsidRDefault="004C3F5E" w:rsidP="004C3F5E">
            <w:pPr>
              <w:spacing w:after="0" w:line="240" w:lineRule="auto"/>
              <w:rPr>
                <w:rFonts w:ascii="Calibri" w:eastAsia="Times New Roman" w:hAnsi="Calibri" w:cs="Calibri"/>
                <w:color w:val="000000"/>
              </w:rPr>
            </w:pPr>
            <w:r w:rsidRPr="004C3F5E">
              <w:rPr>
                <w:rFonts w:ascii="Calibri" w:eastAsia="Times New Roman" w:hAnsi="Calibri" w:cs="Calibri"/>
                <w:color w:val="000000"/>
              </w:rPr>
              <w:t>30</w:t>
            </w:r>
          </w:p>
        </w:tc>
        <w:tc>
          <w:tcPr>
            <w:tcW w:w="157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4C3F5E" w:rsidRPr="004C3F5E" w:rsidRDefault="004C3F5E" w:rsidP="004C3F5E">
            <w:pPr>
              <w:spacing w:after="0" w:line="240" w:lineRule="auto"/>
              <w:rPr>
                <w:rFonts w:ascii="Calibri" w:eastAsia="Times New Roman" w:hAnsi="Calibri" w:cs="Calibri"/>
                <w:color w:val="000000"/>
              </w:rPr>
            </w:pPr>
            <w:r w:rsidRPr="004C3F5E">
              <w:rPr>
                <w:rFonts w:ascii="Calibri" w:eastAsia="Times New Roman" w:hAnsi="Calibri" w:cs="Calibri"/>
                <w:color w:val="000000"/>
              </w:rPr>
              <w:t>6132625</w:t>
            </w:r>
          </w:p>
        </w:tc>
        <w:tc>
          <w:tcPr>
            <w:tcW w:w="210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4C3F5E" w:rsidRPr="004C3F5E" w:rsidRDefault="004C3F5E" w:rsidP="004C3F5E">
            <w:pPr>
              <w:spacing w:after="0" w:line="240" w:lineRule="auto"/>
              <w:rPr>
                <w:rFonts w:ascii="Calibri" w:eastAsia="Times New Roman" w:hAnsi="Calibri" w:cs="Calibri"/>
                <w:color w:val="000000"/>
              </w:rPr>
            </w:pPr>
            <w:r w:rsidRPr="004C3F5E">
              <w:rPr>
                <w:rFonts w:ascii="Calibri" w:eastAsia="Times New Roman" w:hAnsi="Calibri" w:cs="Calibri"/>
                <w:color w:val="000000"/>
              </w:rPr>
              <w:t>245305</w:t>
            </w:r>
          </w:p>
        </w:tc>
        <w:tc>
          <w:tcPr>
            <w:tcW w:w="135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4C3F5E" w:rsidRPr="004C3F5E" w:rsidRDefault="004C3F5E" w:rsidP="004C3F5E">
            <w:pPr>
              <w:spacing w:after="0" w:line="240" w:lineRule="auto"/>
              <w:rPr>
                <w:rFonts w:ascii="Calibri" w:eastAsia="Times New Roman" w:hAnsi="Calibri" w:cs="Calibri"/>
                <w:color w:val="000000"/>
              </w:rPr>
            </w:pPr>
            <w:r w:rsidRPr="004C3F5E">
              <w:rPr>
                <w:rFonts w:ascii="Calibri" w:eastAsia="Times New Roman" w:hAnsi="Calibri" w:cs="Calibri"/>
                <w:color w:val="000000"/>
              </w:rPr>
              <w:t>12.23</w:t>
            </w:r>
          </w:p>
        </w:tc>
      </w:tr>
      <w:tr w:rsidR="004C3F5E" w:rsidRPr="004C3F5E" w:rsidTr="009A1AF8">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4C3F5E" w:rsidRPr="004C3F5E" w:rsidRDefault="004C3F5E" w:rsidP="004C3F5E">
            <w:pPr>
              <w:spacing w:after="0" w:line="240" w:lineRule="auto"/>
              <w:rPr>
                <w:rFonts w:ascii="Calibri" w:eastAsia="Times New Roman" w:hAnsi="Calibri" w:cs="Calibri"/>
                <w:color w:val="000000"/>
              </w:rPr>
            </w:pPr>
            <w:r w:rsidRPr="004C3F5E">
              <w:rPr>
                <w:rFonts w:ascii="Calibri" w:eastAsia="Times New Roman" w:hAnsi="Calibri" w:cs="Calibri"/>
                <w:color w:val="000000"/>
              </w:rPr>
              <w:t>2009</w:t>
            </w:r>
          </w:p>
        </w:tc>
        <w:tc>
          <w:tcPr>
            <w:tcW w:w="206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4C3F5E" w:rsidRPr="004C3F5E" w:rsidRDefault="004C3F5E" w:rsidP="004C3F5E">
            <w:pPr>
              <w:spacing w:after="0" w:line="240" w:lineRule="auto"/>
              <w:rPr>
                <w:rFonts w:ascii="Calibri" w:eastAsia="Times New Roman" w:hAnsi="Calibri" w:cs="Calibri"/>
                <w:color w:val="000000"/>
              </w:rPr>
            </w:pPr>
            <w:r w:rsidRPr="004C3F5E">
              <w:rPr>
                <w:rFonts w:ascii="Calibri" w:eastAsia="Times New Roman" w:hAnsi="Calibri" w:cs="Calibri"/>
                <w:color w:val="000000"/>
              </w:rPr>
              <w:t>42</w:t>
            </w:r>
          </w:p>
        </w:tc>
        <w:tc>
          <w:tcPr>
            <w:tcW w:w="157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4C3F5E" w:rsidRPr="004C3F5E" w:rsidRDefault="004C3F5E" w:rsidP="004C3F5E">
            <w:pPr>
              <w:spacing w:after="0" w:line="240" w:lineRule="auto"/>
              <w:rPr>
                <w:rFonts w:ascii="Calibri" w:eastAsia="Times New Roman" w:hAnsi="Calibri" w:cs="Calibri"/>
                <w:color w:val="000000"/>
              </w:rPr>
            </w:pPr>
            <w:r w:rsidRPr="004C3F5E">
              <w:rPr>
                <w:rFonts w:ascii="Calibri" w:eastAsia="Times New Roman" w:hAnsi="Calibri" w:cs="Calibri"/>
                <w:color w:val="000000"/>
              </w:rPr>
              <w:t>6269285</w:t>
            </w:r>
          </w:p>
        </w:tc>
        <w:tc>
          <w:tcPr>
            <w:tcW w:w="210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4C3F5E" w:rsidRPr="004C3F5E" w:rsidRDefault="004C3F5E" w:rsidP="004C3F5E">
            <w:pPr>
              <w:spacing w:after="0" w:line="240" w:lineRule="auto"/>
              <w:rPr>
                <w:rFonts w:ascii="Calibri" w:eastAsia="Times New Roman" w:hAnsi="Calibri" w:cs="Calibri"/>
                <w:color w:val="000000"/>
              </w:rPr>
            </w:pPr>
            <w:r w:rsidRPr="004C3F5E">
              <w:rPr>
                <w:rFonts w:ascii="Calibri" w:eastAsia="Times New Roman" w:hAnsi="Calibri" w:cs="Calibri"/>
                <w:color w:val="000000"/>
              </w:rPr>
              <w:t>250771</w:t>
            </w:r>
          </w:p>
        </w:tc>
        <w:tc>
          <w:tcPr>
            <w:tcW w:w="135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4C3F5E" w:rsidRPr="004C3F5E" w:rsidRDefault="004C3F5E" w:rsidP="004C3F5E">
            <w:pPr>
              <w:spacing w:after="0" w:line="240" w:lineRule="auto"/>
              <w:rPr>
                <w:rFonts w:ascii="Calibri" w:eastAsia="Times New Roman" w:hAnsi="Calibri" w:cs="Calibri"/>
                <w:color w:val="000000"/>
              </w:rPr>
            </w:pPr>
            <w:r w:rsidRPr="004C3F5E">
              <w:rPr>
                <w:rFonts w:ascii="Calibri" w:eastAsia="Times New Roman" w:hAnsi="Calibri" w:cs="Calibri"/>
                <w:color w:val="000000"/>
              </w:rPr>
              <w:t>16.75</w:t>
            </w:r>
          </w:p>
        </w:tc>
      </w:tr>
      <w:tr w:rsidR="004C3F5E" w:rsidRPr="004C3F5E" w:rsidTr="009A1AF8">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4C3F5E" w:rsidRPr="004C3F5E" w:rsidRDefault="004C3F5E" w:rsidP="004C3F5E">
            <w:pPr>
              <w:spacing w:after="0" w:line="240" w:lineRule="auto"/>
              <w:rPr>
                <w:rFonts w:ascii="Calibri" w:eastAsia="Times New Roman" w:hAnsi="Calibri" w:cs="Calibri"/>
                <w:color w:val="000000"/>
              </w:rPr>
            </w:pPr>
            <w:r w:rsidRPr="004C3F5E">
              <w:rPr>
                <w:rFonts w:ascii="Calibri" w:eastAsia="Times New Roman" w:hAnsi="Calibri" w:cs="Calibri"/>
                <w:color w:val="000000"/>
              </w:rPr>
              <w:t>2010</w:t>
            </w:r>
          </w:p>
        </w:tc>
        <w:tc>
          <w:tcPr>
            <w:tcW w:w="206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4C3F5E" w:rsidRPr="004C3F5E" w:rsidRDefault="004C3F5E" w:rsidP="004C3F5E">
            <w:pPr>
              <w:spacing w:after="0" w:line="240" w:lineRule="auto"/>
              <w:rPr>
                <w:rFonts w:ascii="Calibri" w:eastAsia="Times New Roman" w:hAnsi="Calibri" w:cs="Calibri"/>
                <w:color w:val="000000"/>
              </w:rPr>
            </w:pPr>
            <w:r w:rsidRPr="004C3F5E">
              <w:rPr>
                <w:rFonts w:ascii="Calibri" w:eastAsia="Times New Roman" w:hAnsi="Calibri" w:cs="Calibri"/>
                <w:color w:val="000000"/>
              </w:rPr>
              <w:t>38</w:t>
            </w:r>
          </w:p>
        </w:tc>
        <w:tc>
          <w:tcPr>
            <w:tcW w:w="157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4C3F5E" w:rsidRPr="004C3F5E" w:rsidRDefault="004C3F5E" w:rsidP="004C3F5E">
            <w:pPr>
              <w:spacing w:after="0" w:line="240" w:lineRule="auto"/>
              <w:rPr>
                <w:rFonts w:ascii="Calibri" w:eastAsia="Times New Roman" w:hAnsi="Calibri" w:cs="Calibri"/>
                <w:color w:val="000000"/>
              </w:rPr>
            </w:pPr>
            <w:r w:rsidRPr="004C3F5E">
              <w:rPr>
                <w:rFonts w:ascii="Calibri" w:eastAsia="Times New Roman" w:hAnsi="Calibri" w:cs="Calibri"/>
                <w:color w:val="000000"/>
              </w:rPr>
              <w:t>6407085</w:t>
            </w:r>
          </w:p>
        </w:tc>
        <w:tc>
          <w:tcPr>
            <w:tcW w:w="210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4C3F5E" w:rsidRPr="004C3F5E" w:rsidRDefault="004C3F5E" w:rsidP="004C3F5E">
            <w:pPr>
              <w:spacing w:after="0" w:line="240" w:lineRule="auto"/>
              <w:rPr>
                <w:rFonts w:ascii="Calibri" w:eastAsia="Times New Roman" w:hAnsi="Calibri" w:cs="Calibri"/>
                <w:color w:val="000000"/>
              </w:rPr>
            </w:pPr>
            <w:r w:rsidRPr="004C3F5E">
              <w:rPr>
                <w:rFonts w:ascii="Calibri" w:eastAsia="Times New Roman" w:hAnsi="Calibri" w:cs="Calibri"/>
                <w:color w:val="000000"/>
              </w:rPr>
              <w:t>256283</w:t>
            </w:r>
          </w:p>
        </w:tc>
        <w:tc>
          <w:tcPr>
            <w:tcW w:w="135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4C3F5E" w:rsidRPr="004C3F5E" w:rsidRDefault="004C3F5E" w:rsidP="004C3F5E">
            <w:pPr>
              <w:spacing w:after="0" w:line="240" w:lineRule="auto"/>
              <w:rPr>
                <w:rFonts w:ascii="Calibri" w:eastAsia="Times New Roman" w:hAnsi="Calibri" w:cs="Calibri"/>
                <w:color w:val="000000"/>
              </w:rPr>
            </w:pPr>
            <w:r w:rsidRPr="004C3F5E">
              <w:rPr>
                <w:rFonts w:ascii="Calibri" w:eastAsia="Times New Roman" w:hAnsi="Calibri" w:cs="Calibri"/>
                <w:color w:val="000000"/>
              </w:rPr>
              <w:t>14.83</w:t>
            </w:r>
          </w:p>
        </w:tc>
      </w:tr>
      <w:tr w:rsidR="004C3F5E" w:rsidRPr="004C3F5E" w:rsidTr="009A1AF8">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4C3F5E" w:rsidRPr="004C3F5E" w:rsidRDefault="004C3F5E" w:rsidP="004C3F5E">
            <w:pPr>
              <w:spacing w:after="0" w:line="240" w:lineRule="auto"/>
              <w:rPr>
                <w:rFonts w:ascii="Calibri" w:eastAsia="Times New Roman" w:hAnsi="Calibri" w:cs="Calibri"/>
                <w:color w:val="000000"/>
              </w:rPr>
            </w:pPr>
            <w:r w:rsidRPr="004C3F5E">
              <w:rPr>
                <w:rFonts w:ascii="Calibri" w:eastAsia="Times New Roman" w:hAnsi="Calibri" w:cs="Calibri"/>
                <w:color w:val="000000"/>
              </w:rPr>
              <w:t>2011</w:t>
            </w:r>
          </w:p>
        </w:tc>
        <w:tc>
          <w:tcPr>
            <w:tcW w:w="206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4C3F5E" w:rsidRPr="004C3F5E" w:rsidRDefault="004C3F5E" w:rsidP="004C3F5E">
            <w:pPr>
              <w:spacing w:after="0" w:line="240" w:lineRule="auto"/>
              <w:rPr>
                <w:rFonts w:ascii="Calibri" w:eastAsia="Times New Roman" w:hAnsi="Calibri" w:cs="Calibri"/>
                <w:color w:val="000000"/>
              </w:rPr>
            </w:pPr>
            <w:r w:rsidRPr="004C3F5E">
              <w:rPr>
                <w:rFonts w:ascii="Calibri" w:eastAsia="Times New Roman" w:hAnsi="Calibri" w:cs="Calibri"/>
                <w:color w:val="000000"/>
              </w:rPr>
              <w:t>37</w:t>
            </w:r>
          </w:p>
        </w:tc>
        <w:tc>
          <w:tcPr>
            <w:tcW w:w="157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4C3F5E" w:rsidRPr="004C3F5E" w:rsidRDefault="004C3F5E" w:rsidP="004C3F5E">
            <w:pPr>
              <w:spacing w:after="0" w:line="240" w:lineRule="auto"/>
              <w:rPr>
                <w:rFonts w:ascii="Calibri" w:eastAsia="Times New Roman" w:hAnsi="Calibri" w:cs="Calibri"/>
                <w:color w:val="000000"/>
              </w:rPr>
            </w:pPr>
            <w:r w:rsidRPr="004C3F5E">
              <w:rPr>
                <w:rFonts w:ascii="Calibri" w:eastAsia="Times New Roman" w:hAnsi="Calibri" w:cs="Calibri"/>
                <w:color w:val="000000"/>
              </w:rPr>
              <w:t>6508271</w:t>
            </w:r>
          </w:p>
        </w:tc>
        <w:tc>
          <w:tcPr>
            <w:tcW w:w="210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4C3F5E" w:rsidRPr="004C3F5E" w:rsidRDefault="004C3F5E" w:rsidP="004C3F5E">
            <w:pPr>
              <w:spacing w:after="0" w:line="240" w:lineRule="auto"/>
              <w:rPr>
                <w:rFonts w:ascii="Calibri" w:eastAsia="Times New Roman" w:hAnsi="Calibri" w:cs="Calibri"/>
                <w:color w:val="000000"/>
              </w:rPr>
            </w:pPr>
            <w:r w:rsidRPr="004C3F5E">
              <w:rPr>
                <w:rFonts w:ascii="Calibri" w:eastAsia="Times New Roman" w:hAnsi="Calibri" w:cs="Calibri"/>
                <w:color w:val="000000"/>
              </w:rPr>
              <w:t>260331</w:t>
            </w:r>
          </w:p>
        </w:tc>
        <w:tc>
          <w:tcPr>
            <w:tcW w:w="135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4C3F5E" w:rsidRPr="004C3F5E" w:rsidRDefault="004C3F5E" w:rsidP="004C3F5E">
            <w:pPr>
              <w:spacing w:after="0" w:line="240" w:lineRule="auto"/>
              <w:rPr>
                <w:rFonts w:ascii="Calibri" w:eastAsia="Times New Roman" w:hAnsi="Calibri" w:cs="Calibri"/>
                <w:color w:val="000000"/>
              </w:rPr>
            </w:pPr>
            <w:r w:rsidRPr="004C3F5E">
              <w:rPr>
                <w:rFonts w:ascii="Calibri" w:eastAsia="Times New Roman" w:hAnsi="Calibri" w:cs="Calibri"/>
                <w:color w:val="000000"/>
              </w:rPr>
              <w:t>14.21</w:t>
            </w:r>
          </w:p>
        </w:tc>
      </w:tr>
      <w:tr w:rsidR="004C3F5E" w:rsidRPr="004C3F5E" w:rsidTr="009A1AF8">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4C3F5E" w:rsidRPr="004C3F5E" w:rsidRDefault="004C3F5E" w:rsidP="004C3F5E">
            <w:pPr>
              <w:spacing w:after="0" w:line="240" w:lineRule="auto"/>
              <w:rPr>
                <w:rFonts w:ascii="Calibri" w:eastAsia="Times New Roman" w:hAnsi="Calibri" w:cs="Calibri"/>
                <w:color w:val="000000"/>
              </w:rPr>
            </w:pPr>
            <w:r w:rsidRPr="004C3F5E">
              <w:rPr>
                <w:rFonts w:ascii="Calibri" w:eastAsia="Times New Roman" w:hAnsi="Calibri" w:cs="Calibri"/>
                <w:color w:val="000000"/>
              </w:rPr>
              <w:t>2012</w:t>
            </w:r>
          </w:p>
        </w:tc>
        <w:tc>
          <w:tcPr>
            <w:tcW w:w="206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4C3F5E" w:rsidRPr="004C3F5E" w:rsidRDefault="004C3F5E" w:rsidP="004C3F5E">
            <w:pPr>
              <w:spacing w:after="0" w:line="240" w:lineRule="auto"/>
              <w:rPr>
                <w:rFonts w:ascii="Calibri" w:eastAsia="Times New Roman" w:hAnsi="Calibri" w:cs="Calibri"/>
                <w:color w:val="000000"/>
              </w:rPr>
            </w:pPr>
            <w:r w:rsidRPr="004C3F5E">
              <w:rPr>
                <w:rFonts w:ascii="Calibri" w:eastAsia="Times New Roman" w:hAnsi="Calibri" w:cs="Calibri"/>
                <w:color w:val="000000"/>
              </w:rPr>
              <w:t>58</w:t>
            </w:r>
          </w:p>
        </w:tc>
        <w:tc>
          <w:tcPr>
            <w:tcW w:w="157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4C3F5E" w:rsidRPr="004C3F5E" w:rsidRDefault="004C3F5E" w:rsidP="004C3F5E">
            <w:pPr>
              <w:spacing w:after="0" w:line="240" w:lineRule="auto"/>
              <w:rPr>
                <w:rFonts w:ascii="Calibri" w:eastAsia="Times New Roman" w:hAnsi="Calibri" w:cs="Calibri"/>
                <w:color w:val="000000"/>
              </w:rPr>
            </w:pPr>
            <w:r w:rsidRPr="004C3F5E">
              <w:rPr>
                <w:rFonts w:ascii="Calibri" w:eastAsia="Times New Roman" w:hAnsi="Calibri" w:cs="Calibri"/>
                <w:color w:val="000000"/>
              </w:rPr>
              <w:t>6508887</w:t>
            </w:r>
          </w:p>
        </w:tc>
        <w:tc>
          <w:tcPr>
            <w:tcW w:w="210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4C3F5E" w:rsidRPr="004C3F5E" w:rsidRDefault="004C3F5E" w:rsidP="004C3F5E">
            <w:pPr>
              <w:spacing w:after="0" w:line="240" w:lineRule="auto"/>
              <w:rPr>
                <w:rFonts w:ascii="Calibri" w:eastAsia="Times New Roman" w:hAnsi="Calibri" w:cs="Calibri"/>
                <w:color w:val="000000"/>
              </w:rPr>
            </w:pPr>
            <w:r w:rsidRPr="004C3F5E">
              <w:rPr>
                <w:rFonts w:ascii="Calibri" w:eastAsia="Times New Roman" w:hAnsi="Calibri" w:cs="Calibri"/>
                <w:color w:val="000000"/>
              </w:rPr>
              <w:t>260355</w:t>
            </w:r>
          </w:p>
        </w:tc>
        <w:tc>
          <w:tcPr>
            <w:tcW w:w="135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4C3F5E" w:rsidRPr="004C3F5E" w:rsidRDefault="004C3F5E" w:rsidP="004C3F5E">
            <w:pPr>
              <w:spacing w:after="0" w:line="240" w:lineRule="auto"/>
              <w:rPr>
                <w:rFonts w:ascii="Calibri" w:eastAsia="Times New Roman" w:hAnsi="Calibri" w:cs="Calibri"/>
                <w:color w:val="000000"/>
              </w:rPr>
            </w:pPr>
            <w:r w:rsidRPr="004C3F5E">
              <w:rPr>
                <w:rFonts w:ascii="Calibri" w:eastAsia="Times New Roman" w:hAnsi="Calibri" w:cs="Calibri"/>
                <w:color w:val="000000"/>
              </w:rPr>
              <w:t>22.28</w:t>
            </w:r>
          </w:p>
        </w:tc>
      </w:tr>
      <w:tr w:rsidR="004C3F5E" w:rsidRPr="004C3F5E" w:rsidTr="009A1AF8">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4C3F5E" w:rsidRPr="004C3F5E" w:rsidRDefault="004C3F5E" w:rsidP="004C3F5E">
            <w:pPr>
              <w:spacing w:after="0" w:line="240" w:lineRule="auto"/>
              <w:rPr>
                <w:rFonts w:ascii="Calibri" w:eastAsia="Times New Roman" w:hAnsi="Calibri" w:cs="Calibri"/>
                <w:color w:val="000000"/>
              </w:rPr>
            </w:pPr>
            <w:r w:rsidRPr="004C3F5E">
              <w:rPr>
                <w:rFonts w:ascii="Calibri" w:eastAsia="Times New Roman" w:hAnsi="Calibri" w:cs="Calibri"/>
                <w:color w:val="000000"/>
              </w:rPr>
              <w:t>2013</w:t>
            </w:r>
          </w:p>
        </w:tc>
        <w:tc>
          <w:tcPr>
            <w:tcW w:w="206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4C3F5E" w:rsidRPr="004C3F5E" w:rsidRDefault="004C3F5E" w:rsidP="004C3F5E">
            <w:pPr>
              <w:spacing w:after="0" w:line="240" w:lineRule="auto"/>
              <w:rPr>
                <w:rFonts w:ascii="Calibri" w:eastAsia="Times New Roman" w:hAnsi="Calibri" w:cs="Calibri"/>
                <w:color w:val="000000"/>
              </w:rPr>
            </w:pPr>
            <w:r w:rsidRPr="004C3F5E">
              <w:rPr>
                <w:rFonts w:ascii="Calibri" w:eastAsia="Times New Roman" w:hAnsi="Calibri" w:cs="Calibri"/>
                <w:color w:val="000000"/>
              </w:rPr>
              <w:t>87</w:t>
            </w:r>
          </w:p>
        </w:tc>
        <w:tc>
          <w:tcPr>
            <w:tcW w:w="157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4C3F5E" w:rsidRPr="004C3F5E" w:rsidRDefault="004C3F5E" w:rsidP="004C3F5E">
            <w:pPr>
              <w:spacing w:after="0" w:line="240" w:lineRule="auto"/>
              <w:rPr>
                <w:rFonts w:ascii="Calibri" w:eastAsia="Times New Roman" w:hAnsi="Calibri" w:cs="Calibri"/>
                <w:color w:val="000000"/>
              </w:rPr>
            </w:pPr>
            <w:r w:rsidRPr="004C3F5E">
              <w:rPr>
                <w:rFonts w:ascii="Calibri" w:eastAsia="Times New Roman" w:hAnsi="Calibri" w:cs="Calibri"/>
                <w:color w:val="000000"/>
              </w:rPr>
              <w:t>6482081</w:t>
            </w:r>
          </w:p>
        </w:tc>
        <w:tc>
          <w:tcPr>
            <w:tcW w:w="210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4C3F5E" w:rsidRPr="004C3F5E" w:rsidRDefault="004C3F5E" w:rsidP="004C3F5E">
            <w:pPr>
              <w:spacing w:after="0" w:line="240" w:lineRule="auto"/>
              <w:rPr>
                <w:rFonts w:ascii="Calibri" w:eastAsia="Times New Roman" w:hAnsi="Calibri" w:cs="Calibri"/>
                <w:color w:val="000000"/>
              </w:rPr>
            </w:pPr>
            <w:r w:rsidRPr="004C3F5E">
              <w:rPr>
                <w:rFonts w:ascii="Calibri" w:eastAsia="Times New Roman" w:hAnsi="Calibri" w:cs="Calibri"/>
                <w:color w:val="000000"/>
              </w:rPr>
              <w:t>259283</w:t>
            </w:r>
          </w:p>
        </w:tc>
        <w:tc>
          <w:tcPr>
            <w:tcW w:w="135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4C3F5E" w:rsidRPr="004C3F5E" w:rsidRDefault="004C3F5E" w:rsidP="004C3F5E">
            <w:pPr>
              <w:spacing w:after="0" w:line="240" w:lineRule="auto"/>
              <w:rPr>
                <w:rFonts w:ascii="Calibri" w:eastAsia="Times New Roman" w:hAnsi="Calibri" w:cs="Calibri"/>
                <w:color w:val="000000"/>
              </w:rPr>
            </w:pPr>
            <w:r w:rsidRPr="004C3F5E">
              <w:rPr>
                <w:rFonts w:ascii="Calibri" w:eastAsia="Times New Roman" w:hAnsi="Calibri" w:cs="Calibri"/>
                <w:color w:val="000000"/>
              </w:rPr>
              <w:t>33.55</w:t>
            </w:r>
          </w:p>
        </w:tc>
      </w:tr>
      <w:tr w:rsidR="004C3F5E" w:rsidRPr="004C3F5E" w:rsidTr="009A1AF8">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4C3F5E" w:rsidRPr="004C3F5E" w:rsidRDefault="004C3F5E" w:rsidP="004C3F5E">
            <w:pPr>
              <w:spacing w:after="0" w:line="240" w:lineRule="auto"/>
              <w:rPr>
                <w:rFonts w:ascii="Calibri" w:eastAsia="Times New Roman" w:hAnsi="Calibri" w:cs="Calibri"/>
                <w:color w:val="000000"/>
              </w:rPr>
            </w:pPr>
            <w:r w:rsidRPr="004C3F5E">
              <w:rPr>
                <w:rFonts w:ascii="Calibri" w:eastAsia="Times New Roman" w:hAnsi="Calibri" w:cs="Calibri"/>
                <w:color w:val="000000"/>
              </w:rPr>
              <w:t>2014</w:t>
            </w:r>
          </w:p>
        </w:tc>
        <w:tc>
          <w:tcPr>
            <w:tcW w:w="206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4C3F5E" w:rsidRPr="004C3F5E" w:rsidRDefault="004C3F5E" w:rsidP="004C3F5E">
            <w:pPr>
              <w:spacing w:after="0" w:line="240" w:lineRule="auto"/>
              <w:rPr>
                <w:rFonts w:ascii="Calibri" w:eastAsia="Times New Roman" w:hAnsi="Calibri" w:cs="Calibri"/>
                <w:color w:val="000000"/>
              </w:rPr>
            </w:pPr>
            <w:r w:rsidRPr="004C3F5E">
              <w:rPr>
                <w:rFonts w:ascii="Calibri" w:eastAsia="Times New Roman" w:hAnsi="Calibri" w:cs="Calibri"/>
                <w:color w:val="000000"/>
              </w:rPr>
              <w:t>40</w:t>
            </w:r>
          </w:p>
        </w:tc>
        <w:tc>
          <w:tcPr>
            <w:tcW w:w="157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4C3F5E" w:rsidRPr="004C3F5E" w:rsidRDefault="004C3F5E" w:rsidP="004C3F5E">
            <w:pPr>
              <w:spacing w:after="0" w:line="240" w:lineRule="auto"/>
              <w:rPr>
                <w:rFonts w:ascii="Calibri" w:eastAsia="Times New Roman" w:hAnsi="Calibri" w:cs="Calibri"/>
                <w:color w:val="000000"/>
              </w:rPr>
            </w:pPr>
            <w:r w:rsidRPr="004C3F5E">
              <w:rPr>
                <w:rFonts w:ascii="Calibri" w:eastAsia="Times New Roman" w:hAnsi="Calibri" w:cs="Calibri"/>
                <w:color w:val="000000"/>
              </w:rPr>
              <w:t>6528061</w:t>
            </w:r>
          </w:p>
        </w:tc>
        <w:tc>
          <w:tcPr>
            <w:tcW w:w="210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4C3F5E" w:rsidRPr="004C3F5E" w:rsidRDefault="004C3F5E" w:rsidP="004C3F5E">
            <w:pPr>
              <w:spacing w:after="0" w:line="240" w:lineRule="auto"/>
              <w:rPr>
                <w:rFonts w:ascii="Calibri" w:eastAsia="Times New Roman" w:hAnsi="Calibri" w:cs="Calibri"/>
                <w:color w:val="000000"/>
              </w:rPr>
            </w:pPr>
            <w:r w:rsidRPr="004C3F5E">
              <w:rPr>
                <w:rFonts w:ascii="Calibri" w:eastAsia="Times New Roman" w:hAnsi="Calibri" w:cs="Calibri"/>
                <w:color w:val="000000"/>
              </w:rPr>
              <w:t>261122</w:t>
            </w:r>
          </w:p>
        </w:tc>
        <w:tc>
          <w:tcPr>
            <w:tcW w:w="135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4C3F5E" w:rsidRPr="004C3F5E" w:rsidRDefault="004C3F5E" w:rsidP="004C3F5E">
            <w:pPr>
              <w:spacing w:after="0" w:line="240" w:lineRule="auto"/>
              <w:rPr>
                <w:rFonts w:ascii="Calibri" w:eastAsia="Times New Roman" w:hAnsi="Calibri" w:cs="Calibri"/>
                <w:color w:val="000000"/>
              </w:rPr>
            </w:pPr>
            <w:r w:rsidRPr="004C3F5E">
              <w:rPr>
                <w:rFonts w:ascii="Calibri" w:eastAsia="Times New Roman" w:hAnsi="Calibri" w:cs="Calibri"/>
                <w:color w:val="000000"/>
              </w:rPr>
              <w:t>15.32</w:t>
            </w:r>
          </w:p>
        </w:tc>
      </w:tr>
    </w:tbl>
    <w:p w:rsidR="004C3F5E" w:rsidRDefault="004C3F5E" w:rsidP="003B61C8"/>
    <w:p w:rsidR="004C3F5E" w:rsidRDefault="004C3F5E" w:rsidP="003B61C8"/>
    <w:p w:rsidR="00722964" w:rsidRDefault="004C3F5E" w:rsidP="003B61C8">
      <w:r>
        <w:t xml:space="preserve"> </w:t>
      </w:r>
    </w:p>
    <w:p w:rsidR="003B61C8" w:rsidRDefault="004C3F5E" w:rsidP="003B61C8">
      <w:bookmarkStart w:id="9" w:name="_GoBack"/>
      <w:bookmarkEnd w:id="9"/>
      <w:r>
        <w:t xml:space="preserve"> </w:t>
      </w:r>
      <w:r w:rsidR="00C27BD0">
        <w:t xml:space="preserve"> </w:t>
      </w:r>
      <w:r w:rsidR="00650F06">
        <w:t>Data Tables</w:t>
      </w:r>
    </w:p>
    <w:p w:rsidR="008C01D0" w:rsidRDefault="008C01D0" w:rsidP="008C01D0">
      <w:pPr>
        <w:pStyle w:val="Caption"/>
        <w:keepNext/>
      </w:pPr>
      <w:r>
        <w:lastRenderedPageBreak/>
        <w:t xml:space="preserve">Table </w:t>
      </w:r>
      <w:r w:rsidR="00DE10EC">
        <w:fldChar w:fldCharType="begin"/>
      </w:r>
      <w:r w:rsidR="00DE10EC">
        <w:instrText xml:space="preserve"> SEQ Table \* ARABIC </w:instrText>
      </w:r>
      <w:r w:rsidR="00DE10EC">
        <w:fldChar w:fldCharType="separate"/>
      </w:r>
      <w:r w:rsidR="00722964">
        <w:rPr>
          <w:noProof/>
        </w:rPr>
        <w:t>5</w:t>
      </w:r>
      <w:r w:rsidR="00DE10EC">
        <w:rPr>
          <w:noProof/>
        </w:rPr>
        <w:fldChar w:fldCharType="end"/>
      </w:r>
      <w:r>
        <w:t>: One way sensitivity analysis results</w:t>
      </w:r>
      <w:r w:rsidR="00695509">
        <w:t>.  The “Ranges” columns show the absolute value of the range from high to low for each of the three result values.  Red indicates the largest magnitude change and white the smallest.</w:t>
      </w:r>
    </w:p>
    <w:tbl>
      <w:tblPr>
        <w:tblW w:w="5000" w:type="pct"/>
        <w:tblLayout w:type="fixed"/>
        <w:tblLook w:val="04A0" w:firstRow="1" w:lastRow="0" w:firstColumn="1" w:lastColumn="0" w:noHBand="0" w:noVBand="1"/>
      </w:tblPr>
      <w:tblGrid>
        <w:gridCol w:w="1276"/>
        <w:gridCol w:w="754"/>
        <w:gridCol w:w="754"/>
        <w:gridCol w:w="754"/>
        <w:gridCol w:w="502"/>
        <w:gridCol w:w="253"/>
        <w:gridCol w:w="755"/>
        <w:gridCol w:w="755"/>
        <w:gridCol w:w="755"/>
        <w:gridCol w:w="249"/>
        <w:gridCol w:w="506"/>
        <w:gridCol w:w="755"/>
        <w:gridCol w:w="755"/>
        <w:gridCol w:w="753"/>
      </w:tblGrid>
      <w:tr w:rsidR="00D02E81" w:rsidRPr="00722964" w:rsidTr="00722964">
        <w:trPr>
          <w:trHeight w:val="300"/>
        </w:trPr>
        <w:tc>
          <w:tcPr>
            <w:tcW w:w="667" w:type="pct"/>
            <w:tcBorders>
              <w:top w:val="single" w:sz="8" w:space="0" w:color="auto"/>
              <w:left w:val="single" w:sz="8" w:space="0" w:color="auto"/>
              <w:bottom w:val="nil"/>
              <w:right w:val="single" w:sz="4" w:space="0" w:color="auto"/>
            </w:tcBorders>
            <w:shd w:val="clear" w:color="000000" w:fill="A6A6A6"/>
            <w:noWrap/>
            <w:vAlign w:val="bottom"/>
            <w:hideMark/>
          </w:tcPr>
          <w:p w:rsidR="00D02E81" w:rsidRPr="00722964" w:rsidRDefault="00D02E81" w:rsidP="00D02E81">
            <w:pPr>
              <w:spacing w:after="0" w:line="240" w:lineRule="auto"/>
              <w:rPr>
                <w:rFonts w:ascii="Calibri" w:eastAsia="Times New Roman" w:hAnsi="Calibri" w:cs="Calibri"/>
                <w:color w:val="000000"/>
                <w:sz w:val="14"/>
              </w:rPr>
            </w:pPr>
            <w:r w:rsidRPr="00722964">
              <w:rPr>
                <w:rFonts w:ascii="Calibri" w:eastAsia="Times New Roman" w:hAnsi="Calibri" w:cs="Calibri"/>
                <w:color w:val="000000"/>
                <w:sz w:val="14"/>
              </w:rPr>
              <w:t> </w:t>
            </w:r>
          </w:p>
        </w:tc>
        <w:tc>
          <w:tcPr>
            <w:tcW w:w="1444" w:type="pct"/>
            <w:gridSpan w:val="4"/>
            <w:tcBorders>
              <w:top w:val="single" w:sz="4" w:space="0" w:color="auto"/>
              <w:left w:val="nil"/>
              <w:bottom w:val="single" w:sz="4" w:space="0" w:color="auto"/>
              <w:right w:val="single" w:sz="4" w:space="0" w:color="000000"/>
            </w:tcBorders>
            <w:shd w:val="clear" w:color="000000" w:fill="A6A6A6"/>
            <w:noWrap/>
            <w:vAlign w:val="bottom"/>
            <w:hideMark/>
          </w:tcPr>
          <w:p w:rsidR="00D02E81" w:rsidRPr="00722964" w:rsidRDefault="00D02E81" w:rsidP="00D02E81">
            <w:pPr>
              <w:spacing w:after="0" w:line="240" w:lineRule="auto"/>
              <w:jc w:val="center"/>
              <w:rPr>
                <w:rFonts w:ascii="Calibri" w:eastAsia="Times New Roman" w:hAnsi="Calibri" w:cs="Calibri"/>
                <w:b/>
                <w:bCs/>
                <w:color w:val="000000"/>
                <w:sz w:val="14"/>
              </w:rPr>
            </w:pPr>
            <w:r w:rsidRPr="00722964">
              <w:rPr>
                <w:rFonts w:ascii="Calibri" w:eastAsia="Times New Roman" w:hAnsi="Calibri" w:cs="Calibri"/>
                <w:b/>
                <w:bCs/>
                <w:color w:val="000000"/>
                <w:sz w:val="14"/>
              </w:rPr>
              <w:t>Low Values</w:t>
            </w:r>
          </w:p>
        </w:tc>
        <w:tc>
          <w:tcPr>
            <w:tcW w:w="1444" w:type="pct"/>
            <w:gridSpan w:val="5"/>
            <w:tcBorders>
              <w:top w:val="single" w:sz="4" w:space="0" w:color="auto"/>
              <w:left w:val="nil"/>
              <w:bottom w:val="single" w:sz="4" w:space="0" w:color="auto"/>
              <w:right w:val="nil"/>
            </w:tcBorders>
            <w:shd w:val="clear" w:color="000000" w:fill="A6A6A6"/>
            <w:noWrap/>
            <w:vAlign w:val="bottom"/>
            <w:hideMark/>
          </w:tcPr>
          <w:p w:rsidR="00D02E81" w:rsidRPr="00722964" w:rsidRDefault="00D02E81" w:rsidP="00D02E81">
            <w:pPr>
              <w:spacing w:after="0" w:line="240" w:lineRule="auto"/>
              <w:jc w:val="center"/>
              <w:rPr>
                <w:rFonts w:ascii="Calibri" w:eastAsia="Times New Roman" w:hAnsi="Calibri" w:cs="Calibri"/>
                <w:b/>
                <w:bCs/>
                <w:color w:val="000000"/>
                <w:sz w:val="14"/>
              </w:rPr>
            </w:pPr>
            <w:r w:rsidRPr="00722964">
              <w:rPr>
                <w:rFonts w:ascii="Calibri" w:eastAsia="Times New Roman" w:hAnsi="Calibri" w:cs="Calibri"/>
                <w:b/>
                <w:bCs/>
                <w:color w:val="000000"/>
                <w:sz w:val="14"/>
              </w:rPr>
              <w:t>High Values</w:t>
            </w:r>
          </w:p>
        </w:tc>
        <w:tc>
          <w:tcPr>
            <w:tcW w:w="1444" w:type="pct"/>
            <w:gridSpan w:val="4"/>
            <w:tcBorders>
              <w:top w:val="single" w:sz="4" w:space="0" w:color="auto"/>
              <w:left w:val="single" w:sz="4" w:space="0" w:color="auto"/>
              <w:bottom w:val="single" w:sz="4" w:space="0" w:color="auto"/>
              <w:right w:val="single" w:sz="4" w:space="0" w:color="000000"/>
            </w:tcBorders>
            <w:shd w:val="clear" w:color="000000" w:fill="A6A6A6"/>
            <w:noWrap/>
            <w:vAlign w:val="bottom"/>
            <w:hideMark/>
          </w:tcPr>
          <w:p w:rsidR="00D02E81" w:rsidRPr="00722964" w:rsidRDefault="00D02E81" w:rsidP="00D02E81">
            <w:pPr>
              <w:spacing w:after="0" w:line="240" w:lineRule="auto"/>
              <w:jc w:val="center"/>
              <w:rPr>
                <w:rFonts w:ascii="Calibri" w:eastAsia="Times New Roman" w:hAnsi="Calibri" w:cs="Calibri"/>
                <w:b/>
                <w:bCs/>
                <w:color w:val="000000"/>
                <w:sz w:val="14"/>
              </w:rPr>
            </w:pPr>
            <w:r w:rsidRPr="00722964">
              <w:rPr>
                <w:rFonts w:ascii="Calibri" w:eastAsia="Times New Roman" w:hAnsi="Calibri" w:cs="Calibri"/>
                <w:b/>
                <w:bCs/>
                <w:color w:val="000000"/>
                <w:sz w:val="14"/>
              </w:rPr>
              <w:t>Ranges</w:t>
            </w:r>
          </w:p>
        </w:tc>
      </w:tr>
      <w:tr w:rsidR="00722964" w:rsidRPr="00722964" w:rsidTr="00722964">
        <w:trPr>
          <w:trHeight w:val="915"/>
        </w:trPr>
        <w:tc>
          <w:tcPr>
            <w:tcW w:w="667" w:type="pct"/>
            <w:tcBorders>
              <w:top w:val="nil"/>
              <w:left w:val="single" w:sz="8" w:space="0" w:color="auto"/>
              <w:bottom w:val="single" w:sz="8" w:space="0" w:color="auto"/>
              <w:right w:val="single" w:sz="4" w:space="0" w:color="auto"/>
            </w:tcBorders>
            <w:shd w:val="clear" w:color="000000" w:fill="A6A6A6"/>
            <w:noWrap/>
            <w:vAlign w:val="bottom"/>
            <w:hideMark/>
          </w:tcPr>
          <w:p w:rsidR="00D02E81" w:rsidRPr="00722964" w:rsidRDefault="00D02E81" w:rsidP="00D02E81">
            <w:pPr>
              <w:spacing w:after="0" w:line="240" w:lineRule="auto"/>
              <w:jc w:val="center"/>
              <w:rPr>
                <w:rFonts w:ascii="Calibri" w:eastAsia="Times New Roman" w:hAnsi="Calibri" w:cs="Calibri"/>
                <w:b/>
                <w:bCs/>
                <w:color w:val="000000"/>
                <w:sz w:val="14"/>
              </w:rPr>
            </w:pPr>
            <w:r w:rsidRPr="00722964">
              <w:rPr>
                <w:rFonts w:ascii="Calibri" w:eastAsia="Times New Roman" w:hAnsi="Calibri" w:cs="Calibri"/>
                <w:b/>
                <w:bCs/>
                <w:color w:val="000000"/>
                <w:sz w:val="14"/>
              </w:rPr>
              <w:t>Parameter</w:t>
            </w:r>
          </w:p>
        </w:tc>
        <w:tc>
          <w:tcPr>
            <w:tcW w:w="394" w:type="pct"/>
            <w:tcBorders>
              <w:top w:val="nil"/>
              <w:left w:val="nil"/>
              <w:bottom w:val="single" w:sz="8" w:space="0" w:color="auto"/>
              <w:right w:val="nil"/>
            </w:tcBorders>
            <w:shd w:val="clear" w:color="000000" w:fill="A6A6A6"/>
            <w:vAlign w:val="bottom"/>
            <w:hideMark/>
          </w:tcPr>
          <w:p w:rsidR="00D02E81" w:rsidRPr="00722964" w:rsidRDefault="00D02E81" w:rsidP="00D02E81">
            <w:pPr>
              <w:spacing w:after="0" w:line="240" w:lineRule="auto"/>
              <w:jc w:val="center"/>
              <w:rPr>
                <w:rFonts w:ascii="Calibri" w:eastAsia="Times New Roman" w:hAnsi="Calibri" w:cs="Calibri"/>
                <w:b/>
                <w:bCs/>
                <w:color w:val="000000"/>
                <w:sz w:val="14"/>
              </w:rPr>
            </w:pPr>
            <w:r w:rsidRPr="00722964">
              <w:rPr>
                <w:rFonts w:ascii="Calibri" w:eastAsia="Times New Roman" w:hAnsi="Calibri" w:cs="Calibri"/>
                <w:b/>
                <w:bCs/>
                <w:color w:val="000000"/>
                <w:sz w:val="14"/>
              </w:rPr>
              <w:t>Indirect Costs</w:t>
            </w:r>
          </w:p>
        </w:tc>
        <w:tc>
          <w:tcPr>
            <w:tcW w:w="394" w:type="pct"/>
            <w:tcBorders>
              <w:top w:val="nil"/>
              <w:left w:val="nil"/>
              <w:bottom w:val="single" w:sz="8" w:space="0" w:color="auto"/>
              <w:right w:val="nil"/>
            </w:tcBorders>
            <w:shd w:val="clear" w:color="000000" w:fill="A6A6A6"/>
            <w:vAlign w:val="bottom"/>
            <w:hideMark/>
          </w:tcPr>
          <w:p w:rsidR="00D02E81" w:rsidRPr="00722964" w:rsidRDefault="00D02E81" w:rsidP="00D02E81">
            <w:pPr>
              <w:spacing w:after="0" w:line="240" w:lineRule="auto"/>
              <w:jc w:val="center"/>
              <w:rPr>
                <w:rFonts w:ascii="Calibri" w:eastAsia="Times New Roman" w:hAnsi="Calibri" w:cs="Calibri"/>
                <w:b/>
                <w:bCs/>
                <w:color w:val="000000"/>
                <w:sz w:val="14"/>
              </w:rPr>
            </w:pPr>
            <w:r w:rsidRPr="00722964">
              <w:rPr>
                <w:rFonts w:ascii="Calibri" w:eastAsia="Times New Roman" w:hAnsi="Calibri" w:cs="Calibri"/>
                <w:b/>
                <w:bCs/>
                <w:color w:val="000000"/>
                <w:sz w:val="14"/>
              </w:rPr>
              <w:t>Total Costs</w:t>
            </w:r>
          </w:p>
        </w:tc>
        <w:tc>
          <w:tcPr>
            <w:tcW w:w="394" w:type="pct"/>
            <w:tcBorders>
              <w:top w:val="nil"/>
              <w:left w:val="nil"/>
              <w:bottom w:val="single" w:sz="8" w:space="0" w:color="auto"/>
              <w:right w:val="nil"/>
            </w:tcBorders>
            <w:shd w:val="clear" w:color="000000" w:fill="A6A6A6"/>
            <w:vAlign w:val="bottom"/>
            <w:hideMark/>
          </w:tcPr>
          <w:p w:rsidR="00D02E81" w:rsidRPr="00722964" w:rsidRDefault="00D02E81" w:rsidP="00D02E81">
            <w:pPr>
              <w:spacing w:after="0" w:line="240" w:lineRule="auto"/>
              <w:jc w:val="center"/>
              <w:rPr>
                <w:rFonts w:ascii="Calibri" w:eastAsia="Times New Roman" w:hAnsi="Calibri" w:cs="Calibri"/>
                <w:b/>
                <w:bCs/>
                <w:color w:val="000000"/>
                <w:sz w:val="14"/>
              </w:rPr>
            </w:pPr>
            <w:r w:rsidRPr="00722964">
              <w:rPr>
                <w:rFonts w:ascii="Calibri" w:eastAsia="Times New Roman" w:hAnsi="Calibri" w:cs="Calibri"/>
                <w:b/>
                <w:bCs/>
                <w:color w:val="000000"/>
                <w:sz w:val="14"/>
              </w:rPr>
              <w:t>QALY</w:t>
            </w:r>
          </w:p>
        </w:tc>
        <w:tc>
          <w:tcPr>
            <w:tcW w:w="394" w:type="pct"/>
            <w:gridSpan w:val="2"/>
            <w:tcBorders>
              <w:top w:val="nil"/>
              <w:left w:val="nil"/>
              <w:bottom w:val="single" w:sz="8" w:space="0" w:color="auto"/>
              <w:right w:val="single" w:sz="4" w:space="0" w:color="auto"/>
            </w:tcBorders>
            <w:shd w:val="clear" w:color="000000" w:fill="A6A6A6"/>
            <w:vAlign w:val="bottom"/>
            <w:hideMark/>
          </w:tcPr>
          <w:p w:rsidR="00D02E81" w:rsidRPr="00722964" w:rsidRDefault="00D02E81" w:rsidP="00D02E81">
            <w:pPr>
              <w:spacing w:after="0" w:line="240" w:lineRule="auto"/>
              <w:jc w:val="center"/>
              <w:rPr>
                <w:rFonts w:ascii="Calibri" w:eastAsia="Times New Roman" w:hAnsi="Calibri" w:cs="Calibri"/>
                <w:b/>
                <w:bCs/>
                <w:color w:val="000000"/>
                <w:sz w:val="14"/>
              </w:rPr>
            </w:pPr>
            <w:r w:rsidRPr="00722964">
              <w:rPr>
                <w:rFonts w:ascii="Calibri" w:eastAsia="Times New Roman" w:hAnsi="Calibri" w:cs="Calibri"/>
                <w:b/>
                <w:bCs/>
                <w:color w:val="000000"/>
                <w:sz w:val="14"/>
              </w:rPr>
              <w:t>Years to Cost Savings</w:t>
            </w:r>
          </w:p>
        </w:tc>
        <w:tc>
          <w:tcPr>
            <w:tcW w:w="394" w:type="pct"/>
            <w:tcBorders>
              <w:top w:val="nil"/>
              <w:left w:val="nil"/>
              <w:bottom w:val="single" w:sz="8" w:space="0" w:color="auto"/>
              <w:right w:val="nil"/>
            </w:tcBorders>
            <w:shd w:val="clear" w:color="000000" w:fill="A6A6A6"/>
            <w:vAlign w:val="bottom"/>
            <w:hideMark/>
          </w:tcPr>
          <w:p w:rsidR="00D02E81" w:rsidRPr="00722964" w:rsidRDefault="00D02E81" w:rsidP="00D02E81">
            <w:pPr>
              <w:spacing w:after="0" w:line="240" w:lineRule="auto"/>
              <w:jc w:val="center"/>
              <w:rPr>
                <w:rFonts w:ascii="Calibri" w:eastAsia="Times New Roman" w:hAnsi="Calibri" w:cs="Calibri"/>
                <w:b/>
                <w:bCs/>
                <w:color w:val="000000"/>
                <w:sz w:val="14"/>
              </w:rPr>
            </w:pPr>
            <w:r w:rsidRPr="00722964">
              <w:rPr>
                <w:rFonts w:ascii="Calibri" w:eastAsia="Times New Roman" w:hAnsi="Calibri" w:cs="Calibri"/>
                <w:b/>
                <w:bCs/>
                <w:color w:val="000000"/>
                <w:sz w:val="14"/>
              </w:rPr>
              <w:t>Indirect Costs</w:t>
            </w:r>
          </w:p>
        </w:tc>
        <w:tc>
          <w:tcPr>
            <w:tcW w:w="394" w:type="pct"/>
            <w:tcBorders>
              <w:top w:val="nil"/>
              <w:left w:val="nil"/>
              <w:bottom w:val="single" w:sz="8" w:space="0" w:color="auto"/>
              <w:right w:val="nil"/>
            </w:tcBorders>
            <w:shd w:val="clear" w:color="000000" w:fill="A6A6A6"/>
            <w:vAlign w:val="bottom"/>
            <w:hideMark/>
          </w:tcPr>
          <w:p w:rsidR="00D02E81" w:rsidRPr="00722964" w:rsidRDefault="00D02E81" w:rsidP="00D02E81">
            <w:pPr>
              <w:spacing w:after="0" w:line="240" w:lineRule="auto"/>
              <w:jc w:val="center"/>
              <w:rPr>
                <w:rFonts w:ascii="Calibri" w:eastAsia="Times New Roman" w:hAnsi="Calibri" w:cs="Calibri"/>
                <w:b/>
                <w:bCs/>
                <w:color w:val="000000"/>
                <w:sz w:val="14"/>
              </w:rPr>
            </w:pPr>
            <w:r w:rsidRPr="00722964">
              <w:rPr>
                <w:rFonts w:ascii="Calibri" w:eastAsia="Times New Roman" w:hAnsi="Calibri" w:cs="Calibri"/>
                <w:b/>
                <w:bCs/>
                <w:color w:val="000000"/>
                <w:sz w:val="14"/>
              </w:rPr>
              <w:t>Total Costs</w:t>
            </w:r>
          </w:p>
        </w:tc>
        <w:tc>
          <w:tcPr>
            <w:tcW w:w="394" w:type="pct"/>
            <w:tcBorders>
              <w:top w:val="nil"/>
              <w:left w:val="nil"/>
              <w:bottom w:val="single" w:sz="8" w:space="0" w:color="auto"/>
              <w:right w:val="nil"/>
            </w:tcBorders>
            <w:shd w:val="clear" w:color="000000" w:fill="A6A6A6"/>
            <w:vAlign w:val="bottom"/>
            <w:hideMark/>
          </w:tcPr>
          <w:p w:rsidR="00D02E81" w:rsidRPr="00722964" w:rsidRDefault="00D02E81" w:rsidP="00D02E81">
            <w:pPr>
              <w:spacing w:after="0" w:line="240" w:lineRule="auto"/>
              <w:jc w:val="center"/>
              <w:rPr>
                <w:rFonts w:ascii="Calibri" w:eastAsia="Times New Roman" w:hAnsi="Calibri" w:cs="Calibri"/>
                <w:b/>
                <w:bCs/>
                <w:color w:val="000000"/>
                <w:sz w:val="14"/>
              </w:rPr>
            </w:pPr>
            <w:r w:rsidRPr="00722964">
              <w:rPr>
                <w:rFonts w:ascii="Calibri" w:eastAsia="Times New Roman" w:hAnsi="Calibri" w:cs="Calibri"/>
                <w:b/>
                <w:bCs/>
                <w:color w:val="000000"/>
                <w:sz w:val="14"/>
              </w:rPr>
              <w:t>QALY</w:t>
            </w:r>
          </w:p>
        </w:tc>
        <w:tc>
          <w:tcPr>
            <w:tcW w:w="394" w:type="pct"/>
            <w:gridSpan w:val="2"/>
            <w:tcBorders>
              <w:top w:val="nil"/>
              <w:left w:val="nil"/>
              <w:bottom w:val="single" w:sz="8" w:space="0" w:color="auto"/>
              <w:right w:val="nil"/>
            </w:tcBorders>
            <w:shd w:val="clear" w:color="000000" w:fill="A6A6A6"/>
            <w:vAlign w:val="bottom"/>
            <w:hideMark/>
          </w:tcPr>
          <w:p w:rsidR="00D02E81" w:rsidRPr="00722964" w:rsidRDefault="00D02E81" w:rsidP="00D02E81">
            <w:pPr>
              <w:spacing w:after="0" w:line="240" w:lineRule="auto"/>
              <w:jc w:val="center"/>
              <w:rPr>
                <w:rFonts w:ascii="Calibri" w:eastAsia="Times New Roman" w:hAnsi="Calibri" w:cs="Calibri"/>
                <w:b/>
                <w:bCs/>
                <w:color w:val="000000"/>
                <w:sz w:val="14"/>
              </w:rPr>
            </w:pPr>
            <w:r w:rsidRPr="00722964">
              <w:rPr>
                <w:rFonts w:ascii="Calibri" w:eastAsia="Times New Roman" w:hAnsi="Calibri" w:cs="Calibri"/>
                <w:b/>
                <w:bCs/>
                <w:color w:val="000000"/>
                <w:sz w:val="14"/>
              </w:rPr>
              <w:t>Years to Cost Savings</w:t>
            </w:r>
          </w:p>
        </w:tc>
        <w:tc>
          <w:tcPr>
            <w:tcW w:w="394" w:type="pct"/>
            <w:tcBorders>
              <w:top w:val="nil"/>
              <w:left w:val="single" w:sz="4" w:space="0" w:color="auto"/>
              <w:bottom w:val="single" w:sz="4" w:space="0" w:color="auto"/>
              <w:right w:val="nil"/>
            </w:tcBorders>
            <w:shd w:val="clear" w:color="000000" w:fill="A6A6A6"/>
            <w:vAlign w:val="bottom"/>
            <w:hideMark/>
          </w:tcPr>
          <w:p w:rsidR="00D02E81" w:rsidRPr="00722964" w:rsidRDefault="00D02E81" w:rsidP="00D02E81">
            <w:pPr>
              <w:spacing w:after="0" w:line="240" w:lineRule="auto"/>
              <w:jc w:val="center"/>
              <w:rPr>
                <w:rFonts w:ascii="Calibri" w:eastAsia="Times New Roman" w:hAnsi="Calibri" w:cs="Calibri"/>
                <w:b/>
                <w:bCs/>
                <w:color w:val="000000"/>
                <w:sz w:val="14"/>
              </w:rPr>
            </w:pPr>
            <w:r w:rsidRPr="00722964">
              <w:rPr>
                <w:rFonts w:ascii="Calibri" w:eastAsia="Times New Roman" w:hAnsi="Calibri" w:cs="Calibri"/>
                <w:b/>
                <w:bCs/>
                <w:color w:val="000000"/>
                <w:sz w:val="14"/>
              </w:rPr>
              <w:t>Years to Cost Saving</w:t>
            </w:r>
          </w:p>
        </w:tc>
        <w:tc>
          <w:tcPr>
            <w:tcW w:w="394" w:type="pct"/>
            <w:tcBorders>
              <w:top w:val="nil"/>
              <w:left w:val="nil"/>
              <w:bottom w:val="single" w:sz="4" w:space="0" w:color="auto"/>
              <w:right w:val="nil"/>
            </w:tcBorders>
            <w:shd w:val="clear" w:color="000000" w:fill="A6A6A6"/>
            <w:vAlign w:val="bottom"/>
            <w:hideMark/>
          </w:tcPr>
          <w:p w:rsidR="00D02E81" w:rsidRPr="00722964" w:rsidRDefault="00D02E81" w:rsidP="00D02E81">
            <w:pPr>
              <w:spacing w:after="0" w:line="240" w:lineRule="auto"/>
              <w:jc w:val="center"/>
              <w:rPr>
                <w:rFonts w:ascii="Calibri" w:eastAsia="Times New Roman" w:hAnsi="Calibri" w:cs="Calibri"/>
                <w:b/>
                <w:bCs/>
                <w:color w:val="000000"/>
                <w:sz w:val="14"/>
              </w:rPr>
            </w:pPr>
            <w:r w:rsidRPr="00722964">
              <w:rPr>
                <w:rFonts w:ascii="Calibri" w:eastAsia="Times New Roman" w:hAnsi="Calibri" w:cs="Calibri"/>
                <w:b/>
                <w:bCs/>
                <w:color w:val="000000"/>
                <w:sz w:val="14"/>
              </w:rPr>
              <w:t>Costs</w:t>
            </w:r>
          </w:p>
        </w:tc>
        <w:tc>
          <w:tcPr>
            <w:tcW w:w="394" w:type="pct"/>
            <w:tcBorders>
              <w:top w:val="nil"/>
              <w:left w:val="nil"/>
              <w:bottom w:val="single" w:sz="4" w:space="0" w:color="auto"/>
              <w:right w:val="single" w:sz="4" w:space="0" w:color="auto"/>
            </w:tcBorders>
            <w:shd w:val="clear" w:color="000000" w:fill="A6A6A6"/>
            <w:vAlign w:val="bottom"/>
            <w:hideMark/>
          </w:tcPr>
          <w:p w:rsidR="00D02E81" w:rsidRPr="00722964" w:rsidRDefault="00D02E81" w:rsidP="00D02E81">
            <w:pPr>
              <w:spacing w:after="0" w:line="240" w:lineRule="auto"/>
              <w:jc w:val="center"/>
              <w:rPr>
                <w:rFonts w:ascii="Calibri" w:eastAsia="Times New Roman" w:hAnsi="Calibri" w:cs="Calibri"/>
                <w:b/>
                <w:bCs/>
                <w:color w:val="000000"/>
                <w:sz w:val="14"/>
              </w:rPr>
            </w:pPr>
            <w:r w:rsidRPr="00722964">
              <w:rPr>
                <w:rFonts w:ascii="Calibri" w:eastAsia="Times New Roman" w:hAnsi="Calibri" w:cs="Calibri"/>
                <w:b/>
                <w:bCs/>
                <w:color w:val="000000"/>
                <w:sz w:val="14"/>
              </w:rPr>
              <w:t>QALYs</w:t>
            </w:r>
          </w:p>
        </w:tc>
      </w:tr>
      <w:tr w:rsidR="00722964" w:rsidRPr="00722964" w:rsidTr="00722964">
        <w:trPr>
          <w:trHeight w:val="300"/>
        </w:trPr>
        <w:tc>
          <w:tcPr>
            <w:tcW w:w="667" w:type="pct"/>
            <w:tcBorders>
              <w:top w:val="nil"/>
              <w:left w:val="single" w:sz="8" w:space="0" w:color="auto"/>
              <w:bottom w:val="nil"/>
              <w:right w:val="single" w:sz="4" w:space="0" w:color="auto"/>
            </w:tcBorders>
            <w:shd w:val="clear" w:color="000000" w:fill="FFFF00"/>
            <w:noWrap/>
            <w:vAlign w:val="bottom"/>
            <w:hideMark/>
          </w:tcPr>
          <w:p w:rsidR="00D02E81" w:rsidRPr="00722964" w:rsidRDefault="00D02E81" w:rsidP="00D02E81">
            <w:pPr>
              <w:spacing w:after="0" w:line="240" w:lineRule="auto"/>
              <w:rPr>
                <w:rFonts w:ascii="Calibri" w:eastAsia="Times New Roman" w:hAnsi="Calibri" w:cs="Calibri"/>
                <w:b/>
                <w:bCs/>
                <w:color w:val="000000"/>
                <w:sz w:val="14"/>
              </w:rPr>
            </w:pPr>
            <w:r w:rsidRPr="00722964">
              <w:rPr>
                <w:rFonts w:ascii="Calibri" w:eastAsia="Times New Roman" w:hAnsi="Calibri" w:cs="Calibri"/>
                <w:b/>
                <w:bCs/>
                <w:color w:val="000000"/>
                <w:sz w:val="14"/>
              </w:rPr>
              <w:t>Outpatient cost</w:t>
            </w:r>
          </w:p>
        </w:tc>
        <w:tc>
          <w:tcPr>
            <w:tcW w:w="394" w:type="pct"/>
            <w:tcBorders>
              <w:top w:val="nil"/>
              <w:left w:val="nil"/>
              <w:bottom w:val="nil"/>
              <w:right w:val="nil"/>
            </w:tcBorders>
            <w:shd w:val="clear" w:color="000000" w:fill="FFFF00"/>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-1.72803</w:t>
            </w:r>
          </w:p>
        </w:tc>
        <w:tc>
          <w:tcPr>
            <w:tcW w:w="394" w:type="pct"/>
            <w:tcBorders>
              <w:top w:val="nil"/>
              <w:left w:val="nil"/>
              <w:bottom w:val="nil"/>
              <w:right w:val="nil"/>
            </w:tcBorders>
            <w:shd w:val="clear" w:color="000000" w:fill="FFFF00"/>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-0.158283</w:t>
            </w:r>
          </w:p>
        </w:tc>
        <w:tc>
          <w:tcPr>
            <w:tcW w:w="394" w:type="pct"/>
            <w:tcBorders>
              <w:top w:val="nil"/>
              <w:left w:val="nil"/>
              <w:bottom w:val="nil"/>
              <w:right w:val="nil"/>
            </w:tcBorders>
            <w:shd w:val="clear" w:color="000000" w:fill="FFFF00"/>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0.00462</w:t>
            </w:r>
          </w:p>
        </w:tc>
        <w:tc>
          <w:tcPr>
            <w:tcW w:w="394" w:type="pct"/>
            <w:gridSpan w:val="2"/>
            <w:tcBorders>
              <w:top w:val="nil"/>
              <w:left w:val="nil"/>
              <w:bottom w:val="nil"/>
              <w:right w:val="single" w:sz="4" w:space="0" w:color="auto"/>
            </w:tcBorders>
            <w:shd w:val="clear" w:color="000000" w:fill="FFFF00"/>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45.5259</w:t>
            </w:r>
          </w:p>
        </w:tc>
        <w:tc>
          <w:tcPr>
            <w:tcW w:w="394" w:type="pct"/>
            <w:tcBorders>
              <w:top w:val="nil"/>
              <w:left w:val="nil"/>
              <w:bottom w:val="nil"/>
              <w:right w:val="nil"/>
            </w:tcBorders>
            <w:shd w:val="clear" w:color="000000" w:fill="FFFF00"/>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-1.72803</w:t>
            </w:r>
          </w:p>
        </w:tc>
        <w:tc>
          <w:tcPr>
            <w:tcW w:w="394" w:type="pct"/>
            <w:tcBorders>
              <w:top w:val="nil"/>
              <w:left w:val="nil"/>
              <w:bottom w:val="nil"/>
              <w:right w:val="nil"/>
            </w:tcBorders>
            <w:shd w:val="clear" w:color="000000" w:fill="FFFF00"/>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-8.09278</w:t>
            </w:r>
          </w:p>
        </w:tc>
        <w:tc>
          <w:tcPr>
            <w:tcW w:w="394" w:type="pct"/>
            <w:tcBorders>
              <w:top w:val="nil"/>
              <w:left w:val="nil"/>
              <w:bottom w:val="nil"/>
              <w:right w:val="nil"/>
            </w:tcBorders>
            <w:shd w:val="clear" w:color="000000" w:fill="FFFF00"/>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0.00462</w:t>
            </w:r>
          </w:p>
        </w:tc>
        <w:tc>
          <w:tcPr>
            <w:tcW w:w="394" w:type="pct"/>
            <w:gridSpan w:val="2"/>
            <w:tcBorders>
              <w:top w:val="nil"/>
              <w:left w:val="nil"/>
              <w:bottom w:val="nil"/>
              <w:right w:val="nil"/>
            </w:tcBorders>
            <w:shd w:val="clear" w:color="000000" w:fill="FFFF00"/>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3.24884</w:t>
            </w:r>
          </w:p>
        </w:tc>
        <w:tc>
          <w:tcPr>
            <w:tcW w:w="394" w:type="pct"/>
            <w:tcBorders>
              <w:top w:val="single" w:sz="4" w:space="0" w:color="auto"/>
              <w:left w:val="single" w:sz="4" w:space="0" w:color="auto"/>
              <w:bottom w:val="nil"/>
              <w:right w:val="nil"/>
            </w:tcBorders>
            <w:shd w:val="clear" w:color="000000" w:fill="FF0000"/>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42.28</w:t>
            </w:r>
          </w:p>
        </w:tc>
        <w:tc>
          <w:tcPr>
            <w:tcW w:w="394" w:type="pct"/>
            <w:tcBorders>
              <w:top w:val="nil"/>
              <w:left w:val="nil"/>
              <w:bottom w:val="nil"/>
              <w:right w:val="nil"/>
            </w:tcBorders>
            <w:shd w:val="clear" w:color="000000" w:fill="FD2121"/>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7.934497</w:t>
            </w:r>
          </w:p>
        </w:tc>
        <w:tc>
          <w:tcPr>
            <w:tcW w:w="394" w:type="pct"/>
            <w:tcBorders>
              <w:top w:val="nil"/>
              <w:left w:val="nil"/>
              <w:bottom w:val="nil"/>
              <w:right w:val="single" w:sz="4" w:space="0" w:color="auto"/>
            </w:tcBorders>
            <w:shd w:val="clear" w:color="000000" w:fill="FFFFFF"/>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0</w:t>
            </w:r>
          </w:p>
        </w:tc>
      </w:tr>
      <w:tr w:rsidR="00722964" w:rsidRPr="00722964" w:rsidTr="00722964">
        <w:trPr>
          <w:trHeight w:val="300"/>
        </w:trPr>
        <w:tc>
          <w:tcPr>
            <w:tcW w:w="667" w:type="pct"/>
            <w:tcBorders>
              <w:top w:val="nil"/>
              <w:left w:val="single" w:sz="8" w:space="0" w:color="auto"/>
              <w:bottom w:val="nil"/>
              <w:right w:val="single" w:sz="4" w:space="0" w:color="auto"/>
            </w:tcBorders>
            <w:shd w:val="clear" w:color="auto" w:fill="auto"/>
            <w:noWrap/>
            <w:vAlign w:val="bottom"/>
            <w:hideMark/>
          </w:tcPr>
          <w:p w:rsidR="00D02E81" w:rsidRPr="00722964" w:rsidRDefault="00D02E81" w:rsidP="00D02E81">
            <w:pPr>
              <w:spacing w:after="0" w:line="240" w:lineRule="auto"/>
              <w:rPr>
                <w:rFonts w:ascii="Calibri" w:eastAsia="Times New Roman" w:hAnsi="Calibri" w:cs="Calibri"/>
                <w:b/>
                <w:bCs/>
                <w:color w:val="000000"/>
                <w:sz w:val="14"/>
              </w:rPr>
            </w:pPr>
            <w:r w:rsidRPr="00722964">
              <w:rPr>
                <w:rFonts w:ascii="Calibri" w:eastAsia="Times New Roman" w:hAnsi="Calibri" w:cs="Calibri"/>
                <w:b/>
                <w:bCs/>
                <w:color w:val="000000"/>
                <w:sz w:val="14"/>
              </w:rPr>
              <w:t>Vaccine Cost</w:t>
            </w:r>
          </w:p>
        </w:tc>
        <w:tc>
          <w:tcPr>
            <w:tcW w:w="394" w:type="pct"/>
            <w:tcBorders>
              <w:top w:val="nil"/>
              <w:left w:val="nil"/>
              <w:bottom w:val="nil"/>
              <w:right w:val="nil"/>
            </w:tcBorders>
            <w:shd w:val="clear" w:color="000000" w:fill="D9D9D9"/>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-1.72803</w:t>
            </w:r>
          </w:p>
        </w:tc>
        <w:tc>
          <w:tcPr>
            <w:tcW w:w="394" w:type="pct"/>
            <w:tcBorders>
              <w:top w:val="nil"/>
              <w:left w:val="nil"/>
              <w:bottom w:val="nil"/>
              <w:right w:val="nil"/>
            </w:tcBorders>
            <w:shd w:val="clear" w:color="auto" w:fill="auto"/>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-6.3408</w:t>
            </w:r>
          </w:p>
        </w:tc>
        <w:tc>
          <w:tcPr>
            <w:tcW w:w="394" w:type="pct"/>
            <w:tcBorders>
              <w:top w:val="nil"/>
              <w:left w:val="nil"/>
              <w:bottom w:val="nil"/>
              <w:right w:val="nil"/>
            </w:tcBorders>
            <w:shd w:val="clear" w:color="000000" w:fill="D9D9D9"/>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0.00462</w:t>
            </w:r>
          </w:p>
        </w:tc>
        <w:tc>
          <w:tcPr>
            <w:tcW w:w="394" w:type="pct"/>
            <w:gridSpan w:val="2"/>
            <w:tcBorders>
              <w:top w:val="nil"/>
              <w:left w:val="nil"/>
              <w:bottom w:val="nil"/>
              <w:right w:val="single" w:sz="4" w:space="0" w:color="auto"/>
            </w:tcBorders>
            <w:shd w:val="clear" w:color="auto" w:fill="auto"/>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3.82902</w:t>
            </w:r>
          </w:p>
        </w:tc>
        <w:tc>
          <w:tcPr>
            <w:tcW w:w="394" w:type="pct"/>
            <w:tcBorders>
              <w:top w:val="nil"/>
              <w:left w:val="nil"/>
              <w:bottom w:val="nil"/>
              <w:right w:val="nil"/>
            </w:tcBorders>
            <w:shd w:val="clear" w:color="000000" w:fill="D9D9D9"/>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-1.72803</w:t>
            </w:r>
          </w:p>
        </w:tc>
        <w:tc>
          <w:tcPr>
            <w:tcW w:w="394" w:type="pct"/>
            <w:tcBorders>
              <w:top w:val="nil"/>
              <w:left w:val="nil"/>
              <w:bottom w:val="nil"/>
              <w:right w:val="nil"/>
            </w:tcBorders>
            <w:shd w:val="clear" w:color="auto" w:fill="auto"/>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-3.06186</w:t>
            </w:r>
          </w:p>
        </w:tc>
        <w:tc>
          <w:tcPr>
            <w:tcW w:w="394" w:type="pct"/>
            <w:tcBorders>
              <w:top w:val="nil"/>
              <w:left w:val="nil"/>
              <w:bottom w:val="nil"/>
              <w:right w:val="nil"/>
            </w:tcBorders>
            <w:shd w:val="clear" w:color="000000" w:fill="D9D9D9"/>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0.00462</w:t>
            </w:r>
          </w:p>
        </w:tc>
        <w:tc>
          <w:tcPr>
            <w:tcW w:w="394" w:type="pct"/>
            <w:gridSpan w:val="2"/>
            <w:tcBorders>
              <w:top w:val="nil"/>
              <w:left w:val="nil"/>
              <w:bottom w:val="nil"/>
              <w:right w:val="nil"/>
            </w:tcBorders>
            <w:shd w:val="clear" w:color="auto" w:fill="auto"/>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13.8851</w:t>
            </w:r>
          </w:p>
        </w:tc>
        <w:tc>
          <w:tcPr>
            <w:tcW w:w="394" w:type="pct"/>
            <w:tcBorders>
              <w:top w:val="nil"/>
              <w:left w:val="single" w:sz="4" w:space="0" w:color="auto"/>
              <w:bottom w:val="nil"/>
              <w:right w:val="nil"/>
            </w:tcBorders>
            <w:shd w:val="clear" w:color="000000" w:fill="F5B9B9"/>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10.06</w:t>
            </w:r>
          </w:p>
        </w:tc>
        <w:tc>
          <w:tcPr>
            <w:tcW w:w="394" w:type="pct"/>
            <w:tcBorders>
              <w:top w:val="nil"/>
              <w:left w:val="nil"/>
              <w:bottom w:val="nil"/>
              <w:right w:val="nil"/>
            </w:tcBorders>
            <w:shd w:val="clear" w:color="000000" w:fill="F69C9C"/>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3.27894</w:t>
            </w:r>
          </w:p>
        </w:tc>
        <w:tc>
          <w:tcPr>
            <w:tcW w:w="394" w:type="pct"/>
            <w:tcBorders>
              <w:top w:val="nil"/>
              <w:left w:val="nil"/>
              <w:bottom w:val="nil"/>
              <w:right w:val="single" w:sz="4" w:space="0" w:color="auto"/>
            </w:tcBorders>
            <w:shd w:val="clear" w:color="000000" w:fill="FFFFFF"/>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0</w:t>
            </w:r>
          </w:p>
        </w:tc>
      </w:tr>
      <w:tr w:rsidR="00722964" w:rsidRPr="00722964" w:rsidTr="00722964">
        <w:trPr>
          <w:trHeight w:val="300"/>
        </w:trPr>
        <w:tc>
          <w:tcPr>
            <w:tcW w:w="667" w:type="pct"/>
            <w:tcBorders>
              <w:top w:val="nil"/>
              <w:left w:val="single" w:sz="8" w:space="0" w:color="auto"/>
              <w:bottom w:val="nil"/>
              <w:right w:val="single" w:sz="4" w:space="0" w:color="auto"/>
            </w:tcBorders>
            <w:shd w:val="clear" w:color="auto" w:fill="auto"/>
            <w:noWrap/>
            <w:vAlign w:val="bottom"/>
            <w:hideMark/>
          </w:tcPr>
          <w:p w:rsidR="00D02E81" w:rsidRPr="00722964" w:rsidRDefault="00D02E81" w:rsidP="00D02E81">
            <w:pPr>
              <w:spacing w:after="0" w:line="240" w:lineRule="auto"/>
              <w:rPr>
                <w:rFonts w:ascii="Calibri" w:eastAsia="Times New Roman" w:hAnsi="Calibri" w:cs="Calibri"/>
                <w:b/>
                <w:bCs/>
                <w:color w:val="000000"/>
                <w:sz w:val="14"/>
              </w:rPr>
            </w:pPr>
            <w:r w:rsidRPr="00722964">
              <w:rPr>
                <w:rFonts w:ascii="Calibri" w:eastAsia="Times New Roman" w:hAnsi="Calibri" w:cs="Calibri"/>
                <w:b/>
                <w:bCs/>
                <w:color w:val="000000"/>
                <w:sz w:val="14"/>
              </w:rPr>
              <w:t>Hospitalization costs</w:t>
            </w:r>
          </w:p>
        </w:tc>
        <w:tc>
          <w:tcPr>
            <w:tcW w:w="394" w:type="pct"/>
            <w:tcBorders>
              <w:top w:val="nil"/>
              <w:left w:val="nil"/>
              <w:bottom w:val="nil"/>
              <w:right w:val="nil"/>
            </w:tcBorders>
            <w:shd w:val="clear" w:color="000000" w:fill="D9D9D9"/>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-1.72803</w:t>
            </w:r>
          </w:p>
        </w:tc>
        <w:tc>
          <w:tcPr>
            <w:tcW w:w="394" w:type="pct"/>
            <w:tcBorders>
              <w:top w:val="nil"/>
              <w:left w:val="nil"/>
              <w:bottom w:val="nil"/>
              <w:right w:val="nil"/>
            </w:tcBorders>
            <w:shd w:val="clear" w:color="auto" w:fill="auto"/>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-4.85375</w:t>
            </w:r>
          </w:p>
        </w:tc>
        <w:tc>
          <w:tcPr>
            <w:tcW w:w="394" w:type="pct"/>
            <w:tcBorders>
              <w:top w:val="nil"/>
              <w:left w:val="nil"/>
              <w:bottom w:val="nil"/>
              <w:right w:val="nil"/>
            </w:tcBorders>
            <w:shd w:val="clear" w:color="000000" w:fill="D9D9D9"/>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0.00462</w:t>
            </w:r>
          </w:p>
        </w:tc>
        <w:tc>
          <w:tcPr>
            <w:tcW w:w="394" w:type="pct"/>
            <w:gridSpan w:val="2"/>
            <w:tcBorders>
              <w:top w:val="nil"/>
              <w:left w:val="nil"/>
              <w:bottom w:val="nil"/>
              <w:right w:val="single" w:sz="4" w:space="0" w:color="auto"/>
            </w:tcBorders>
            <w:shd w:val="clear" w:color="auto" w:fill="auto"/>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6.0563</w:t>
            </w:r>
          </w:p>
        </w:tc>
        <w:tc>
          <w:tcPr>
            <w:tcW w:w="394" w:type="pct"/>
            <w:tcBorders>
              <w:top w:val="nil"/>
              <w:left w:val="nil"/>
              <w:bottom w:val="nil"/>
              <w:right w:val="nil"/>
            </w:tcBorders>
            <w:shd w:val="clear" w:color="000000" w:fill="D9D9D9"/>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-1.72803</w:t>
            </w:r>
          </w:p>
        </w:tc>
        <w:tc>
          <w:tcPr>
            <w:tcW w:w="394" w:type="pct"/>
            <w:tcBorders>
              <w:top w:val="nil"/>
              <w:left w:val="nil"/>
              <w:bottom w:val="nil"/>
              <w:right w:val="nil"/>
            </w:tcBorders>
            <w:shd w:val="clear" w:color="auto" w:fill="auto"/>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-5.97651</w:t>
            </w:r>
          </w:p>
        </w:tc>
        <w:tc>
          <w:tcPr>
            <w:tcW w:w="394" w:type="pct"/>
            <w:tcBorders>
              <w:top w:val="nil"/>
              <w:left w:val="nil"/>
              <w:bottom w:val="nil"/>
              <w:right w:val="nil"/>
            </w:tcBorders>
            <w:shd w:val="clear" w:color="000000" w:fill="D9D9D9"/>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0.00462</w:t>
            </w:r>
          </w:p>
        </w:tc>
        <w:tc>
          <w:tcPr>
            <w:tcW w:w="394" w:type="pct"/>
            <w:gridSpan w:val="2"/>
            <w:tcBorders>
              <w:top w:val="nil"/>
              <w:left w:val="nil"/>
              <w:bottom w:val="nil"/>
              <w:right w:val="nil"/>
            </w:tcBorders>
            <w:shd w:val="clear" w:color="auto" w:fill="auto"/>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4.62459</w:t>
            </w:r>
          </w:p>
        </w:tc>
        <w:tc>
          <w:tcPr>
            <w:tcW w:w="394" w:type="pct"/>
            <w:tcBorders>
              <w:top w:val="nil"/>
              <w:left w:val="single" w:sz="4" w:space="0" w:color="auto"/>
              <w:bottom w:val="nil"/>
              <w:right w:val="nil"/>
            </w:tcBorders>
            <w:shd w:val="clear" w:color="000000" w:fill="F2EAEA"/>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1.43</w:t>
            </w:r>
          </w:p>
        </w:tc>
        <w:tc>
          <w:tcPr>
            <w:tcW w:w="394" w:type="pct"/>
            <w:tcBorders>
              <w:top w:val="nil"/>
              <w:left w:val="nil"/>
              <w:bottom w:val="nil"/>
              <w:right w:val="nil"/>
            </w:tcBorders>
            <w:shd w:val="clear" w:color="000000" w:fill="F3D5D5"/>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1.12276</w:t>
            </w:r>
          </w:p>
        </w:tc>
        <w:tc>
          <w:tcPr>
            <w:tcW w:w="394" w:type="pct"/>
            <w:tcBorders>
              <w:top w:val="nil"/>
              <w:left w:val="nil"/>
              <w:bottom w:val="nil"/>
              <w:right w:val="single" w:sz="4" w:space="0" w:color="auto"/>
            </w:tcBorders>
            <w:shd w:val="clear" w:color="000000" w:fill="FFFFFF"/>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0</w:t>
            </w:r>
          </w:p>
        </w:tc>
      </w:tr>
      <w:tr w:rsidR="00722964" w:rsidRPr="00722964" w:rsidTr="00722964">
        <w:trPr>
          <w:trHeight w:val="300"/>
        </w:trPr>
        <w:tc>
          <w:tcPr>
            <w:tcW w:w="667" w:type="pct"/>
            <w:tcBorders>
              <w:top w:val="nil"/>
              <w:left w:val="single" w:sz="8" w:space="0" w:color="auto"/>
              <w:bottom w:val="nil"/>
              <w:right w:val="single" w:sz="4" w:space="0" w:color="auto"/>
            </w:tcBorders>
            <w:shd w:val="clear" w:color="auto" w:fill="auto"/>
            <w:noWrap/>
            <w:vAlign w:val="bottom"/>
            <w:hideMark/>
          </w:tcPr>
          <w:p w:rsidR="00D02E81" w:rsidRPr="00722964" w:rsidRDefault="00D02E81" w:rsidP="00D02E81">
            <w:pPr>
              <w:spacing w:after="0" w:line="240" w:lineRule="auto"/>
              <w:rPr>
                <w:rFonts w:ascii="Calibri" w:eastAsia="Times New Roman" w:hAnsi="Calibri" w:cs="Calibri"/>
                <w:b/>
                <w:bCs/>
                <w:color w:val="000000"/>
                <w:sz w:val="14"/>
              </w:rPr>
            </w:pPr>
            <w:r w:rsidRPr="00722964">
              <w:rPr>
                <w:rFonts w:ascii="Calibri" w:eastAsia="Times New Roman" w:hAnsi="Calibri" w:cs="Calibri"/>
                <w:b/>
                <w:bCs/>
                <w:color w:val="000000"/>
                <w:sz w:val="14"/>
              </w:rPr>
              <w:t>Vaccine adherenc</w:t>
            </w:r>
            <w:r w:rsidR="006A432B" w:rsidRPr="00722964">
              <w:rPr>
                <w:rFonts w:ascii="Calibri" w:eastAsia="Times New Roman" w:hAnsi="Calibri" w:cs="Calibri"/>
                <w:b/>
                <w:bCs/>
                <w:color w:val="000000"/>
                <w:sz w:val="14"/>
              </w:rPr>
              <w:t>e</w:t>
            </w:r>
            <w:r w:rsidRPr="00722964">
              <w:rPr>
                <w:rFonts w:ascii="Calibri" w:eastAsia="Times New Roman" w:hAnsi="Calibri" w:cs="Calibri"/>
                <w:b/>
                <w:bCs/>
                <w:color w:val="000000"/>
                <w:sz w:val="14"/>
              </w:rPr>
              <w:t>, second dose give first dose (%)</w:t>
            </w:r>
          </w:p>
        </w:tc>
        <w:tc>
          <w:tcPr>
            <w:tcW w:w="394" w:type="pct"/>
            <w:tcBorders>
              <w:top w:val="nil"/>
              <w:left w:val="nil"/>
              <w:bottom w:val="nil"/>
              <w:right w:val="nil"/>
            </w:tcBorders>
            <w:shd w:val="clear" w:color="000000" w:fill="D9D9D9"/>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-1.72801</w:t>
            </w:r>
          </w:p>
        </w:tc>
        <w:tc>
          <w:tcPr>
            <w:tcW w:w="394" w:type="pct"/>
            <w:tcBorders>
              <w:top w:val="nil"/>
              <w:left w:val="nil"/>
              <w:bottom w:val="nil"/>
              <w:right w:val="nil"/>
            </w:tcBorders>
            <w:shd w:val="clear" w:color="auto" w:fill="auto"/>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-6.08206</w:t>
            </w:r>
          </w:p>
        </w:tc>
        <w:tc>
          <w:tcPr>
            <w:tcW w:w="394" w:type="pct"/>
            <w:tcBorders>
              <w:top w:val="nil"/>
              <w:left w:val="nil"/>
              <w:bottom w:val="nil"/>
              <w:right w:val="nil"/>
            </w:tcBorders>
            <w:shd w:val="clear" w:color="000000" w:fill="D9D9D9"/>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0.00462</w:t>
            </w:r>
          </w:p>
        </w:tc>
        <w:tc>
          <w:tcPr>
            <w:tcW w:w="394" w:type="pct"/>
            <w:gridSpan w:val="2"/>
            <w:tcBorders>
              <w:top w:val="nil"/>
              <w:left w:val="nil"/>
              <w:bottom w:val="nil"/>
              <w:right w:val="single" w:sz="4" w:space="0" w:color="auto"/>
            </w:tcBorders>
            <w:shd w:val="clear" w:color="auto" w:fill="auto"/>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4.14974</w:t>
            </w:r>
          </w:p>
        </w:tc>
        <w:tc>
          <w:tcPr>
            <w:tcW w:w="394" w:type="pct"/>
            <w:tcBorders>
              <w:top w:val="nil"/>
              <w:left w:val="nil"/>
              <w:bottom w:val="nil"/>
              <w:right w:val="nil"/>
            </w:tcBorders>
            <w:shd w:val="clear" w:color="000000" w:fill="D9D9D9"/>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-1.72803</w:t>
            </w:r>
          </w:p>
        </w:tc>
        <w:tc>
          <w:tcPr>
            <w:tcW w:w="394" w:type="pct"/>
            <w:tcBorders>
              <w:top w:val="nil"/>
              <w:left w:val="nil"/>
              <w:bottom w:val="nil"/>
              <w:right w:val="nil"/>
            </w:tcBorders>
            <w:shd w:val="clear" w:color="auto" w:fill="auto"/>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-5.24782</w:t>
            </w:r>
          </w:p>
        </w:tc>
        <w:tc>
          <w:tcPr>
            <w:tcW w:w="394" w:type="pct"/>
            <w:tcBorders>
              <w:top w:val="nil"/>
              <w:left w:val="nil"/>
              <w:bottom w:val="nil"/>
              <w:right w:val="nil"/>
            </w:tcBorders>
            <w:shd w:val="clear" w:color="000000" w:fill="D9D9D9"/>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0.00462</w:t>
            </w:r>
          </w:p>
        </w:tc>
        <w:tc>
          <w:tcPr>
            <w:tcW w:w="394" w:type="pct"/>
            <w:gridSpan w:val="2"/>
            <w:tcBorders>
              <w:top w:val="nil"/>
              <w:left w:val="nil"/>
              <w:bottom w:val="nil"/>
              <w:right w:val="nil"/>
            </w:tcBorders>
            <w:shd w:val="clear" w:color="auto" w:fill="auto"/>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5.43783</w:t>
            </w:r>
          </w:p>
        </w:tc>
        <w:tc>
          <w:tcPr>
            <w:tcW w:w="394" w:type="pct"/>
            <w:tcBorders>
              <w:top w:val="nil"/>
              <w:left w:val="single" w:sz="4" w:space="0" w:color="auto"/>
              <w:bottom w:val="nil"/>
              <w:right w:val="nil"/>
            </w:tcBorders>
            <w:shd w:val="clear" w:color="000000" w:fill="F2EBEB"/>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1.29</w:t>
            </w:r>
          </w:p>
        </w:tc>
        <w:tc>
          <w:tcPr>
            <w:tcW w:w="394" w:type="pct"/>
            <w:tcBorders>
              <w:top w:val="nil"/>
              <w:left w:val="nil"/>
              <w:bottom w:val="nil"/>
              <w:right w:val="nil"/>
            </w:tcBorders>
            <w:shd w:val="clear" w:color="000000" w:fill="F3DDDD"/>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0.83424</w:t>
            </w:r>
          </w:p>
        </w:tc>
        <w:tc>
          <w:tcPr>
            <w:tcW w:w="394" w:type="pct"/>
            <w:tcBorders>
              <w:top w:val="nil"/>
              <w:left w:val="nil"/>
              <w:bottom w:val="nil"/>
              <w:right w:val="single" w:sz="4" w:space="0" w:color="auto"/>
            </w:tcBorders>
            <w:shd w:val="clear" w:color="000000" w:fill="F2F2F2"/>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1E-07</w:t>
            </w:r>
          </w:p>
        </w:tc>
      </w:tr>
      <w:tr w:rsidR="00722964" w:rsidRPr="00722964" w:rsidTr="00722964">
        <w:trPr>
          <w:trHeight w:val="300"/>
        </w:trPr>
        <w:tc>
          <w:tcPr>
            <w:tcW w:w="667" w:type="pct"/>
            <w:tcBorders>
              <w:top w:val="nil"/>
              <w:left w:val="single" w:sz="8" w:space="0" w:color="auto"/>
              <w:bottom w:val="nil"/>
              <w:right w:val="single" w:sz="4" w:space="0" w:color="auto"/>
            </w:tcBorders>
            <w:shd w:val="clear" w:color="auto" w:fill="auto"/>
            <w:noWrap/>
            <w:vAlign w:val="bottom"/>
            <w:hideMark/>
          </w:tcPr>
          <w:p w:rsidR="00D02E81" w:rsidRPr="00722964" w:rsidRDefault="00D02E81" w:rsidP="00D02E81">
            <w:pPr>
              <w:spacing w:after="0" w:line="240" w:lineRule="auto"/>
              <w:rPr>
                <w:rFonts w:ascii="Calibri" w:eastAsia="Times New Roman" w:hAnsi="Calibri" w:cs="Calibri"/>
                <w:b/>
                <w:bCs/>
                <w:color w:val="000000"/>
                <w:sz w:val="14"/>
              </w:rPr>
            </w:pPr>
            <w:r w:rsidRPr="00722964">
              <w:rPr>
                <w:rFonts w:ascii="Calibri" w:eastAsia="Times New Roman" w:hAnsi="Calibri" w:cs="Calibri"/>
                <w:b/>
                <w:bCs/>
                <w:color w:val="000000"/>
                <w:sz w:val="14"/>
              </w:rPr>
              <w:t>Work loss days, outpatient</w:t>
            </w:r>
          </w:p>
        </w:tc>
        <w:tc>
          <w:tcPr>
            <w:tcW w:w="394" w:type="pct"/>
            <w:tcBorders>
              <w:top w:val="nil"/>
              <w:left w:val="nil"/>
              <w:bottom w:val="nil"/>
              <w:right w:val="nil"/>
            </w:tcBorders>
            <w:shd w:val="clear" w:color="000000" w:fill="D9D9D9"/>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-0.821896</w:t>
            </w:r>
          </w:p>
        </w:tc>
        <w:tc>
          <w:tcPr>
            <w:tcW w:w="394" w:type="pct"/>
            <w:tcBorders>
              <w:top w:val="nil"/>
              <w:left w:val="nil"/>
              <w:bottom w:val="nil"/>
              <w:right w:val="nil"/>
            </w:tcBorders>
            <w:shd w:val="clear" w:color="auto" w:fill="auto"/>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-4.34169</w:t>
            </w:r>
          </w:p>
        </w:tc>
        <w:tc>
          <w:tcPr>
            <w:tcW w:w="394" w:type="pct"/>
            <w:tcBorders>
              <w:top w:val="nil"/>
              <w:left w:val="nil"/>
              <w:bottom w:val="nil"/>
              <w:right w:val="nil"/>
            </w:tcBorders>
            <w:shd w:val="clear" w:color="000000" w:fill="D9D9D9"/>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0.00462</w:t>
            </w:r>
          </w:p>
        </w:tc>
        <w:tc>
          <w:tcPr>
            <w:tcW w:w="394" w:type="pct"/>
            <w:gridSpan w:val="2"/>
            <w:tcBorders>
              <w:top w:val="nil"/>
              <w:left w:val="nil"/>
              <w:bottom w:val="nil"/>
              <w:right w:val="single" w:sz="4" w:space="0" w:color="auto"/>
            </w:tcBorders>
            <w:shd w:val="clear" w:color="auto" w:fill="auto"/>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6.35086</w:t>
            </w:r>
          </w:p>
        </w:tc>
        <w:tc>
          <w:tcPr>
            <w:tcW w:w="394" w:type="pct"/>
            <w:tcBorders>
              <w:top w:val="nil"/>
              <w:left w:val="nil"/>
              <w:bottom w:val="nil"/>
              <w:right w:val="nil"/>
            </w:tcBorders>
            <w:shd w:val="clear" w:color="000000" w:fill="D9D9D9"/>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-1.99454</w:t>
            </w:r>
          </w:p>
        </w:tc>
        <w:tc>
          <w:tcPr>
            <w:tcW w:w="394" w:type="pct"/>
            <w:tcBorders>
              <w:top w:val="nil"/>
              <w:left w:val="nil"/>
              <w:bottom w:val="nil"/>
              <w:right w:val="nil"/>
            </w:tcBorders>
            <w:shd w:val="clear" w:color="auto" w:fill="auto"/>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-5.51433</w:t>
            </w:r>
          </w:p>
        </w:tc>
        <w:tc>
          <w:tcPr>
            <w:tcW w:w="394" w:type="pct"/>
            <w:tcBorders>
              <w:top w:val="nil"/>
              <w:left w:val="nil"/>
              <w:bottom w:val="nil"/>
              <w:right w:val="nil"/>
            </w:tcBorders>
            <w:shd w:val="clear" w:color="000000" w:fill="D9D9D9"/>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0.00462</w:t>
            </w:r>
          </w:p>
        </w:tc>
        <w:tc>
          <w:tcPr>
            <w:tcW w:w="394" w:type="pct"/>
            <w:gridSpan w:val="2"/>
            <w:tcBorders>
              <w:top w:val="nil"/>
              <w:left w:val="nil"/>
              <w:bottom w:val="nil"/>
              <w:right w:val="nil"/>
            </w:tcBorders>
            <w:shd w:val="clear" w:color="auto" w:fill="auto"/>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5.2375</w:t>
            </w:r>
          </w:p>
        </w:tc>
        <w:tc>
          <w:tcPr>
            <w:tcW w:w="394" w:type="pct"/>
            <w:tcBorders>
              <w:top w:val="nil"/>
              <w:left w:val="single" w:sz="4" w:space="0" w:color="auto"/>
              <w:bottom w:val="nil"/>
              <w:right w:val="nil"/>
            </w:tcBorders>
            <w:shd w:val="clear" w:color="000000" w:fill="F2ECEC"/>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1.11</w:t>
            </w:r>
          </w:p>
        </w:tc>
        <w:tc>
          <w:tcPr>
            <w:tcW w:w="394" w:type="pct"/>
            <w:tcBorders>
              <w:top w:val="nil"/>
              <w:left w:val="nil"/>
              <w:bottom w:val="nil"/>
              <w:right w:val="nil"/>
            </w:tcBorders>
            <w:shd w:val="clear" w:color="000000" w:fill="F3D4D4"/>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1.17264</w:t>
            </w:r>
          </w:p>
        </w:tc>
        <w:tc>
          <w:tcPr>
            <w:tcW w:w="394" w:type="pct"/>
            <w:tcBorders>
              <w:top w:val="nil"/>
              <w:left w:val="nil"/>
              <w:bottom w:val="nil"/>
              <w:right w:val="single" w:sz="4" w:space="0" w:color="auto"/>
            </w:tcBorders>
            <w:shd w:val="clear" w:color="000000" w:fill="FFFFFF"/>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0</w:t>
            </w:r>
          </w:p>
        </w:tc>
      </w:tr>
      <w:tr w:rsidR="00722964" w:rsidRPr="00722964" w:rsidTr="00722964">
        <w:trPr>
          <w:trHeight w:val="300"/>
        </w:trPr>
        <w:tc>
          <w:tcPr>
            <w:tcW w:w="667" w:type="pct"/>
            <w:tcBorders>
              <w:top w:val="nil"/>
              <w:left w:val="single" w:sz="8" w:space="0" w:color="auto"/>
              <w:bottom w:val="nil"/>
              <w:right w:val="single" w:sz="4" w:space="0" w:color="auto"/>
            </w:tcBorders>
            <w:shd w:val="clear" w:color="auto" w:fill="auto"/>
            <w:noWrap/>
            <w:vAlign w:val="bottom"/>
            <w:hideMark/>
          </w:tcPr>
          <w:p w:rsidR="00D02E81" w:rsidRPr="00722964" w:rsidRDefault="00D02E81" w:rsidP="00D02E81">
            <w:pPr>
              <w:spacing w:after="0" w:line="240" w:lineRule="auto"/>
              <w:rPr>
                <w:rFonts w:ascii="Calibri" w:eastAsia="Times New Roman" w:hAnsi="Calibri" w:cs="Calibri"/>
                <w:b/>
                <w:bCs/>
                <w:color w:val="000000"/>
                <w:sz w:val="14"/>
              </w:rPr>
            </w:pPr>
            <w:r w:rsidRPr="00722964">
              <w:rPr>
                <w:rFonts w:ascii="Calibri" w:eastAsia="Times New Roman" w:hAnsi="Calibri" w:cs="Calibri"/>
                <w:b/>
                <w:bCs/>
                <w:color w:val="000000"/>
                <w:sz w:val="14"/>
              </w:rPr>
              <w:t>median monthly earnings  25+</w:t>
            </w:r>
          </w:p>
        </w:tc>
        <w:tc>
          <w:tcPr>
            <w:tcW w:w="394" w:type="pct"/>
            <w:tcBorders>
              <w:top w:val="nil"/>
              <w:left w:val="nil"/>
              <w:bottom w:val="nil"/>
              <w:right w:val="nil"/>
            </w:tcBorders>
            <w:shd w:val="clear" w:color="000000" w:fill="D9D9D9"/>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-1.35629</w:t>
            </w:r>
          </w:p>
        </w:tc>
        <w:tc>
          <w:tcPr>
            <w:tcW w:w="394" w:type="pct"/>
            <w:tcBorders>
              <w:top w:val="nil"/>
              <w:left w:val="nil"/>
              <w:bottom w:val="nil"/>
              <w:right w:val="nil"/>
            </w:tcBorders>
            <w:shd w:val="clear" w:color="auto" w:fill="auto"/>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-4.87608</w:t>
            </w:r>
          </w:p>
        </w:tc>
        <w:tc>
          <w:tcPr>
            <w:tcW w:w="394" w:type="pct"/>
            <w:tcBorders>
              <w:top w:val="nil"/>
              <w:left w:val="nil"/>
              <w:bottom w:val="nil"/>
              <w:right w:val="nil"/>
            </w:tcBorders>
            <w:shd w:val="clear" w:color="000000" w:fill="D9D9D9"/>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0.00462</w:t>
            </w:r>
          </w:p>
        </w:tc>
        <w:tc>
          <w:tcPr>
            <w:tcW w:w="394" w:type="pct"/>
            <w:gridSpan w:val="2"/>
            <w:tcBorders>
              <w:top w:val="nil"/>
              <w:left w:val="nil"/>
              <w:bottom w:val="nil"/>
              <w:right w:val="single" w:sz="4" w:space="0" w:color="auto"/>
            </w:tcBorders>
            <w:shd w:val="clear" w:color="auto" w:fill="auto"/>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5.67741</w:t>
            </w:r>
          </w:p>
        </w:tc>
        <w:tc>
          <w:tcPr>
            <w:tcW w:w="394" w:type="pct"/>
            <w:tcBorders>
              <w:top w:val="nil"/>
              <w:left w:val="nil"/>
              <w:bottom w:val="nil"/>
              <w:right w:val="nil"/>
            </w:tcBorders>
            <w:shd w:val="clear" w:color="000000" w:fill="D9D9D9"/>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-2.66064</w:t>
            </w:r>
          </w:p>
        </w:tc>
        <w:tc>
          <w:tcPr>
            <w:tcW w:w="394" w:type="pct"/>
            <w:tcBorders>
              <w:top w:val="nil"/>
              <w:left w:val="nil"/>
              <w:bottom w:val="nil"/>
              <w:right w:val="nil"/>
            </w:tcBorders>
            <w:shd w:val="clear" w:color="auto" w:fill="auto"/>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-6.18044</w:t>
            </w:r>
          </w:p>
        </w:tc>
        <w:tc>
          <w:tcPr>
            <w:tcW w:w="394" w:type="pct"/>
            <w:tcBorders>
              <w:top w:val="nil"/>
              <w:left w:val="nil"/>
              <w:bottom w:val="nil"/>
              <w:right w:val="nil"/>
            </w:tcBorders>
            <w:shd w:val="clear" w:color="000000" w:fill="D9D9D9"/>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0.00462</w:t>
            </w:r>
          </w:p>
        </w:tc>
        <w:tc>
          <w:tcPr>
            <w:tcW w:w="394" w:type="pct"/>
            <w:gridSpan w:val="2"/>
            <w:tcBorders>
              <w:top w:val="nil"/>
              <w:left w:val="nil"/>
              <w:bottom w:val="nil"/>
              <w:right w:val="nil"/>
            </w:tcBorders>
            <w:shd w:val="clear" w:color="auto" w:fill="auto"/>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4.95335</w:t>
            </w:r>
          </w:p>
        </w:tc>
        <w:tc>
          <w:tcPr>
            <w:tcW w:w="394" w:type="pct"/>
            <w:tcBorders>
              <w:top w:val="nil"/>
              <w:left w:val="single" w:sz="4" w:space="0" w:color="auto"/>
              <w:bottom w:val="nil"/>
              <w:right w:val="nil"/>
            </w:tcBorders>
            <w:shd w:val="clear" w:color="000000" w:fill="F2EEEE"/>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0.72</w:t>
            </w:r>
          </w:p>
        </w:tc>
        <w:tc>
          <w:tcPr>
            <w:tcW w:w="394" w:type="pct"/>
            <w:tcBorders>
              <w:top w:val="nil"/>
              <w:left w:val="nil"/>
              <w:bottom w:val="nil"/>
              <w:right w:val="nil"/>
            </w:tcBorders>
            <w:shd w:val="clear" w:color="000000" w:fill="F3D0D0"/>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1.30436</w:t>
            </w:r>
          </w:p>
        </w:tc>
        <w:tc>
          <w:tcPr>
            <w:tcW w:w="394" w:type="pct"/>
            <w:tcBorders>
              <w:top w:val="nil"/>
              <w:left w:val="nil"/>
              <w:bottom w:val="nil"/>
              <w:right w:val="single" w:sz="4" w:space="0" w:color="auto"/>
            </w:tcBorders>
            <w:shd w:val="clear" w:color="000000" w:fill="FFFFFF"/>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0</w:t>
            </w:r>
          </w:p>
        </w:tc>
      </w:tr>
      <w:tr w:rsidR="00722964" w:rsidRPr="00722964" w:rsidTr="00722964">
        <w:trPr>
          <w:trHeight w:val="300"/>
        </w:trPr>
        <w:tc>
          <w:tcPr>
            <w:tcW w:w="667" w:type="pct"/>
            <w:tcBorders>
              <w:top w:val="nil"/>
              <w:left w:val="single" w:sz="8" w:space="0" w:color="auto"/>
              <w:bottom w:val="nil"/>
              <w:right w:val="single" w:sz="4" w:space="0" w:color="auto"/>
            </w:tcBorders>
            <w:shd w:val="clear" w:color="auto" w:fill="auto"/>
            <w:noWrap/>
            <w:vAlign w:val="bottom"/>
            <w:hideMark/>
          </w:tcPr>
          <w:p w:rsidR="00D02E81" w:rsidRPr="00722964" w:rsidRDefault="00D02E81" w:rsidP="00D02E81">
            <w:pPr>
              <w:spacing w:after="0" w:line="240" w:lineRule="auto"/>
              <w:rPr>
                <w:rFonts w:ascii="Calibri" w:eastAsia="Times New Roman" w:hAnsi="Calibri" w:cs="Calibri"/>
                <w:b/>
                <w:bCs/>
                <w:color w:val="000000"/>
                <w:sz w:val="14"/>
              </w:rPr>
            </w:pPr>
            <w:r w:rsidRPr="00722964">
              <w:rPr>
                <w:rFonts w:ascii="Calibri" w:eastAsia="Times New Roman" w:hAnsi="Calibri" w:cs="Calibri"/>
                <w:b/>
                <w:bCs/>
                <w:color w:val="000000"/>
                <w:sz w:val="14"/>
              </w:rPr>
              <w:t>labor force participation 16-19</w:t>
            </w:r>
          </w:p>
        </w:tc>
        <w:tc>
          <w:tcPr>
            <w:tcW w:w="394" w:type="pct"/>
            <w:tcBorders>
              <w:top w:val="nil"/>
              <w:left w:val="nil"/>
              <w:bottom w:val="nil"/>
              <w:right w:val="nil"/>
            </w:tcBorders>
            <w:shd w:val="clear" w:color="000000" w:fill="D9D9D9"/>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-1.68774</w:t>
            </w:r>
          </w:p>
        </w:tc>
        <w:tc>
          <w:tcPr>
            <w:tcW w:w="394" w:type="pct"/>
            <w:tcBorders>
              <w:top w:val="nil"/>
              <w:left w:val="nil"/>
              <w:bottom w:val="nil"/>
              <w:right w:val="nil"/>
            </w:tcBorders>
            <w:shd w:val="clear" w:color="auto" w:fill="auto"/>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-5.20754</w:t>
            </w:r>
          </w:p>
        </w:tc>
        <w:tc>
          <w:tcPr>
            <w:tcW w:w="394" w:type="pct"/>
            <w:tcBorders>
              <w:top w:val="nil"/>
              <w:left w:val="nil"/>
              <w:bottom w:val="nil"/>
              <w:right w:val="nil"/>
            </w:tcBorders>
            <w:shd w:val="clear" w:color="000000" w:fill="D9D9D9"/>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0.00462</w:t>
            </w:r>
          </w:p>
        </w:tc>
        <w:tc>
          <w:tcPr>
            <w:tcW w:w="394" w:type="pct"/>
            <w:gridSpan w:val="2"/>
            <w:tcBorders>
              <w:top w:val="nil"/>
              <w:left w:val="nil"/>
              <w:bottom w:val="nil"/>
              <w:right w:val="single" w:sz="4" w:space="0" w:color="auto"/>
            </w:tcBorders>
            <w:shd w:val="clear" w:color="auto" w:fill="auto"/>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5.49656</w:t>
            </w:r>
          </w:p>
        </w:tc>
        <w:tc>
          <w:tcPr>
            <w:tcW w:w="394" w:type="pct"/>
            <w:tcBorders>
              <w:top w:val="nil"/>
              <w:left w:val="nil"/>
              <w:bottom w:val="nil"/>
              <w:right w:val="nil"/>
            </w:tcBorders>
            <w:shd w:val="clear" w:color="000000" w:fill="D9D9D9"/>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-2.19364</w:t>
            </w:r>
          </w:p>
        </w:tc>
        <w:tc>
          <w:tcPr>
            <w:tcW w:w="394" w:type="pct"/>
            <w:tcBorders>
              <w:top w:val="nil"/>
              <w:left w:val="nil"/>
              <w:bottom w:val="nil"/>
              <w:right w:val="nil"/>
            </w:tcBorders>
            <w:shd w:val="clear" w:color="auto" w:fill="auto"/>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-5.71343</w:t>
            </w:r>
          </w:p>
        </w:tc>
        <w:tc>
          <w:tcPr>
            <w:tcW w:w="394" w:type="pct"/>
            <w:tcBorders>
              <w:top w:val="nil"/>
              <w:left w:val="nil"/>
              <w:bottom w:val="nil"/>
              <w:right w:val="nil"/>
            </w:tcBorders>
            <w:shd w:val="clear" w:color="000000" w:fill="D9D9D9"/>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0.00462</w:t>
            </w:r>
          </w:p>
        </w:tc>
        <w:tc>
          <w:tcPr>
            <w:tcW w:w="394" w:type="pct"/>
            <w:gridSpan w:val="2"/>
            <w:tcBorders>
              <w:top w:val="nil"/>
              <w:left w:val="nil"/>
              <w:bottom w:val="nil"/>
              <w:right w:val="nil"/>
            </w:tcBorders>
            <w:shd w:val="clear" w:color="auto" w:fill="auto"/>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4.85835</w:t>
            </w:r>
          </w:p>
        </w:tc>
        <w:tc>
          <w:tcPr>
            <w:tcW w:w="394" w:type="pct"/>
            <w:tcBorders>
              <w:top w:val="nil"/>
              <w:left w:val="single" w:sz="4" w:space="0" w:color="auto"/>
              <w:bottom w:val="nil"/>
              <w:right w:val="nil"/>
            </w:tcBorders>
            <w:shd w:val="clear" w:color="000000" w:fill="F2EFEF"/>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0.64</w:t>
            </w:r>
          </w:p>
        </w:tc>
        <w:tc>
          <w:tcPr>
            <w:tcW w:w="394" w:type="pct"/>
            <w:tcBorders>
              <w:top w:val="nil"/>
              <w:left w:val="nil"/>
              <w:bottom w:val="nil"/>
              <w:right w:val="nil"/>
            </w:tcBorders>
            <w:shd w:val="clear" w:color="000000" w:fill="F2E5E5"/>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0.50589</w:t>
            </w:r>
          </w:p>
        </w:tc>
        <w:tc>
          <w:tcPr>
            <w:tcW w:w="394" w:type="pct"/>
            <w:tcBorders>
              <w:top w:val="nil"/>
              <w:left w:val="nil"/>
              <w:bottom w:val="nil"/>
              <w:right w:val="single" w:sz="4" w:space="0" w:color="auto"/>
            </w:tcBorders>
            <w:shd w:val="clear" w:color="000000" w:fill="FFFFFF"/>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0</w:t>
            </w:r>
          </w:p>
        </w:tc>
      </w:tr>
      <w:tr w:rsidR="00722964" w:rsidRPr="00722964" w:rsidTr="00722964">
        <w:trPr>
          <w:trHeight w:val="300"/>
        </w:trPr>
        <w:tc>
          <w:tcPr>
            <w:tcW w:w="667" w:type="pct"/>
            <w:tcBorders>
              <w:top w:val="nil"/>
              <w:left w:val="single" w:sz="8" w:space="0" w:color="auto"/>
              <w:bottom w:val="nil"/>
              <w:right w:val="single" w:sz="4" w:space="0" w:color="auto"/>
            </w:tcBorders>
            <w:shd w:val="clear" w:color="auto" w:fill="auto"/>
            <w:noWrap/>
            <w:vAlign w:val="bottom"/>
            <w:hideMark/>
          </w:tcPr>
          <w:p w:rsidR="00D02E81" w:rsidRPr="00722964" w:rsidRDefault="00D02E81" w:rsidP="00D02E81">
            <w:pPr>
              <w:spacing w:after="0" w:line="240" w:lineRule="auto"/>
              <w:rPr>
                <w:rFonts w:ascii="Calibri" w:eastAsia="Times New Roman" w:hAnsi="Calibri" w:cs="Calibri"/>
                <w:b/>
                <w:bCs/>
                <w:color w:val="000000"/>
                <w:sz w:val="14"/>
              </w:rPr>
            </w:pPr>
            <w:r w:rsidRPr="00722964">
              <w:rPr>
                <w:rFonts w:ascii="Calibri" w:eastAsia="Times New Roman" w:hAnsi="Calibri" w:cs="Calibri"/>
                <w:b/>
                <w:bCs/>
                <w:color w:val="000000"/>
                <w:sz w:val="14"/>
              </w:rPr>
              <w:t>median monthly earnings  &lt;25</w:t>
            </w:r>
          </w:p>
        </w:tc>
        <w:tc>
          <w:tcPr>
            <w:tcW w:w="394" w:type="pct"/>
            <w:tcBorders>
              <w:top w:val="nil"/>
              <w:left w:val="nil"/>
              <w:bottom w:val="nil"/>
              <w:right w:val="nil"/>
            </w:tcBorders>
            <w:shd w:val="clear" w:color="000000" w:fill="D9D9D9"/>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-1.34382</w:t>
            </w:r>
          </w:p>
        </w:tc>
        <w:tc>
          <w:tcPr>
            <w:tcW w:w="394" w:type="pct"/>
            <w:tcBorders>
              <w:top w:val="nil"/>
              <w:left w:val="nil"/>
              <w:bottom w:val="nil"/>
              <w:right w:val="nil"/>
            </w:tcBorders>
            <w:shd w:val="clear" w:color="auto" w:fill="auto"/>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-4.86362</w:t>
            </w:r>
          </w:p>
        </w:tc>
        <w:tc>
          <w:tcPr>
            <w:tcW w:w="394" w:type="pct"/>
            <w:tcBorders>
              <w:top w:val="nil"/>
              <w:left w:val="nil"/>
              <w:bottom w:val="nil"/>
              <w:right w:val="nil"/>
            </w:tcBorders>
            <w:shd w:val="clear" w:color="000000" w:fill="D9D9D9"/>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0.00462</w:t>
            </w:r>
          </w:p>
        </w:tc>
        <w:tc>
          <w:tcPr>
            <w:tcW w:w="394" w:type="pct"/>
            <w:gridSpan w:val="2"/>
            <w:tcBorders>
              <w:top w:val="nil"/>
              <w:left w:val="nil"/>
              <w:bottom w:val="nil"/>
              <w:right w:val="single" w:sz="4" w:space="0" w:color="auto"/>
            </w:tcBorders>
            <w:shd w:val="clear" w:color="auto" w:fill="auto"/>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5.94076</w:t>
            </w:r>
          </w:p>
        </w:tc>
        <w:tc>
          <w:tcPr>
            <w:tcW w:w="394" w:type="pct"/>
            <w:tcBorders>
              <w:top w:val="nil"/>
              <w:left w:val="nil"/>
              <w:bottom w:val="nil"/>
              <w:right w:val="nil"/>
            </w:tcBorders>
            <w:shd w:val="clear" w:color="000000" w:fill="D9D9D9"/>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-1.82952</w:t>
            </w:r>
          </w:p>
        </w:tc>
        <w:tc>
          <w:tcPr>
            <w:tcW w:w="394" w:type="pct"/>
            <w:tcBorders>
              <w:top w:val="nil"/>
              <w:left w:val="nil"/>
              <w:bottom w:val="nil"/>
              <w:right w:val="nil"/>
            </w:tcBorders>
            <w:shd w:val="clear" w:color="auto" w:fill="auto"/>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-5.34931</w:t>
            </w:r>
          </w:p>
        </w:tc>
        <w:tc>
          <w:tcPr>
            <w:tcW w:w="394" w:type="pct"/>
            <w:tcBorders>
              <w:top w:val="nil"/>
              <w:left w:val="nil"/>
              <w:bottom w:val="nil"/>
              <w:right w:val="nil"/>
            </w:tcBorders>
            <w:shd w:val="clear" w:color="000000" w:fill="D9D9D9"/>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0.00462</w:t>
            </w:r>
          </w:p>
        </w:tc>
        <w:tc>
          <w:tcPr>
            <w:tcW w:w="394" w:type="pct"/>
            <w:gridSpan w:val="2"/>
            <w:tcBorders>
              <w:top w:val="nil"/>
              <w:left w:val="nil"/>
              <w:bottom w:val="nil"/>
              <w:right w:val="nil"/>
            </w:tcBorders>
            <w:shd w:val="clear" w:color="auto" w:fill="auto"/>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5.31661</w:t>
            </w:r>
          </w:p>
        </w:tc>
        <w:tc>
          <w:tcPr>
            <w:tcW w:w="394" w:type="pct"/>
            <w:tcBorders>
              <w:top w:val="nil"/>
              <w:left w:val="single" w:sz="4" w:space="0" w:color="auto"/>
              <w:bottom w:val="nil"/>
              <w:right w:val="nil"/>
            </w:tcBorders>
            <w:shd w:val="clear" w:color="000000" w:fill="F2EFEF"/>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0.62</w:t>
            </w:r>
          </w:p>
        </w:tc>
        <w:tc>
          <w:tcPr>
            <w:tcW w:w="394" w:type="pct"/>
            <w:tcBorders>
              <w:top w:val="nil"/>
              <w:left w:val="nil"/>
              <w:bottom w:val="nil"/>
              <w:right w:val="nil"/>
            </w:tcBorders>
            <w:shd w:val="clear" w:color="000000" w:fill="F2E6E6"/>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0.48569</w:t>
            </w:r>
          </w:p>
        </w:tc>
        <w:tc>
          <w:tcPr>
            <w:tcW w:w="394" w:type="pct"/>
            <w:tcBorders>
              <w:top w:val="nil"/>
              <w:left w:val="nil"/>
              <w:bottom w:val="nil"/>
              <w:right w:val="single" w:sz="4" w:space="0" w:color="auto"/>
            </w:tcBorders>
            <w:shd w:val="clear" w:color="000000" w:fill="FFFFFF"/>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0</w:t>
            </w:r>
          </w:p>
        </w:tc>
      </w:tr>
      <w:tr w:rsidR="00722964" w:rsidRPr="00722964" w:rsidTr="00722964">
        <w:trPr>
          <w:trHeight w:val="300"/>
        </w:trPr>
        <w:tc>
          <w:tcPr>
            <w:tcW w:w="667" w:type="pct"/>
            <w:tcBorders>
              <w:top w:val="nil"/>
              <w:left w:val="single" w:sz="8" w:space="0" w:color="auto"/>
              <w:bottom w:val="nil"/>
              <w:right w:val="single" w:sz="4" w:space="0" w:color="auto"/>
            </w:tcBorders>
            <w:shd w:val="clear" w:color="auto" w:fill="auto"/>
            <w:noWrap/>
            <w:vAlign w:val="bottom"/>
            <w:hideMark/>
          </w:tcPr>
          <w:p w:rsidR="00D02E81" w:rsidRPr="00722964" w:rsidRDefault="00D02E81" w:rsidP="00D02E81">
            <w:pPr>
              <w:spacing w:after="0" w:line="240" w:lineRule="auto"/>
              <w:rPr>
                <w:rFonts w:ascii="Calibri" w:eastAsia="Times New Roman" w:hAnsi="Calibri" w:cs="Calibri"/>
                <w:b/>
                <w:bCs/>
                <w:color w:val="000000"/>
                <w:sz w:val="14"/>
              </w:rPr>
            </w:pPr>
            <w:r w:rsidRPr="00722964">
              <w:rPr>
                <w:rFonts w:ascii="Calibri" w:eastAsia="Times New Roman" w:hAnsi="Calibri" w:cs="Calibri"/>
                <w:b/>
                <w:bCs/>
                <w:color w:val="000000"/>
                <w:sz w:val="14"/>
              </w:rPr>
              <w:t>labor force participation 20-24</w:t>
            </w:r>
          </w:p>
        </w:tc>
        <w:tc>
          <w:tcPr>
            <w:tcW w:w="394" w:type="pct"/>
            <w:tcBorders>
              <w:top w:val="nil"/>
              <w:left w:val="nil"/>
              <w:bottom w:val="nil"/>
              <w:right w:val="nil"/>
            </w:tcBorders>
            <w:shd w:val="clear" w:color="000000" w:fill="D9D9D9"/>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-1.6881</w:t>
            </w:r>
          </w:p>
        </w:tc>
        <w:tc>
          <w:tcPr>
            <w:tcW w:w="394" w:type="pct"/>
            <w:tcBorders>
              <w:top w:val="nil"/>
              <w:left w:val="nil"/>
              <w:bottom w:val="nil"/>
              <w:right w:val="nil"/>
            </w:tcBorders>
            <w:shd w:val="clear" w:color="auto" w:fill="auto"/>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-5.20789</w:t>
            </w:r>
          </w:p>
        </w:tc>
        <w:tc>
          <w:tcPr>
            <w:tcW w:w="394" w:type="pct"/>
            <w:tcBorders>
              <w:top w:val="nil"/>
              <w:left w:val="nil"/>
              <w:bottom w:val="nil"/>
              <w:right w:val="nil"/>
            </w:tcBorders>
            <w:shd w:val="clear" w:color="000000" w:fill="D9D9D9"/>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0.00462</w:t>
            </w:r>
          </w:p>
        </w:tc>
        <w:tc>
          <w:tcPr>
            <w:tcW w:w="394" w:type="pct"/>
            <w:gridSpan w:val="2"/>
            <w:tcBorders>
              <w:top w:val="nil"/>
              <w:left w:val="nil"/>
              <w:bottom w:val="nil"/>
              <w:right w:val="single" w:sz="4" w:space="0" w:color="auto"/>
            </w:tcBorders>
            <w:shd w:val="clear" w:color="auto" w:fill="auto"/>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5.48595</w:t>
            </w:r>
          </w:p>
        </w:tc>
        <w:tc>
          <w:tcPr>
            <w:tcW w:w="394" w:type="pct"/>
            <w:tcBorders>
              <w:top w:val="nil"/>
              <w:left w:val="nil"/>
              <w:bottom w:val="nil"/>
              <w:right w:val="nil"/>
            </w:tcBorders>
            <w:shd w:val="clear" w:color="000000" w:fill="D9D9D9"/>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-2.27283</w:t>
            </w:r>
          </w:p>
        </w:tc>
        <w:tc>
          <w:tcPr>
            <w:tcW w:w="394" w:type="pct"/>
            <w:tcBorders>
              <w:top w:val="nil"/>
              <w:left w:val="nil"/>
              <w:bottom w:val="nil"/>
              <w:right w:val="nil"/>
            </w:tcBorders>
            <w:shd w:val="clear" w:color="auto" w:fill="auto"/>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-5.79262</w:t>
            </w:r>
          </w:p>
        </w:tc>
        <w:tc>
          <w:tcPr>
            <w:tcW w:w="394" w:type="pct"/>
            <w:tcBorders>
              <w:top w:val="nil"/>
              <w:left w:val="nil"/>
              <w:bottom w:val="nil"/>
              <w:right w:val="nil"/>
            </w:tcBorders>
            <w:shd w:val="clear" w:color="000000" w:fill="D9D9D9"/>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0.00462</w:t>
            </w:r>
          </w:p>
        </w:tc>
        <w:tc>
          <w:tcPr>
            <w:tcW w:w="394" w:type="pct"/>
            <w:gridSpan w:val="2"/>
            <w:tcBorders>
              <w:top w:val="nil"/>
              <w:left w:val="nil"/>
              <w:bottom w:val="nil"/>
              <w:right w:val="nil"/>
            </w:tcBorders>
            <w:shd w:val="clear" w:color="auto" w:fill="auto"/>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4.87917</w:t>
            </w:r>
          </w:p>
        </w:tc>
        <w:tc>
          <w:tcPr>
            <w:tcW w:w="394" w:type="pct"/>
            <w:tcBorders>
              <w:top w:val="nil"/>
              <w:left w:val="single" w:sz="4" w:space="0" w:color="auto"/>
              <w:bottom w:val="nil"/>
              <w:right w:val="nil"/>
            </w:tcBorders>
            <w:shd w:val="clear" w:color="000000" w:fill="F2EFEF"/>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0.61</w:t>
            </w:r>
          </w:p>
        </w:tc>
        <w:tc>
          <w:tcPr>
            <w:tcW w:w="394" w:type="pct"/>
            <w:tcBorders>
              <w:top w:val="nil"/>
              <w:left w:val="nil"/>
              <w:bottom w:val="nil"/>
              <w:right w:val="nil"/>
            </w:tcBorders>
            <w:shd w:val="clear" w:color="000000" w:fill="F2E3E3"/>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0.58473</w:t>
            </w:r>
          </w:p>
        </w:tc>
        <w:tc>
          <w:tcPr>
            <w:tcW w:w="394" w:type="pct"/>
            <w:tcBorders>
              <w:top w:val="nil"/>
              <w:left w:val="nil"/>
              <w:bottom w:val="nil"/>
              <w:right w:val="single" w:sz="4" w:space="0" w:color="auto"/>
            </w:tcBorders>
            <w:shd w:val="clear" w:color="000000" w:fill="FFFFFF"/>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0</w:t>
            </w:r>
          </w:p>
        </w:tc>
      </w:tr>
      <w:tr w:rsidR="00722964" w:rsidRPr="00722964" w:rsidTr="00722964">
        <w:trPr>
          <w:trHeight w:val="300"/>
        </w:trPr>
        <w:tc>
          <w:tcPr>
            <w:tcW w:w="667" w:type="pct"/>
            <w:tcBorders>
              <w:top w:val="nil"/>
              <w:left w:val="single" w:sz="8" w:space="0" w:color="auto"/>
              <w:bottom w:val="nil"/>
              <w:right w:val="single" w:sz="4" w:space="0" w:color="auto"/>
            </w:tcBorders>
            <w:shd w:val="clear" w:color="auto" w:fill="auto"/>
            <w:noWrap/>
            <w:vAlign w:val="bottom"/>
            <w:hideMark/>
          </w:tcPr>
          <w:p w:rsidR="00D02E81" w:rsidRPr="00722964" w:rsidRDefault="00D02E81" w:rsidP="00D02E81">
            <w:pPr>
              <w:spacing w:after="0" w:line="240" w:lineRule="auto"/>
              <w:rPr>
                <w:rFonts w:ascii="Calibri" w:eastAsia="Times New Roman" w:hAnsi="Calibri" w:cs="Calibri"/>
                <w:b/>
                <w:bCs/>
                <w:color w:val="000000"/>
                <w:sz w:val="14"/>
              </w:rPr>
            </w:pPr>
            <w:r w:rsidRPr="00722964">
              <w:rPr>
                <w:rFonts w:ascii="Calibri" w:eastAsia="Times New Roman" w:hAnsi="Calibri" w:cs="Calibri"/>
                <w:b/>
                <w:bCs/>
                <w:color w:val="000000"/>
                <w:sz w:val="14"/>
              </w:rPr>
              <w:t>Discount Rate</w:t>
            </w:r>
          </w:p>
        </w:tc>
        <w:tc>
          <w:tcPr>
            <w:tcW w:w="394" w:type="pct"/>
            <w:tcBorders>
              <w:top w:val="nil"/>
              <w:left w:val="nil"/>
              <w:bottom w:val="nil"/>
              <w:right w:val="nil"/>
            </w:tcBorders>
            <w:shd w:val="clear" w:color="000000" w:fill="D9D9D9"/>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-3.70753</w:t>
            </w:r>
          </w:p>
        </w:tc>
        <w:tc>
          <w:tcPr>
            <w:tcW w:w="394" w:type="pct"/>
            <w:tcBorders>
              <w:top w:val="nil"/>
              <w:left w:val="nil"/>
              <w:bottom w:val="nil"/>
              <w:right w:val="nil"/>
            </w:tcBorders>
            <w:shd w:val="clear" w:color="auto" w:fill="auto"/>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-12.3694</w:t>
            </w:r>
          </w:p>
        </w:tc>
        <w:tc>
          <w:tcPr>
            <w:tcW w:w="394" w:type="pct"/>
            <w:tcBorders>
              <w:top w:val="nil"/>
              <w:left w:val="nil"/>
              <w:bottom w:val="nil"/>
              <w:right w:val="nil"/>
            </w:tcBorders>
            <w:shd w:val="clear" w:color="000000" w:fill="D9D9D9"/>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0.009208</w:t>
            </w:r>
          </w:p>
        </w:tc>
        <w:tc>
          <w:tcPr>
            <w:tcW w:w="394" w:type="pct"/>
            <w:gridSpan w:val="2"/>
            <w:tcBorders>
              <w:top w:val="nil"/>
              <w:left w:val="nil"/>
              <w:bottom w:val="nil"/>
              <w:right w:val="single" w:sz="4" w:space="0" w:color="auto"/>
            </w:tcBorders>
            <w:shd w:val="clear" w:color="auto" w:fill="auto"/>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5.21143</w:t>
            </w:r>
          </w:p>
        </w:tc>
        <w:tc>
          <w:tcPr>
            <w:tcW w:w="394" w:type="pct"/>
            <w:tcBorders>
              <w:top w:val="nil"/>
              <w:left w:val="nil"/>
              <w:bottom w:val="nil"/>
              <w:right w:val="nil"/>
            </w:tcBorders>
            <w:shd w:val="clear" w:color="000000" w:fill="D9D9D9"/>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-1.13899</w:t>
            </w:r>
          </w:p>
        </w:tc>
        <w:tc>
          <w:tcPr>
            <w:tcW w:w="394" w:type="pct"/>
            <w:tcBorders>
              <w:top w:val="nil"/>
              <w:left w:val="nil"/>
              <w:bottom w:val="nil"/>
              <w:right w:val="nil"/>
            </w:tcBorders>
            <w:shd w:val="clear" w:color="auto" w:fill="auto"/>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-3.20718</w:t>
            </w:r>
          </w:p>
        </w:tc>
        <w:tc>
          <w:tcPr>
            <w:tcW w:w="394" w:type="pct"/>
            <w:tcBorders>
              <w:top w:val="nil"/>
              <w:left w:val="nil"/>
              <w:bottom w:val="nil"/>
              <w:right w:val="nil"/>
            </w:tcBorders>
            <w:shd w:val="clear" w:color="000000" w:fill="D9D9D9"/>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0.003214</w:t>
            </w:r>
          </w:p>
        </w:tc>
        <w:tc>
          <w:tcPr>
            <w:tcW w:w="394" w:type="pct"/>
            <w:gridSpan w:val="2"/>
            <w:tcBorders>
              <w:top w:val="nil"/>
              <w:left w:val="nil"/>
              <w:bottom w:val="nil"/>
              <w:right w:val="nil"/>
            </w:tcBorders>
            <w:shd w:val="clear" w:color="auto" w:fill="auto"/>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5.60776</w:t>
            </w:r>
          </w:p>
        </w:tc>
        <w:tc>
          <w:tcPr>
            <w:tcW w:w="394" w:type="pct"/>
            <w:tcBorders>
              <w:top w:val="nil"/>
              <w:left w:val="single" w:sz="4" w:space="0" w:color="auto"/>
              <w:bottom w:val="nil"/>
              <w:right w:val="nil"/>
            </w:tcBorders>
            <w:shd w:val="clear" w:color="000000" w:fill="F2F0F0"/>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0.40</w:t>
            </w:r>
          </w:p>
        </w:tc>
        <w:tc>
          <w:tcPr>
            <w:tcW w:w="394" w:type="pct"/>
            <w:tcBorders>
              <w:top w:val="nil"/>
              <w:left w:val="nil"/>
              <w:bottom w:val="nil"/>
              <w:right w:val="nil"/>
            </w:tcBorders>
            <w:shd w:val="clear" w:color="000000" w:fill="FF0000"/>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9.16222</w:t>
            </w:r>
          </w:p>
        </w:tc>
        <w:tc>
          <w:tcPr>
            <w:tcW w:w="394" w:type="pct"/>
            <w:tcBorders>
              <w:top w:val="nil"/>
              <w:left w:val="nil"/>
              <w:bottom w:val="nil"/>
              <w:right w:val="single" w:sz="4" w:space="0" w:color="auto"/>
            </w:tcBorders>
            <w:shd w:val="clear" w:color="000000" w:fill="FF0000"/>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0.005994</w:t>
            </w:r>
          </w:p>
        </w:tc>
      </w:tr>
      <w:tr w:rsidR="00722964" w:rsidRPr="00722964" w:rsidTr="00722964">
        <w:trPr>
          <w:trHeight w:val="300"/>
        </w:trPr>
        <w:tc>
          <w:tcPr>
            <w:tcW w:w="667" w:type="pct"/>
            <w:tcBorders>
              <w:top w:val="nil"/>
              <w:left w:val="single" w:sz="8" w:space="0" w:color="auto"/>
              <w:bottom w:val="nil"/>
              <w:right w:val="single" w:sz="4" w:space="0" w:color="auto"/>
            </w:tcBorders>
            <w:shd w:val="clear" w:color="auto" w:fill="auto"/>
            <w:noWrap/>
            <w:vAlign w:val="bottom"/>
            <w:hideMark/>
          </w:tcPr>
          <w:p w:rsidR="00D02E81" w:rsidRPr="00722964" w:rsidRDefault="00D02E81" w:rsidP="00D02E81">
            <w:pPr>
              <w:spacing w:after="0" w:line="240" w:lineRule="auto"/>
              <w:rPr>
                <w:rFonts w:ascii="Calibri" w:eastAsia="Times New Roman" w:hAnsi="Calibri" w:cs="Calibri"/>
                <w:b/>
                <w:bCs/>
                <w:color w:val="000000"/>
                <w:sz w:val="14"/>
              </w:rPr>
            </w:pPr>
            <w:r w:rsidRPr="00722964">
              <w:rPr>
                <w:rFonts w:ascii="Calibri" w:eastAsia="Times New Roman" w:hAnsi="Calibri" w:cs="Calibri"/>
                <w:b/>
                <w:bCs/>
                <w:color w:val="000000"/>
                <w:sz w:val="14"/>
              </w:rPr>
              <w:t>Vaccine uptake, first dose (%)</w:t>
            </w:r>
          </w:p>
        </w:tc>
        <w:tc>
          <w:tcPr>
            <w:tcW w:w="394" w:type="pct"/>
            <w:tcBorders>
              <w:top w:val="nil"/>
              <w:left w:val="nil"/>
              <w:bottom w:val="nil"/>
              <w:right w:val="nil"/>
            </w:tcBorders>
            <w:shd w:val="clear" w:color="000000" w:fill="D9D9D9"/>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-1.72543</w:t>
            </w:r>
          </w:p>
        </w:tc>
        <w:tc>
          <w:tcPr>
            <w:tcW w:w="394" w:type="pct"/>
            <w:tcBorders>
              <w:top w:val="nil"/>
              <w:left w:val="nil"/>
              <w:bottom w:val="nil"/>
              <w:right w:val="nil"/>
            </w:tcBorders>
            <w:shd w:val="clear" w:color="auto" w:fill="auto"/>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-5.21598</w:t>
            </w:r>
          </w:p>
        </w:tc>
        <w:tc>
          <w:tcPr>
            <w:tcW w:w="394" w:type="pct"/>
            <w:tcBorders>
              <w:top w:val="nil"/>
              <w:left w:val="nil"/>
              <w:bottom w:val="nil"/>
              <w:right w:val="nil"/>
            </w:tcBorders>
            <w:shd w:val="clear" w:color="000000" w:fill="D9D9D9"/>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0.004605</w:t>
            </w:r>
          </w:p>
        </w:tc>
        <w:tc>
          <w:tcPr>
            <w:tcW w:w="394" w:type="pct"/>
            <w:gridSpan w:val="2"/>
            <w:tcBorders>
              <w:top w:val="nil"/>
              <w:left w:val="nil"/>
              <w:bottom w:val="nil"/>
              <w:right w:val="single" w:sz="4" w:space="0" w:color="auto"/>
            </w:tcBorders>
            <w:shd w:val="clear" w:color="auto" w:fill="auto"/>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5.7118</w:t>
            </w:r>
          </w:p>
        </w:tc>
        <w:tc>
          <w:tcPr>
            <w:tcW w:w="394" w:type="pct"/>
            <w:tcBorders>
              <w:top w:val="nil"/>
              <w:left w:val="nil"/>
              <w:bottom w:val="nil"/>
              <w:right w:val="nil"/>
            </w:tcBorders>
            <w:shd w:val="clear" w:color="000000" w:fill="D9D9D9"/>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-1.72832</w:t>
            </w:r>
          </w:p>
        </w:tc>
        <w:tc>
          <w:tcPr>
            <w:tcW w:w="394" w:type="pct"/>
            <w:tcBorders>
              <w:top w:val="nil"/>
              <w:left w:val="nil"/>
              <w:bottom w:val="nil"/>
              <w:right w:val="nil"/>
            </w:tcBorders>
            <w:shd w:val="clear" w:color="auto" w:fill="auto"/>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-5.25139</w:t>
            </w:r>
          </w:p>
        </w:tc>
        <w:tc>
          <w:tcPr>
            <w:tcW w:w="394" w:type="pct"/>
            <w:tcBorders>
              <w:top w:val="nil"/>
              <w:left w:val="nil"/>
              <w:bottom w:val="nil"/>
              <w:right w:val="nil"/>
            </w:tcBorders>
            <w:shd w:val="clear" w:color="000000" w:fill="D9D9D9"/>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0.004622</w:t>
            </w:r>
          </w:p>
        </w:tc>
        <w:tc>
          <w:tcPr>
            <w:tcW w:w="394" w:type="pct"/>
            <w:gridSpan w:val="2"/>
            <w:tcBorders>
              <w:top w:val="nil"/>
              <w:left w:val="nil"/>
              <w:bottom w:val="nil"/>
              <w:right w:val="nil"/>
            </w:tcBorders>
            <w:shd w:val="clear" w:color="auto" w:fill="auto"/>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5.40718</w:t>
            </w:r>
          </w:p>
        </w:tc>
        <w:tc>
          <w:tcPr>
            <w:tcW w:w="394" w:type="pct"/>
            <w:tcBorders>
              <w:top w:val="nil"/>
              <w:left w:val="single" w:sz="4" w:space="0" w:color="auto"/>
              <w:bottom w:val="nil"/>
              <w:right w:val="nil"/>
            </w:tcBorders>
            <w:shd w:val="clear" w:color="000000" w:fill="F2F1F1"/>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0.30</w:t>
            </w:r>
          </w:p>
        </w:tc>
        <w:tc>
          <w:tcPr>
            <w:tcW w:w="394" w:type="pct"/>
            <w:tcBorders>
              <w:top w:val="nil"/>
              <w:left w:val="nil"/>
              <w:bottom w:val="nil"/>
              <w:right w:val="nil"/>
            </w:tcBorders>
            <w:shd w:val="clear" w:color="000000" w:fill="F2F2F2"/>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0.03541</w:t>
            </w:r>
          </w:p>
        </w:tc>
        <w:tc>
          <w:tcPr>
            <w:tcW w:w="394" w:type="pct"/>
            <w:tcBorders>
              <w:top w:val="nil"/>
              <w:left w:val="nil"/>
              <w:bottom w:val="nil"/>
              <w:right w:val="single" w:sz="4" w:space="0" w:color="auto"/>
            </w:tcBorders>
            <w:shd w:val="clear" w:color="000000" w:fill="F2F2F2"/>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1.69E-05</w:t>
            </w:r>
          </w:p>
        </w:tc>
      </w:tr>
      <w:tr w:rsidR="00722964" w:rsidRPr="00722964" w:rsidTr="00722964">
        <w:trPr>
          <w:trHeight w:val="300"/>
        </w:trPr>
        <w:tc>
          <w:tcPr>
            <w:tcW w:w="667" w:type="pct"/>
            <w:tcBorders>
              <w:top w:val="nil"/>
              <w:left w:val="single" w:sz="8" w:space="0" w:color="auto"/>
              <w:bottom w:val="nil"/>
              <w:right w:val="single" w:sz="4" w:space="0" w:color="auto"/>
            </w:tcBorders>
            <w:shd w:val="clear" w:color="auto" w:fill="auto"/>
            <w:noWrap/>
            <w:vAlign w:val="bottom"/>
            <w:hideMark/>
          </w:tcPr>
          <w:p w:rsidR="00D02E81" w:rsidRPr="00722964" w:rsidRDefault="00D02E81" w:rsidP="00D02E81">
            <w:pPr>
              <w:spacing w:after="0" w:line="240" w:lineRule="auto"/>
              <w:rPr>
                <w:rFonts w:ascii="Calibri" w:eastAsia="Times New Roman" w:hAnsi="Calibri" w:cs="Calibri"/>
                <w:b/>
                <w:bCs/>
                <w:color w:val="000000"/>
                <w:sz w:val="14"/>
              </w:rPr>
            </w:pPr>
            <w:r w:rsidRPr="00722964">
              <w:rPr>
                <w:rFonts w:ascii="Calibri" w:eastAsia="Times New Roman" w:hAnsi="Calibri" w:cs="Calibri"/>
                <w:b/>
                <w:bCs/>
                <w:color w:val="000000"/>
                <w:sz w:val="14"/>
              </w:rPr>
              <w:t>Fulminant costs</w:t>
            </w:r>
          </w:p>
        </w:tc>
        <w:tc>
          <w:tcPr>
            <w:tcW w:w="394" w:type="pct"/>
            <w:tcBorders>
              <w:top w:val="nil"/>
              <w:left w:val="nil"/>
              <w:bottom w:val="nil"/>
              <w:right w:val="nil"/>
            </w:tcBorders>
            <w:shd w:val="clear" w:color="000000" w:fill="D9D9D9"/>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-1.72803</w:t>
            </w:r>
          </w:p>
        </w:tc>
        <w:tc>
          <w:tcPr>
            <w:tcW w:w="394" w:type="pct"/>
            <w:tcBorders>
              <w:top w:val="nil"/>
              <w:left w:val="nil"/>
              <w:bottom w:val="nil"/>
              <w:right w:val="nil"/>
            </w:tcBorders>
            <w:shd w:val="clear" w:color="auto" w:fill="auto"/>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-5.14316</w:t>
            </w:r>
          </w:p>
        </w:tc>
        <w:tc>
          <w:tcPr>
            <w:tcW w:w="394" w:type="pct"/>
            <w:tcBorders>
              <w:top w:val="nil"/>
              <w:left w:val="nil"/>
              <w:bottom w:val="nil"/>
              <w:right w:val="nil"/>
            </w:tcBorders>
            <w:shd w:val="clear" w:color="000000" w:fill="D9D9D9"/>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0.00462</w:t>
            </w:r>
          </w:p>
        </w:tc>
        <w:tc>
          <w:tcPr>
            <w:tcW w:w="394" w:type="pct"/>
            <w:gridSpan w:val="2"/>
            <w:tcBorders>
              <w:top w:val="nil"/>
              <w:left w:val="nil"/>
              <w:bottom w:val="nil"/>
              <w:right w:val="single" w:sz="4" w:space="0" w:color="auto"/>
            </w:tcBorders>
            <w:shd w:val="clear" w:color="auto" w:fill="auto"/>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5.54953</w:t>
            </w:r>
          </w:p>
        </w:tc>
        <w:tc>
          <w:tcPr>
            <w:tcW w:w="394" w:type="pct"/>
            <w:tcBorders>
              <w:top w:val="nil"/>
              <w:left w:val="nil"/>
              <w:bottom w:val="nil"/>
              <w:right w:val="nil"/>
            </w:tcBorders>
            <w:shd w:val="clear" w:color="000000" w:fill="D9D9D9"/>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-1.72803</w:t>
            </w:r>
          </w:p>
        </w:tc>
        <w:tc>
          <w:tcPr>
            <w:tcW w:w="394" w:type="pct"/>
            <w:tcBorders>
              <w:top w:val="nil"/>
              <w:left w:val="nil"/>
              <w:bottom w:val="nil"/>
              <w:right w:val="nil"/>
            </w:tcBorders>
            <w:shd w:val="clear" w:color="auto" w:fill="auto"/>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-5.35222</w:t>
            </w:r>
          </w:p>
        </w:tc>
        <w:tc>
          <w:tcPr>
            <w:tcW w:w="394" w:type="pct"/>
            <w:tcBorders>
              <w:top w:val="nil"/>
              <w:left w:val="nil"/>
              <w:bottom w:val="nil"/>
              <w:right w:val="nil"/>
            </w:tcBorders>
            <w:shd w:val="clear" w:color="000000" w:fill="D9D9D9"/>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0.00462</w:t>
            </w:r>
          </w:p>
        </w:tc>
        <w:tc>
          <w:tcPr>
            <w:tcW w:w="394" w:type="pct"/>
            <w:gridSpan w:val="2"/>
            <w:tcBorders>
              <w:top w:val="nil"/>
              <w:left w:val="nil"/>
              <w:bottom w:val="nil"/>
              <w:right w:val="nil"/>
            </w:tcBorders>
            <w:shd w:val="clear" w:color="auto" w:fill="auto"/>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5.33221</w:t>
            </w:r>
          </w:p>
        </w:tc>
        <w:tc>
          <w:tcPr>
            <w:tcW w:w="394" w:type="pct"/>
            <w:tcBorders>
              <w:top w:val="nil"/>
              <w:left w:val="single" w:sz="4" w:space="0" w:color="auto"/>
              <w:bottom w:val="nil"/>
              <w:right w:val="nil"/>
            </w:tcBorders>
            <w:shd w:val="clear" w:color="000000" w:fill="F2F1F1"/>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0.22</w:t>
            </w:r>
          </w:p>
        </w:tc>
        <w:tc>
          <w:tcPr>
            <w:tcW w:w="394" w:type="pct"/>
            <w:tcBorders>
              <w:top w:val="nil"/>
              <w:left w:val="nil"/>
              <w:bottom w:val="nil"/>
              <w:right w:val="nil"/>
            </w:tcBorders>
            <w:shd w:val="clear" w:color="000000" w:fill="F2EDED"/>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0.20906</w:t>
            </w:r>
          </w:p>
        </w:tc>
        <w:tc>
          <w:tcPr>
            <w:tcW w:w="394" w:type="pct"/>
            <w:tcBorders>
              <w:top w:val="nil"/>
              <w:left w:val="nil"/>
              <w:bottom w:val="nil"/>
              <w:right w:val="single" w:sz="4" w:space="0" w:color="auto"/>
            </w:tcBorders>
            <w:shd w:val="clear" w:color="000000" w:fill="FFFFFF"/>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0</w:t>
            </w:r>
          </w:p>
        </w:tc>
      </w:tr>
      <w:tr w:rsidR="00722964" w:rsidRPr="00722964" w:rsidTr="00722964">
        <w:trPr>
          <w:trHeight w:val="300"/>
        </w:trPr>
        <w:tc>
          <w:tcPr>
            <w:tcW w:w="667" w:type="pct"/>
            <w:tcBorders>
              <w:top w:val="nil"/>
              <w:left w:val="single" w:sz="8" w:space="0" w:color="auto"/>
              <w:bottom w:val="nil"/>
              <w:right w:val="single" w:sz="4" w:space="0" w:color="auto"/>
            </w:tcBorders>
            <w:shd w:val="clear" w:color="auto" w:fill="auto"/>
            <w:noWrap/>
            <w:vAlign w:val="bottom"/>
            <w:hideMark/>
          </w:tcPr>
          <w:p w:rsidR="00D02E81" w:rsidRPr="00722964" w:rsidRDefault="00D02E81" w:rsidP="00D02E81">
            <w:pPr>
              <w:spacing w:after="0" w:line="240" w:lineRule="auto"/>
              <w:rPr>
                <w:rFonts w:ascii="Calibri" w:eastAsia="Times New Roman" w:hAnsi="Calibri" w:cs="Calibri"/>
                <w:b/>
                <w:bCs/>
                <w:color w:val="000000"/>
                <w:sz w:val="14"/>
              </w:rPr>
            </w:pPr>
            <w:r w:rsidRPr="00722964">
              <w:rPr>
                <w:rFonts w:ascii="Calibri" w:eastAsia="Times New Roman" w:hAnsi="Calibri" w:cs="Calibri"/>
                <w:b/>
                <w:bCs/>
                <w:color w:val="000000"/>
                <w:sz w:val="14"/>
              </w:rPr>
              <w:t>Vaccine efficacy, 2 dose only (%)</w:t>
            </w:r>
          </w:p>
        </w:tc>
        <w:tc>
          <w:tcPr>
            <w:tcW w:w="394" w:type="pct"/>
            <w:tcBorders>
              <w:top w:val="nil"/>
              <w:left w:val="nil"/>
              <w:bottom w:val="nil"/>
              <w:right w:val="nil"/>
            </w:tcBorders>
            <w:shd w:val="clear" w:color="000000" w:fill="D9D9D9"/>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-1.72608</w:t>
            </w:r>
          </w:p>
        </w:tc>
        <w:tc>
          <w:tcPr>
            <w:tcW w:w="394" w:type="pct"/>
            <w:tcBorders>
              <w:top w:val="nil"/>
              <w:left w:val="nil"/>
              <w:bottom w:val="nil"/>
              <w:right w:val="nil"/>
            </w:tcBorders>
            <w:shd w:val="clear" w:color="auto" w:fill="auto"/>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-5.22389</w:t>
            </w:r>
          </w:p>
        </w:tc>
        <w:tc>
          <w:tcPr>
            <w:tcW w:w="394" w:type="pct"/>
            <w:tcBorders>
              <w:top w:val="nil"/>
              <w:left w:val="nil"/>
              <w:bottom w:val="nil"/>
              <w:right w:val="nil"/>
            </w:tcBorders>
            <w:shd w:val="clear" w:color="000000" w:fill="D9D9D9"/>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0.004608</w:t>
            </w:r>
          </w:p>
        </w:tc>
        <w:tc>
          <w:tcPr>
            <w:tcW w:w="394" w:type="pct"/>
            <w:gridSpan w:val="2"/>
            <w:tcBorders>
              <w:top w:val="nil"/>
              <w:left w:val="nil"/>
              <w:bottom w:val="nil"/>
              <w:right w:val="single" w:sz="4" w:space="0" w:color="auto"/>
            </w:tcBorders>
            <w:shd w:val="clear" w:color="auto" w:fill="auto"/>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5.64356</w:t>
            </w:r>
          </w:p>
        </w:tc>
        <w:tc>
          <w:tcPr>
            <w:tcW w:w="394" w:type="pct"/>
            <w:tcBorders>
              <w:top w:val="nil"/>
              <w:left w:val="nil"/>
              <w:bottom w:val="nil"/>
              <w:right w:val="nil"/>
            </w:tcBorders>
            <w:shd w:val="clear" w:color="000000" w:fill="D9D9D9"/>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-1.72803</w:t>
            </w:r>
          </w:p>
        </w:tc>
        <w:tc>
          <w:tcPr>
            <w:tcW w:w="394" w:type="pct"/>
            <w:tcBorders>
              <w:top w:val="nil"/>
              <w:left w:val="nil"/>
              <w:bottom w:val="nil"/>
              <w:right w:val="nil"/>
            </w:tcBorders>
            <w:shd w:val="clear" w:color="auto" w:fill="auto"/>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-5.24782</w:t>
            </w:r>
          </w:p>
        </w:tc>
        <w:tc>
          <w:tcPr>
            <w:tcW w:w="394" w:type="pct"/>
            <w:tcBorders>
              <w:top w:val="nil"/>
              <w:left w:val="nil"/>
              <w:bottom w:val="nil"/>
              <w:right w:val="nil"/>
            </w:tcBorders>
            <w:shd w:val="clear" w:color="000000" w:fill="D9D9D9"/>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0.00462</w:t>
            </w:r>
          </w:p>
        </w:tc>
        <w:tc>
          <w:tcPr>
            <w:tcW w:w="394" w:type="pct"/>
            <w:gridSpan w:val="2"/>
            <w:tcBorders>
              <w:top w:val="nil"/>
              <w:left w:val="nil"/>
              <w:bottom w:val="nil"/>
              <w:right w:val="nil"/>
            </w:tcBorders>
            <w:shd w:val="clear" w:color="auto" w:fill="auto"/>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5.43783</w:t>
            </w:r>
          </w:p>
        </w:tc>
        <w:tc>
          <w:tcPr>
            <w:tcW w:w="394" w:type="pct"/>
            <w:tcBorders>
              <w:top w:val="nil"/>
              <w:left w:val="single" w:sz="4" w:space="0" w:color="auto"/>
              <w:bottom w:val="nil"/>
              <w:right w:val="nil"/>
            </w:tcBorders>
            <w:shd w:val="clear" w:color="000000" w:fill="F2F1F1"/>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0.21</w:t>
            </w:r>
          </w:p>
        </w:tc>
        <w:tc>
          <w:tcPr>
            <w:tcW w:w="394" w:type="pct"/>
            <w:tcBorders>
              <w:top w:val="nil"/>
              <w:left w:val="nil"/>
              <w:bottom w:val="nil"/>
              <w:right w:val="nil"/>
            </w:tcBorders>
            <w:shd w:val="clear" w:color="000000" w:fill="F2F2F2"/>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0.02393</w:t>
            </w:r>
          </w:p>
        </w:tc>
        <w:tc>
          <w:tcPr>
            <w:tcW w:w="394" w:type="pct"/>
            <w:tcBorders>
              <w:top w:val="nil"/>
              <w:left w:val="nil"/>
              <w:bottom w:val="nil"/>
              <w:right w:val="single" w:sz="4" w:space="0" w:color="auto"/>
            </w:tcBorders>
            <w:shd w:val="clear" w:color="000000" w:fill="F2F2F2"/>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1.14E-05</w:t>
            </w:r>
          </w:p>
        </w:tc>
      </w:tr>
      <w:tr w:rsidR="00722964" w:rsidRPr="00722964" w:rsidTr="00722964">
        <w:trPr>
          <w:trHeight w:val="300"/>
        </w:trPr>
        <w:tc>
          <w:tcPr>
            <w:tcW w:w="667" w:type="pct"/>
            <w:tcBorders>
              <w:top w:val="nil"/>
              <w:left w:val="single" w:sz="8" w:space="0" w:color="auto"/>
              <w:bottom w:val="nil"/>
              <w:right w:val="single" w:sz="4" w:space="0" w:color="auto"/>
            </w:tcBorders>
            <w:shd w:val="clear" w:color="auto" w:fill="auto"/>
            <w:noWrap/>
            <w:vAlign w:val="bottom"/>
            <w:hideMark/>
          </w:tcPr>
          <w:p w:rsidR="00D02E81" w:rsidRPr="00722964" w:rsidRDefault="00D02E81" w:rsidP="00D02E81">
            <w:pPr>
              <w:spacing w:after="0" w:line="240" w:lineRule="auto"/>
              <w:rPr>
                <w:rFonts w:ascii="Calibri" w:eastAsia="Times New Roman" w:hAnsi="Calibri" w:cs="Calibri"/>
                <w:b/>
                <w:bCs/>
                <w:color w:val="000000"/>
                <w:sz w:val="14"/>
              </w:rPr>
            </w:pPr>
            <w:r w:rsidRPr="00722964">
              <w:rPr>
                <w:rFonts w:ascii="Calibri" w:eastAsia="Times New Roman" w:hAnsi="Calibri" w:cs="Calibri"/>
                <w:b/>
                <w:bCs/>
                <w:color w:val="000000"/>
                <w:sz w:val="14"/>
              </w:rPr>
              <w:t>Liver transplant cost 1st year</w:t>
            </w:r>
          </w:p>
        </w:tc>
        <w:tc>
          <w:tcPr>
            <w:tcW w:w="394" w:type="pct"/>
            <w:tcBorders>
              <w:top w:val="nil"/>
              <w:left w:val="nil"/>
              <w:bottom w:val="nil"/>
              <w:right w:val="nil"/>
            </w:tcBorders>
            <w:shd w:val="clear" w:color="000000" w:fill="D9D9D9"/>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-1.72803</w:t>
            </w:r>
          </w:p>
        </w:tc>
        <w:tc>
          <w:tcPr>
            <w:tcW w:w="394" w:type="pct"/>
            <w:tcBorders>
              <w:top w:val="nil"/>
              <w:left w:val="nil"/>
              <w:bottom w:val="nil"/>
              <w:right w:val="nil"/>
            </w:tcBorders>
            <w:shd w:val="clear" w:color="auto" w:fill="auto"/>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-5.1544</w:t>
            </w:r>
          </w:p>
        </w:tc>
        <w:tc>
          <w:tcPr>
            <w:tcW w:w="394" w:type="pct"/>
            <w:tcBorders>
              <w:top w:val="nil"/>
              <w:left w:val="nil"/>
              <w:bottom w:val="nil"/>
              <w:right w:val="nil"/>
            </w:tcBorders>
            <w:shd w:val="clear" w:color="000000" w:fill="D9D9D9"/>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0.00462</w:t>
            </w:r>
          </w:p>
        </w:tc>
        <w:tc>
          <w:tcPr>
            <w:tcW w:w="394" w:type="pct"/>
            <w:gridSpan w:val="2"/>
            <w:tcBorders>
              <w:top w:val="nil"/>
              <w:left w:val="nil"/>
              <w:bottom w:val="nil"/>
              <w:right w:val="single" w:sz="4" w:space="0" w:color="auto"/>
            </w:tcBorders>
            <w:shd w:val="clear" w:color="auto" w:fill="auto"/>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5.51757</w:t>
            </w:r>
          </w:p>
        </w:tc>
        <w:tc>
          <w:tcPr>
            <w:tcW w:w="394" w:type="pct"/>
            <w:tcBorders>
              <w:top w:val="nil"/>
              <w:left w:val="nil"/>
              <w:bottom w:val="nil"/>
              <w:right w:val="nil"/>
            </w:tcBorders>
            <w:shd w:val="clear" w:color="000000" w:fill="D9D9D9"/>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-1.72803</w:t>
            </w:r>
          </w:p>
        </w:tc>
        <w:tc>
          <w:tcPr>
            <w:tcW w:w="394" w:type="pct"/>
            <w:tcBorders>
              <w:top w:val="nil"/>
              <w:left w:val="nil"/>
              <w:bottom w:val="nil"/>
              <w:right w:val="nil"/>
            </w:tcBorders>
            <w:shd w:val="clear" w:color="auto" w:fill="auto"/>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-5.34125</w:t>
            </w:r>
          </w:p>
        </w:tc>
        <w:tc>
          <w:tcPr>
            <w:tcW w:w="394" w:type="pct"/>
            <w:tcBorders>
              <w:top w:val="nil"/>
              <w:left w:val="nil"/>
              <w:bottom w:val="nil"/>
              <w:right w:val="nil"/>
            </w:tcBorders>
            <w:shd w:val="clear" w:color="000000" w:fill="D9D9D9"/>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0.00462</w:t>
            </w:r>
          </w:p>
        </w:tc>
        <w:tc>
          <w:tcPr>
            <w:tcW w:w="394" w:type="pct"/>
            <w:gridSpan w:val="2"/>
            <w:tcBorders>
              <w:top w:val="nil"/>
              <w:left w:val="nil"/>
              <w:bottom w:val="nil"/>
              <w:right w:val="nil"/>
            </w:tcBorders>
            <w:shd w:val="clear" w:color="auto" w:fill="auto"/>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5.3618</w:t>
            </w:r>
          </w:p>
        </w:tc>
        <w:tc>
          <w:tcPr>
            <w:tcW w:w="394" w:type="pct"/>
            <w:tcBorders>
              <w:top w:val="nil"/>
              <w:left w:val="single" w:sz="4" w:space="0" w:color="auto"/>
              <w:bottom w:val="nil"/>
              <w:right w:val="nil"/>
            </w:tcBorders>
            <w:shd w:val="clear" w:color="000000" w:fill="F2F2F2"/>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0.16</w:t>
            </w:r>
          </w:p>
        </w:tc>
        <w:tc>
          <w:tcPr>
            <w:tcW w:w="394" w:type="pct"/>
            <w:tcBorders>
              <w:top w:val="nil"/>
              <w:left w:val="nil"/>
              <w:bottom w:val="nil"/>
              <w:right w:val="nil"/>
            </w:tcBorders>
            <w:shd w:val="clear" w:color="000000" w:fill="F2EEEE"/>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0.18685</w:t>
            </w:r>
          </w:p>
        </w:tc>
        <w:tc>
          <w:tcPr>
            <w:tcW w:w="394" w:type="pct"/>
            <w:tcBorders>
              <w:top w:val="nil"/>
              <w:left w:val="nil"/>
              <w:bottom w:val="nil"/>
              <w:right w:val="single" w:sz="4" w:space="0" w:color="auto"/>
            </w:tcBorders>
            <w:shd w:val="clear" w:color="000000" w:fill="FFFFFF"/>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0</w:t>
            </w:r>
          </w:p>
        </w:tc>
      </w:tr>
      <w:tr w:rsidR="00722964" w:rsidRPr="00722964" w:rsidTr="00722964">
        <w:trPr>
          <w:trHeight w:val="300"/>
        </w:trPr>
        <w:tc>
          <w:tcPr>
            <w:tcW w:w="667" w:type="pct"/>
            <w:tcBorders>
              <w:top w:val="nil"/>
              <w:left w:val="single" w:sz="8" w:space="0" w:color="auto"/>
              <w:bottom w:val="nil"/>
              <w:right w:val="single" w:sz="4" w:space="0" w:color="auto"/>
            </w:tcBorders>
            <w:shd w:val="clear" w:color="auto" w:fill="auto"/>
            <w:noWrap/>
            <w:vAlign w:val="bottom"/>
            <w:hideMark/>
          </w:tcPr>
          <w:p w:rsidR="00D02E81" w:rsidRPr="00722964" w:rsidRDefault="00D02E81" w:rsidP="00D02E81">
            <w:pPr>
              <w:spacing w:after="0" w:line="240" w:lineRule="auto"/>
              <w:rPr>
                <w:rFonts w:ascii="Calibri" w:eastAsia="Times New Roman" w:hAnsi="Calibri" w:cs="Calibri"/>
                <w:b/>
                <w:bCs/>
                <w:color w:val="000000"/>
                <w:sz w:val="14"/>
              </w:rPr>
            </w:pPr>
            <w:r w:rsidRPr="00722964">
              <w:rPr>
                <w:rFonts w:ascii="Calibri" w:eastAsia="Times New Roman" w:hAnsi="Calibri" w:cs="Calibri"/>
                <w:b/>
                <w:bCs/>
                <w:color w:val="000000"/>
                <w:sz w:val="14"/>
              </w:rPr>
              <w:t>Public health costs</w:t>
            </w:r>
          </w:p>
        </w:tc>
        <w:tc>
          <w:tcPr>
            <w:tcW w:w="394" w:type="pct"/>
            <w:tcBorders>
              <w:top w:val="nil"/>
              <w:left w:val="nil"/>
              <w:bottom w:val="nil"/>
              <w:right w:val="nil"/>
            </w:tcBorders>
            <w:shd w:val="clear" w:color="000000" w:fill="D9D9D9"/>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-1.72803</w:t>
            </w:r>
          </w:p>
        </w:tc>
        <w:tc>
          <w:tcPr>
            <w:tcW w:w="394" w:type="pct"/>
            <w:tcBorders>
              <w:top w:val="nil"/>
              <w:left w:val="nil"/>
              <w:bottom w:val="nil"/>
              <w:right w:val="nil"/>
            </w:tcBorders>
            <w:shd w:val="clear" w:color="auto" w:fill="auto"/>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-5.24782</w:t>
            </w:r>
          </w:p>
        </w:tc>
        <w:tc>
          <w:tcPr>
            <w:tcW w:w="394" w:type="pct"/>
            <w:tcBorders>
              <w:top w:val="nil"/>
              <w:left w:val="nil"/>
              <w:bottom w:val="nil"/>
              <w:right w:val="nil"/>
            </w:tcBorders>
            <w:shd w:val="clear" w:color="000000" w:fill="D9D9D9"/>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0.00462</w:t>
            </w:r>
          </w:p>
        </w:tc>
        <w:tc>
          <w:tcPr>
            <w:tcW w:w="394" w:type="pct"/>
            <w:gridSpan w:val="2"/>
            <w:tcBorders>
              <w:top w:val="nil"/>
              <w:left w:val="nil"/>
              <w:bottom w:val="nil"/>
              <w:right w:val="single" w:sz="4" w:space="0" w:color="auto"/>
            </w:tcBorders>
            <w:shd w:val="clear" w:color="auto" w:fill="auto"/>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5.43783</w:t>
            </w:r>
          </w:p>
        </w:tc>
        <w:tc>
          <w:tcPr>
            <w:tcW w:w="394" w:type="pct"/>
            <w:tcBorders>
              <w:top w:val="nil"/>
              <w:left w:val="nil"/>
              <w:bottom w:val="nil"/>
              <w:right w:val="nil"/>
            </w:tcBorders>
            <w:shd w:val="clear" w:color="000000" w:fill="D9D9D9"/>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-1.84228</w:t>
            </w:r>
          </w:p>
        </w:tc>
        <w:tc>
          <w:tcPr>
            <w:tcW w:w="394" w:type="pct"/>
            <w:tcBorders>
              <w:top w:val="nil"/>
              <w:left w:val="nil"/>
              <w:bottom w:val="nil"/>
              <w:right w:val="nil"/>
            </w:tcBorders>
            <w:shd w:val="clear" w:color="auto" w:fill="auto"/>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-5.36208</w:t>
            </w:r>
          </w:p>
        </w:tc>
        <w:tc>
          <w:tcPr>
            <w:tcW w:w="394" w:type="pct"/>
            <w:tcBorders>
              <w:top w:val="nil"/>
              <w:left w:val="nil"/>
              <w:bottom w:val="nil"/>
              <w:right w:val="nil"/>
            </w:tcBorders>
            <w:shd w:val="clear" w:color="000000" w:fill="D9D9D9"/>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0.00462</w:t>
            </w:r>
          </w:p>
        </w:tc>
        <w:tc>
          <w:tcPr>
            <w:tcW w:w="394" w:type="pct"/>
            <w:gridSpan w:val="2"/>
            <w:tcBorders>
              <w:top w:val="nil"/>
              <w:left w:val="nil"/>
              <w:bottom w:val="nil"/>
              <w:right w:val="nil"/>
            </w:tcBorders>
            <w:shd w:val="clear" w:color="auto" w:fill="auto"/>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5.28344</w:t>
            </w:r>
          </w:p>
        </w:tc>
        <w:tc>
          <w:tcPr>
            <w:tcW w:w="394" w:type="pct"/>
            <w:tcBorders>
              <w:top w:val="nil"/>
              <w:left w:val="single" w:sz="4" w:space="0" w:color="auto"/>
              <w:bottom w:val="nil"/>
              <w:right w:val="nil"/>
            </w:tcBorders>
            <w:shd w:val="clear" w:color="000000" w:fill="F2F2F2"/>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0.15</w:t>
            </w:r>
          </w:p>
        </w:tc>
        <w:tc>
          <w:tcPr>
            <w:tcW w:w="394" w:type="pct"/>
            <w:tcBorders>
              <w:top w:val="nil"/>
              <w:left w:val="nil"/>
              <w:bottom w:val="nil"/>
              <w:right w:val="nil"/>
            </w:tcBorders>
            <w:shd w:val="clear" w:color="000000" w:fill="F2F0F0"/>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0.11426</w:t>
            </w:r>
          </w:p>
        </w:tc>
        <w:tc>
          <w:tcPr>
            <w:tcW w:w="394" w:type="pct"/>
            <w:tcBorders>
              <w:top w:val="nil"/>
              <w:left w:val="nil"/>
              <w:bottom w:val="nil"/>
              <w:right w:val="single" w:sz="4" w:space="0" w:color="auto"/>
            </w:tcBorders>
            <w:shd w:val="clear" w:color="000000" w:fill="FFFFFF"/>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0</w:t>
            </w:r>
          </w:p>
        </w:tc>
      </w:tr>
      <w:tr w:rsidR="00722964" w:rsidRPr="00722964" w:rsidTr="00722964">
        <w:trPr>
          <w:trHeight w:val="300"/>
        </w:trPr>
        <w:tc>
          <w:tcPr>
            <w:tcW w:w="667" w:type="pct"/>
            <w:tcBorders>
              <w:top w:val="nil"/>
              <w:left w:val="single" w:sz="8" w:space="0" w:color="auto"/>
              <w:bottom w:val="nil"/>
              <w:right w:val="single" w:sz="4" w:space="0" w:color="auto"/>
            </w:tcBorders>
            <w:shd w:val="clear" w:color="auto" w:fill="auto"/>
            <w:noWrap/>
            <w:vAlign w:val="bottom"/>
            <w:hideMark/>
          </w:tcPr>
          <w:p w:rsidR="00D02E81" w:rsidRPr="00722964" w:rsidRDefault="00D02E81" w:rsidP="00D02E81">
            <w:pPr>
              <w:spacing w:after="0" w:line="240" w:lineRule="auto"/>
              <w:rPr>
                <w:rFonts w:ascii="Calibri" w:eastAsia="Times New Roman" w:hAnsi="Calibri" w:cs="Calibri"/>
                <w:b/>
                <w:bCs/>
                <w:color w:val="000000"/>
                <w:sz w:val="14"/>
              </w:rPr>
            </w:pPr>
            <w:r w:rsidRPr="00722964">
              <w:rPr>
                <w:rFonts w:ascii="Calibri" w:eastAsia="Times New Roman" w:hAnsi="Calibri" w:cs="Calibri"/>
                <w:b/>
                <w:bCs/>
                <w:color w:val="000000"/>
                <w:sz w:val="14"/>
              </w:rPr>
              <w:t>Probability of death 1st year liver transplant</w:t>
            </w:r>
          </w:p>
        </w:tc>
        <w:tc>
          <w:tcPr>
            <w:tcW w:w="394" w:type="pct"/>
            <w:tcBorders>
              <w:top w:val="nil"/>
              <w:left w:val="nil"/>
              <w:bottom w:val="nil"/>
              <w:right w:val="nil"/>
            </w:tcBorders>
            <w:shd w:val="clear" w:color="000000" w:fill="D9D9D9"/>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-1.72803</w:t>
            </w:r>
          </w:p>
        </w:tc>
        <w:tc>
          <w:tcPr>
            <w:tcW w:w="394" w:type="pct"/>
            <w:tcBorders>
              <w:top w:val="nil"/>
              <w:left w:val="nil"/>
              <w:bottom w:val="nil"/>
              <w:right w:val="nil"/>
            </w:tcBorders>
            <w:shd w:val="clear" w:color="auto" w:fill="auto"/>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-5.37315</w:t>
            </w:r>
          </w:p>
        </w:tc>
        <w:tc>
          <w:tcPr>
            <w:tcW w:w="394" w:type="pct"/>
            <w:tcBorders>
              <w:top w:val="nil"/>
              <w:left w:val="nil"/>
              <w:bottom w:val="nil"/>
              <w:right w:val="nil"/>
            </w:tcBorders>
            <w:shd w:val="clear" w:color="000000" w:fill="D9D9D9"/>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0.004618</w:t>
            </w:r>
          </w:p>
        </w:tc>
        <w:tc>
          <w:tcPr>
            <w:tcW w:w="394" w:type="pct"/>
            <w:gridSpan w:val="2"/>
            <w:tcBorders>
              <w:top w:val="nil"/>
              <w:left w:val="nil"/>
              <w:bottom w:val="nil"/>
              <w:right w:val="single" w:sz="4" w:space="0" w:color="auto"/>
            </w:tcBorders>
            <w:shd w:val="clear" w:color="auto" w:fill="auto"/>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5.41683</w:t>
            </w:r>
          </w:p>
        </w:tc>
        <w:tc>
          <w:tcPr>
            <w:tcW w:w="394" w:type="pct"/>
            <w:tcBorders>
              <w:top w:val="nil"/>
              <w:left w:val="nil"/>
              <w:bottom w:val="nil"/>
              <w:right w:val="nil"/>
            </w:tcBorders>
            <w:shd w:val="clear" w:color="000000" w:fill="D9D9D9"/>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-1.72803</w:t>
            </w:r>
          </w:p>
        </w:tc>
        <w:tc>
          <w:tcPr>
            <w:tcW w:w="394" w:type="pct"/>
            <w:tcBorders>
              <w:top w:val="nil"/>
              <w:left w:val="nil"/>
              <w:bottom w:val="nil"/>
              <w:right w:val="nil"/>
            </w:tcBorders>
            <w:shd w:val="clear" w:color="auto" w:fill="auto"/>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-4.64695</w:t>
            </w:r>
          </w:p>
        </w:tc>
        <w:tc>
          <w:tcPr>
            <w:tcW w:w="394" w:type="pct"/>
            <w:tcBorders>
              <w:top w:val="nil"/>
              <w:left w:val="nil"/>
              <w:bottom w:val="nil"/>
              <w:right w:val="nil"/>
            </w:tcBorders>
            <w:shd w:val="clear" w:color="000000" w:fill="D9D9D9"/>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0.004629</w:t>
            </w:r>
          </w:p>
        </w:tc>
        <w:tc>
          <w:tcPr>
            <w:tcW w:w="394" w:type="pct"/>
            <w:gridSpan w:val="2"/>
            <w:tcBorders>
              <w:top w:val="nil"/>
              <w:left w:val="nil"/>
              <w:bottom w:val="nil"/>
              <w:right w:val="nil"/>
            </w:tcBorders>
            <w:shd w:val="clear" w:color="auto" w:fill="auto"/>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5.55715</w:t>
            </w:r>
          </w:p>
        </w:tc>
        <w:tc>
          <w:tcPr>
            <w:tcW w:w="394" w:type="pct"/>
            <w:tcBorders>
              <w:top w:val="nil"/>
              <w:left w:val="single" w:sz="4" w:space="0" w:color="auto"/>
              <w:bottom w:val="nil"/>
              <w:right w:val="nil"/>
            </w:tcBorders>
            <w:shd w:val="clear" w:color="000000" w:fill="F2F2F2"/>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0.14</w:t>
            </w:r>
          </w:p>
        </w:tc>
        <w:tc>
          <w:tcPr>
            <w:tcW w:w="394" w:type="pct"/>
            <w:tcBorders>
              <w:top w:val="nil"/>
              <w:left w:val="nil"/>
              <w:bottom w:val="nil"/>
              <w:right w:val="nil"/>
            </w:tcBorders>
            <w:shd w:val="clear" w:color="000000" w:fill="F3E0E0"/>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0.7262</w:t>
            </w:r>
          </w:p>
        </w:tc>
        <w:tc>
          <w:tcPr>
            <w:tcW w:w="394" w:type="pct"/>
            <w:tcBorders>
              <w:top w:val="nil"/>
              <w:left w:val="nil"/>
              <w:bottom w:val="nil"/>
              <w:right w:val="single" w:sz="4" w:space="0" w:color="auto"/>
            </w:tcBorders>
            <w:shd w:val="clear" w:color="000000" w:fill="F2F2F2"/>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1.04E-05</w:t>
            </w:r>
          </w:p>
        </w:tc>
      </w:tr>
      <w:tr w:rsidR="00722964" w:rsidRPr="00722964" w:rsidTr="00722964">
        <w:trPr>
          <w:trHeight w:val="300"/>
        </w:trPr>
        <w:tc>
          <w:tcPr>
            <w:tcW w:w="667" w:type="pct"/>
            <w:tcBorders>
              <w:top w:val="nil"/>
              <w:left w:val="single" w:sz="8" w:space="0" w:color="auto"/>
              <w:bottom w:val="nil"/>
              <w:right w:val="single" w:sz="4" w:space="0" w:color="auto"/>
            </w:tcBorders>
            <w:shd w:val="clear" w:color="auto" w:fill="auto"/>
            <w:noWrap/>
            <w:vAlign w:val="bottom"/>
            <w:hideMark/>
          </w:tcPr>
          <w:p w:rsidR="00D02E81" w:rsidRPr="00722964" w:rsidRDefault="00D02E81" w:rsidP="00D02E81">
            <w:pPr>
              <w:spacing w:after="0" w:line="240" w:lineRule="auto"/>
              <w:rPr>
                <w:rFonts w:ascii="Calibri" w:eastAsia="Times New Roman" w:hAnsi="Calibri" w:cs="Calibri"/>
                <w:b/>
                <w:bCs/>
                <w:color w:val="000000"/>
                <w:sz w:val="14"/>
              </w:rPr>
            </w:pPr>
            <w:r w:rsidRPr="00722964">
              <w:rPr>
                <w:rFonts w:ascii="Calibri" w:eastAsia="Times New Roman" w:hAnsi="Calibri" w:cs="Calibri"/>
                <w:b/>
                <w:bCs/>
                <w:color w:val="000000"/>
                <w:sz w:val="14"/>
              </w:rPr>
              <w:t>labor force participation 25-34</w:t>
            </w:r>
          </w:p>
        </w:tc>
        <w:tc>
          <w:tcPr>
            <w:tcW w:w="394" w:type="pct"/>
            <w:tcBorders>
              <w:top w:val="nil"/>
              <w:left w:val="nil"/>
              <w:bottom w:val="nil"/>
              <w:right w:val="nil"/>
            </w:tcBorders>
            <w:shd w:val="clear" w:color="000000" w:fill="D9D9D9"/>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-1.62664</w:t>
            </w:r>
          </w:p>
        </w:tc>
        <w:tc>
          <w:tcPr>
            <w:tcW w:w="394" w:type="pct"/>
            <w:tcBorders>
              <w:top w:val="nil"/>
              <w:left w:val="nil"/>
              <w:bottom w:val="nil"/>
              <w:right w:val="nil"/>
            </w:tcBorders>
            <w:shd w:val="clear" w:color="auto" w:fill="auto"/>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-5.14643</w:t>
            </w:r>
          </w:p>
        </w:tc>
        <w:tc>
          <w:tcPr>
            <w:tcW w:w="394" w:type="pct"/>
            <w:tcBorders>
              <w:top w:val="nil"/>
              <w:left w:val="nil"/>
              <w:bottom w:val="nil"/>
              <w:right w:val="nil"/>
            </w:tcBorders>
            <w:shd w:val="clear" w:color="000000" w:fill="D9D9D9"/>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0.00462</w:t>
            </w:r>
          </w:p>
        </w:tc>
        <w:tc>
          <w:tcPr>
            <w:tcW w:w="394" w:type="pct"/>
            <w:gridSpan w:val="2"/>
            <w:tcBorders>
              <w:top w:val="nil"/>
              <w:left w:val="nil"/>
              <w:bottom w:val="nil"/>
              <w:right w:val="single" w:sz="4" w:space="0" w:color="auto"/>
            </w:tcBorders>
            <w:shd w:val="clear" w:color="auto" w:fill="auto"/>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5.51242</w:t>
            </w:r>
          </w:p>
        </w:tc>
        <w:tc>
          <w:tcPr>
            <w:tcW w:w="394" w:type="pct"/>
            <w:tcBorders>
              <w:top w:val="nil"/>
              <w:left w:val="nil"/>
              <w:bottom w:val="nil"/>
              <w:right w:val="nil"/>
            </w:tcBorders>
            <w:shd w:val="clear" w:color="000000" w:fill="D9D9D9"/>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-1.81494</w:t>
            </w:r>
          </w:p>
        </w:tc>
        <w:tc>
          <w:tcPr>
            <w:tcW w:w="394" w:type="pct"/>
            <w:tcBorders>
              <w:top w:val="nil"/>
              <w:left w:val="nil"/>
              <w:bottom w:val="nil"/>
              <w:right w:val="nil"/>
            </w:tcBorders>
            <w:shd w:val="clear" w:color="auto" w:fill="auto"/>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-5.33473</w:t>
            </w:r>
          </w:p>
        </w:tc>
        <w:tc>
          <w:tcPr>
            <w:tcW w:w="394" w:type="pct"/>
            <w:tcBorders>
              <w:top w:val="nil"/>
              <w:left w:val="nil"/>
              <w:bottom w:val="nil"/>
              <w:right w:val="nil"/>
            </w:tcBorders>
            <w:shd w:val="clear" w:color="000000" w:fill="D9D9D9"/>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0.00462</w:t>
            </w:r>
          </w:p>
        </w:tc>
        <w:tc>
          <w:tcPr>
            <w:tcW w:w="394" w:type="pct"/>
            <w:gridSpan w:val="2"/>
            <w:tcBorders>
              <w:top w:val="nil"/>
              <w:left w:val="nil"/>
              <w:bottom w:val="nil"/>
              <w:right w:val="nil"/>
            </w:tcBorders>
            <w:shd w:val="clear" w:color="auto" w:fill="auto"/>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5.37636</w:t>
            </w:r>
          </w:p>
        </w:tc>
        <w:tc>
          <w:tcPr>
            <w:tcW w:w="394" w:type="pct"/>
            <w:tcBorders>
              <w:top w:val="nil"/>
              <w:left w:val="single" w:sz="4" w:space="0" w:color="auto"/>
              <w:bottom w:val="nil"/>
              <w:right w:val="nil"/>
            </w:tcBorders>
            <w:shd w:val="clear" w:color="000000" w:fill="F2F2F2"/>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0.14</w:t>
            </w:r>
          </w:p>
        </w:tc>
        <w:tc>
          <w:tcPr>
            <w:tcW w:w="394" w:type="pct"/>
            <w:tcBorders>
              <w:top w:val="nil"/>
              <w:left w:val="nil"/>
              <w:bottom w:val="nil"/>
              <w:right w:val="nil"/>
            </w:tcBorders>
            <w:shd w:val="clear" w:color="000000" w:fill="F2EEEE"/>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0.1883</w:t>
            </w:r>
          </w:p>
        </w:tc>
        <w:tc>
          <w:tcPr>
            <w:tcW w:w="394" w:type="pct"/>
            <w:tcBorders>
              <w:top w:val="nil"/>
              <w:left w:val="nil"/>
              <w:bottom w:val="nil"/>
              <w:right w:val="single" w:sz="4" w:space="0" w:color="auto"/>
            </w:tcBorders>
            <w:shd w:val="clear" w:color="000000" w:fill="FFFFFF"/>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0</w:t>
            </w:r>
          </w:p>
        </w:tc>
      </w:tr>
      <w:tr w:rsidR="00722964" w:rsidRPr="00722964" w:rsidTr="00722964">
        <w:trPr>
          <w:trHeight w:val="300"/>
        </w:trPr>
        <w:tc>
          <w:tcPr>
            <w:tcW w:w="667" w:type="pct"/>
            <w:tcBorders>
              <w:top w:val="nil"/>
              <w:left w:val="single" w:sz="8" w:space="0" w:color="auto"/>
              <w:bottom w:val="nil"/>
              <w:right w:val="single" w:sz="4" w:space="0" w:color="auto"/>
            </w:tcBorders>
            <w:shd w:val="clear" w:color="auto" w:fill="auto"/>
            <w:noWrap/>
            <w:vAlign w:val="bottom"/>
            <w:hideMark/>
          </w:tcPr>
          <w:p w:rsidR="00D02E81" w:rsidRPr="00722964" w:rsidRDefault="00D02E81" w:rsidP="00D02E81">
            <w:pPr>
              <w:spacing w:after="0" w:line="240" w:lineRule="auto"/>
              <w:rPr>
                <w:rFonts w:ascii="Calibri" w:eastAsia="Times New Roman" w:hAnsi="Calibri" w:cs="Calibri"/>
                <w:b/>
                <w:bCs/>
                <w:color w:val="000000"/>
                <w:sz w:val="14"/>
              </w:rPr>
            </w:pPr>
            <w:r w:rsidRPr="00722964">
              <w:rPr>
                <w:rFonts w:ascii="Calibri" w:eastAsia="Times New Roman" w:hAnsi="Calibri" w:cs="Calibri"/>
                <w:b/>
                <w:bCs/>
                <w:color w:val="000000"/>
                <w:sz w:val="14"/>
              </w:rPr>
              <w:t>Liver transplant cost 2nd+ year</w:t>
            </w:r>
          </w:p>
        </w:tc>
        <w:tc>
          <w:tcPr>
            <w:tcW w:w="394" w:type="pct"/>
            <w:tcBorders>
              <w:top w:val="nil"/>
              <w:left w:val="nil"/>
              <w:bottom w:val="nil"/>
              <w:right w:val="nil"/>
            </w:tcBorders>
            <w:shd w:val="clear" w:color="000000" w:fill="D9D9D9"/>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-1.72803</w:t>
            </w:r>
          </w:p>
        </w:tc>
        <w:tc>
          <w:tcPr>
            <w:tcW w:w="394" w:type="pct"/>
            <w:tcBorders>
              <w:top w:val="nil"/>
              <w:left w:val="nil"/>
              <w:bottom w:val="nil"/>
              <w:right w:val="nil"/>
            </w:tcBorders>
            <w:shd w:val="clear" w:color="auto" w:fill="auto"/>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-4.85642</w:t>
            </w:r>
          </w:p>
        </w:tc>
        <w:tc>
          <w:tcPr>
            <w:tcW w:w="394" w:type="pct"/>
            <w:tcBorders>
              <w:top w:val="nil"/>
              <w:left w:val="nil"/>
              <w:bottom w:val="nil"/>
              <w:right w:val="nil"/>
            </w:tcBorders>
            <w:shd w:val="clear" w:color="000000" w:fill="D9D9D9"/>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0.00462</w:t>
            </w:r>
          </w:p>
        </w:tc>
        <w:tc>
          <w:tcPr>
            <w:tcW w:w="394" w:type="pct"/>
            <w:gridSpan w:val="2"/>
            <w:tcBorders>
              <w:top w:val="nil"/>
              <w:left w:val="nil"/>
              <w:bottom w:val="nil"/>
              <w:right w:val="single" w:sz="4" w:space="0" w:color="auto"/>
            </w:tcBorders>
            <w:shd w:val="clear" w:color="auto" w:fill="auto"/>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5.49508</w:t>
            </w:r>
          </w:p>
        </w:tc>
        <w:tc>
          <w:tcPr>
            <w:tcW w:w="394" w:type="pct"/>
            <w:tcBorders>
              <w:top w:val="nil"/>
              <w:left w:val="nil"/>
              <w:bottom w:val="nil"/>
              <w:right w:val="nil"/>
            </w:tcBorders>
            <w:shd w:val="clear" w:color="000000" w:fill="D9D9D9"/>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-1.72803</w:t>
            </w:r>
          </w:p>
        </w:tc>
        <w:tc>
          <w:tcPr>
            <w:tcW w:w="394" w:type="pct"/>
            <w:tcBorders>
              <w:top w:val="nil"/>
              <w:left w:val="nil"/>
              <w:bottom w:val="nil"/>
              <w:right w:val="nil"/>
            </w:tcBorders>
            <w:shd w:val="clear" w:color="auto" w:fill="auto"/>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-5.63923</w:t>
            </w:r>
          </w:p>
        </w:tc>
        <w:tc>
          <w:tcPr>
            <w:tcW w:w="394" w:type="pct"/>
            <w:tcBorders>
              <w:top w:val="nil"/>
              <w:left w:val="nil"/>
              <w:bottom w:val="nil"/>
              <w:right w:val="nil"/>
            </w:tcBorders>
            <w:shd w:val="clear" w:color="000000" w:fill="D9D9D9"/>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0.00462</w:t>
            </w:r>
          </w:p>
        </w:tc>
        <w:tc>
          <w:tcPr>
            <w:tcW w:w="394" w:type="pct"/>
            <w:gridSpan w:val="2"/>
            <w:tcBorders>
              <w:top w:val="nil"/>
              <w:left w:val="nil"/>
              <w:bottom w:val="nil"/>
              <w:right w:val="nil"/>
            </w:tcBorders>
            <w:shd w:val="clear" w:color="auto" w:fill="auto"/>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5.38381</w:t>
            </w:r>
          </w:p>
        </w:tc>
        <w:tc>
          <w:tcPr>
            <w:tcW w:w="394" w:type="pct"/>
            <w:tcBorders>
              <w:top w:val="nil"/>
              <w:left w:val="single" w:sz="4" w:space="0" w:color="auto"/>
              <w:bottom w:val="nil"/>
              <w:right w:val="nil"/>
            </w:tcBorders>
            <w:shd w:val="clear" w:color="000000" w:fill="F2F2F2"/>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0.11</w:t>
            </w:r>
          </w:p>
        </w:tc>
        <w:tc>
          <w:tcPr>
            <w:tcW w:w="394" w:type="pct"/>
            <w:tcBorders>
              <w:top w:val="nil"/>
              <w:left w:val="nil"/>
              <w:bottom w:val="nil"/>
              <w:right w:val="nil"/>
            </w:tcBorders>
            <w:shd w:val="clear" w:color="000000" w:fill="F3DEDE"/>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0.78281</w:t>
            </w:r>
          </w:p>
        </w:tc>
        <w:tc>
          <w:tcPr>
            <w:tcW w:w="394" w:type="pct"/>
            <w:tcBorders>
              <w:top w:val="nil"/>
              <w:left w:val="nil"/>
              <w:bottom w:val="nil"/>
              <w:right w:val="single" w:sz="4" w:space="0" w:color="auto"/>
            </w:tcBorders>
            <w:shd w:val="clear" w:color="000000" w:fill="FFFFFF"/>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0</w:t>
            </w:r>
          </w:p>
        </w:tc>
      </w:tr>
      <w:tr w:rsidR="00722964" w:rsidRPr="00722964" w:rsidTr="00722964">
        <w:trPr>
          <w:trHeight w:val="300"/>
        </w:trPr>
        <w:tc>
          <w:tcPr>
            <w:tcW w:w="667" w:type="pct"/>
            <w:tcBorders>
              <w:top w:val="nil"/>
              <w:left w:val="single" w:sz="8" w:space="0" w:color="auto"/>
              <w:bottom w:val="nil"/>
              <w:right w:val="single" w:sz="4" w:space="0" w:color="auto"/>
            </w:tcBorders>
            <w:shd w:val="clear" w:color="auto" w:fill="auto"/>
            <w:noWrap/>
            <w:vAlign w:val="bottom"/>
            <w:hideMark/>
          </w:tcPr>
          <w:p w:rsidR="00D02E81" w:rsidRPr="00722964" w:rsidRDefault="00D02E81" w:rsidP="00D02E81">
            <w:pPr>
              <w:spacing w:after="0" w:line="240" w:lineRule="auto"/>
              <w:rPr>
                <w:rFonts w:ascii="Calibri" w:eastAsia="Times New Roman" w:hAnsi="Calibri" w:cs="Calibri"/>
                <w:b/>
                <w:bCs/>
                <w:color w:val="000000"/>
                <w:sz w:val="14"/>
              </w:rPr>
            </w:pPr>
            <w:r w:rsidRPr="00722964">
              <w:rPr>
                <w:rFonts w:ascii="Calibri" w:eastAsia="Times New Roman" w:hAnsi="Calibri" w:cs="Calibri"/>
                <w:b/>
                <w:bCs/>
                <w:color w:val="000000"/>
                <w:sz w:val="14"/>
              </w:rPr>
              <w:t>Probability of death after 1st year liver transplant</w:t>
            </w:r>
          </w:p>
        </w:tc>
        <w:tc>
          <w:tcPr>
            <w:tcW w:w="394" w:type="pct"/>
            <w:tcBorders>
              <w:top w:val="nil"/>
              <w:left w:val="nil"/>
              <w:bottom w:val="nil"/>
              <w:right w:val="nil"/>
            </w:tcBorders>
            <w:shd w:val="clear" w:color="000000" w:fill="D9D9D9"/>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-1.72803</w:t>
            </w:r>
          </w:p>
        </w:tc>
        <w:tc>
          <w:tcPr>
            <w:tcW w:w="394" w:type="pct"/>
            <w:tcBorders>
              <w:top w:val="nil"/>
              <w:left w:val="nil"/>
              <w:bottom w:val="nil"/>
              <w:right w:val="nil"/>
            </w:tcBorders>
            <w:shd w:val="clear" w:color="auto" w:fill="auto"/>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-5.66393</w:t>
            </w:r>
          </w:p>
        </w:tc>
        <w:tc>
          <w:tcPr>
            <w:tcW w:w="394" w:type="pct"/>
            <w:tcBorders>
              <w:top w:val="nil"/>
              <w:left w:val="nil"/>
              <w:bottom w:val="nil"/>
              <w:right w:val="nil"/>
            </w:tcBorders>
            <w:shd w:val="clear" w:color="000000" w:fill="D9D9D9"/>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0.004614</w:t>
            </w:r>
          </w:p>
        </w:tc>
        <w:tc>
          <w:tcPr>
            <w:tcW w:w="394" w:type="pct"/>
            <w:gridSpan w:val="2"/>
            <w:tcBorders>
              <w:top w:val="nil"/>
              <w:left w:val="nil"/>
              <w:bottom w:val="nil"/>
              <w:right w:val="single" w:sz="4" w:space="0" w:color="auto"/>
            </w:tcBorders>
            <w:shd w:val="clear" w:color="auto" w:fill="auto"/>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5.43069</w:t>
            </w:r>
          </w:p>
        </w:tc>
        <w:tc>
          <w:tcPr>
            <w:tcW w:w="394" w:type="pct"/>
            <w:tcBorders>
              <w:top w:val="nil"/>
              <w:left w:val="nil"/>
              <w:bottom w:val="nil"/>
              <w:right w:val="nil"/>
            </w:tcBorders>
            <w:shd w:val="clear" w:color="000000" w:fill="D9D9D9"/>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-1.72803</w:t>
            </w:r>
          </w:p>
        </w:tc>
        <w:tc>
          <w:tcPr>
            <w:tcW w:w="394" w:type="pct"/>
            <w:tcBorders>
              <w:top w:val="nil"/>
              <w:left w:val="nil"/>
              <w:bottom w:val="nil"/>
              <w:right w:val="nil"/>
            </w:tcBorders>
            <w:shd w:val="clear" w:color="auto" w:fill="auto"/>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-4.47844</w:t>
            </w:r>
          </w:p>
        </w:tc>
        <w:tc>
          <w:tcPr>
            <w:tcW w:w="394" w:type="pct"/>
            <w:tcBorders>
              <w:top w:val="nil"/>
              <w:left w:val="nil"/>
              <w:bottom w:val="nil"/>
              <w:right w:val="nil"/>
            </w:tcBorders>
            <w:shd w:val="clear" w:color="000000" w:fill="D9D9D9"/>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0.004632</w:t>
            </w:r>
          </w:p>
        </w:tc>
        <w:tc>
          <w:tcPr>
            <w:tcW w:w="394" w:type="pct"/>
            <w:gridSpan w:val="2"/>
            <w:tcBorders>
              <w:top w:val="nil"/>
              <w:left w:val="nil"/>
              <w:bottom w:val="nil"/>
              <w:right w:val="nil"/>
            </w:tcBorders>
            <w:shd w:val="clear" w:color="auto" w:fill="auto"/>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5.46091</w:t>
            </w:r>
          </w:p>
        </w:tc>
        <w:tc>
          <w:tcPr>
            <w:tcW w:w="394" w:type="pct"/>
            <w:tcBorders>
              <w:top w:val="nil"/>
              <w:left w:val="single" w:sz="4" w:space="0" w:color="auto"/>
              <w:bottom w:val="nil"/>
              <w:right w:val="nil"/>
            </w:tcBorders>
            <w:shd w:val="clear" w:color="000000" w:fill="F2F2F2"/>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0.03</w:t>
            </w:r>
          </w:p>
        </w:tc>
        <w:tc>
          <w:tcPr>
            <w:tcW w:w="394" w:type="pct"/>
            <w:tcBorders>
              <w:top w:val="nil"/>
              <w:left w:val="nil"/>
              <w:bottom w:val="nil"/>
              <w:right w:val="nil"/>
            </w:tcBorders>
            <w:shd w:val="clear" w:color="000000" w:fill="F3D3D3"/>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1.18549</w:t>
            </w:r>
          </w:p>
        </w:tc>
        <w:tc>
          <w:tcPr>
            <w:tcW w:w="394" w:type="pct"/>
            <w:tcBorders>
              <w:top w:val="nil"/>
              <w:left w:val="nil"/>
              <w:bottom w:val="nil"/>
              <w:right w:val="single" w:sz="4" w:space="0" w:color="auto"/>
            </w:tcBorders>
            <w:shd w:val="clear" w:color="000000" w:fill="F2F2F2"/>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1.79E-05</w:t>
            </w:r>
          </w:p>
        </w:tc>
      </w:tr>
      <w:tr w:rsidR="00722964" w:rsidRPr="00722964" w:rsidTr="00722964">
        <w:trPr>
          <w:trHeight w:val="300"/>
        </w:trPr>
        <w:tc>
          <w:tcPr>
            <w:tcW w:w="667" w:type="pct"/>
            <w:tcBorders>
              <w:top w:val="nil"/>
              <w:left w:val="single" w:sz="8" w:space="0" w:color="auto"/>
              <w:bottom w:val="nil"/>
              <w:right w:val="single" w:sz="4" w:space="0" w:color="auto"/>
            </w:tcBorders>
            <w:shd w:val="clear" w:color="auto" w:fill="auto"/>
            <w:noWrap/>
            <w:vAlign w:val="bottom"/>
            <w:hideMark/>
          </w:tcPr>
          <w:p w:rsidR="00D02E81" w:rsidRPr="00722964" w:rsidRDefault="00D02E81" w:rsidP="00D02E81">
            <w:pPr>
              <w:spacing w:after="0" w:line="240" w:lineRule="auto"/>
              <w:rPr>
                <w:rFonts w:ascii="Calibri" w:eastAsia="Times New Roman" w:hAnsi="Calibri" w:cs="Calibri"/>
                <w:b/>
                <w:bCs/>
                <w:color w:val="000000"/>
                <w:sz w:val="14"/>
              </w:rPr>
            </w:pPr>
            <w:r w:rsidRPr="00722964">
              <w:rPr>
                <w:rFonts w:ascii="Calibri" w:eastAsia="Times New Roman" w:hAnsi="Calibri" w:cs="Calibri"/>
                <w:b/>
                <w:bCs/>
                <w:color w:val="000000"/>
                <w:sz w:val="14"/>
              </w:rPr>
              <w:t>Work loss days, inpatient</w:t>
            </w:r>
          </w:p>
        </w:tc>
        <w:tc>
          <w:tcPr>
            <w:tcW w:w="394" w:type="pct"/>
            <w:tcBorders>
              <w:top w:val="nil"/>
              <w:left w:val="nil"/>
              <w:bottom w:val="nil"/>
              <w:right w:val="nil"/>
            </w:tcBorders>
            <w:shd w:val="clear" w:color="000000" w:fill="D9D9D9"/>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-1.6803</w:t>
            </w:r>
          </w:p>
        </w:tc>
        <w:tc>
          <w:tcPr>
            <w:tcW w:w="394" w:type="pct"/>
            <w:tcBorders>
              <w:top w:val="nil"/>
              <w:left w:val="nil"/>
              <w:bottom w:val="nil"/>
              <w:right w:val="nil"/>
            </w:tcBorders>
            <w:shd w:val="clear" w:color="auto" w:fill="auto"/>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-5.2001</w:t>
            </w:r>
          </w:p>
        </w:tc>
        <w:tc>
          <w:tcPr>
            <w:tcW w:w="394" w:type="pct"/>
            <w:tcBorders>
              <w:top w:val="nil"/>
              <w:left w:val="nil"/>
              <w:bottom w:val="nil"/>
              <w:right w:val="nil"/>
            </w:tcBorders>
            <w:shd w:val="clear" w:color="000000" w:fill="D9D9D9"/>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0.00462</w:t>
            </w:r>
          </w:p>
        </w:tc>
        <w:tc>
          <w:tcPr>
            <w:tcW w:w="394" w:type="pct"/>
            <w:gridSpan w:val="2"/>
            <w:tcBorders>
              <w:top w:val="nil"/>
              <w:left w:val="nil"/>
              <w:bottom w:val="nil"/>
              <w:right w:val="single" w:sz="4" w:space="0" w:color="auto"/>
            </w:tcBorders>
            <w:shd w:val="clear" w:color="auto" w:fill="auto"/>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5.47656</w:t>
            </w:r>
          </w:p>
        </w:tc>
        <w:tc>
          <w:tcPr>
            <w:tcW w:w="394" w:type="pct"/>
            <w:tcBorders>
              <w:top w:val="nil"/>
              <w:left w:val="nil"/>
              <w:bottom w:val="nil"/>
              <w:right w:val="nil"/>
            </w:tcBorders>
            <w:shd w:val="clear" w:color="000000" w:fill="D9D9D9"/>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-1.71116</w:t>
            </w:r>
          </w:p>
        </w:tc>
        <w:tc>
          <w:tcPr>
            <w:tcW w:w="394" w:type="pct"/>
            <w:tcBorders>
              <w:top w:val="nil"/>
              <w:left w:val="nil"/>
              <w:bottom w:val="nil"/>
              <w:right w:val="nil"/>
            </w:tcBorders>
            <w:shd w:val="clear" w:color="auto" w:fill="auto"/>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-5.23095</w:t>
            </w:r>
          </w:p>
        </w:tc>
        <w:tc>
          <w:tcPr>
            <w:tcW w:w="394" w:type="pct"/>
            <w:tcBorders>
              <w:top w:val="nil"/>
              <w:left w:val="nil"/>
              <w:bottom w:val="nil"/>
              <w:right w:val="nil"/>
            </w:tcBorders>
            <w:shd w:val="clear" w:color="000000" w:fill="D9D9D9"/>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0.00462</w:t>
            </w:r>
          </w:p>
        </w:tc>
        <w:tc>
          <w:tcPr>
            <w:tcW w:w="394" w:type="pct"/>
            <w:gridSpan w:val="2"/>
            <w:tcBorders>
              <w:top w:val="nil"/>
              <w:left w:val="nil"/>
              <w:bottom w:val="nil"/>
              <w:right w:val="nil"/>
            </w:tcBorders>
            <w:shd w:val="clear" w:color="auto" w:fill="auto"/>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5.45142</w:t>
            </w:r>
          </w:p>
        </w:tc>
        <w:tc>
          <w:tcPr>
            <w:tcW w:w="394" w:type="pct"/>
            <w:tcBorders>
              <w:top w:val="nil"/>
              <w:left w:val="single" w:sz="4" w:space="0" w:color="auto"/>
              <w:bottom w:val="nil"/>
              <w:right w:val="nil"/>
            </w:tcBorders>
            <w:shd w:val="clear" w:color="000000" w:fill="F2F2F2"/>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0.03</w:t>
            </w:r>
          </w:p>
        </w:tc>
        <w:tc>
          <w:tcPr>
            <w:tcW w:w="394" w:type="pct"/>
            <w:tcBorders>
              <w:top w:val="nil"/>
              <w:left w:val="nil"/>
              <w:bottom w:val="nil"/>
              <w:right w:val="nil"/>
            </w:tcBorders>
            <w:shd w:val="clear" w:color="000000" w:fill="F2F2F2"/>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0.03085</w:t>
            </w:r>
          </w:p>
        </w:tc>
        <w:tc>
          <w:tcPr>
            <w:tcW w:w="394" w:type="pct"/>
            <w:tcBorders>
              <w:top w:val="nil"/>
              <w:left w:val="nil"/>
              <w:bottom w:val="nil"/>
              <w:right w:val="single" w:sz="4" w:space="0" w:color="auto"/>
            </w:tcBorders>
            <w:shd w:val="clear" w:color="000000" w:fill="FFFFFF"/>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0</w:t>
            </w:r>
          </w:p>
        </w:tc>
      </w:tr>
      <w:tr w:rsidR="00722964" w:rsidRPr="00722964" w:rsidTr="00722964">
        <w:trPr>
          <w:trHeight w:val="300"/>
        </w:trPr>
        <w:tc>
          <w:tcPr>
            <w:tcW w:w="667" w:type="pct"/>
            <w:tcBorders>
              <w:top w:val="nil"/>
              <w:left w:val="single" w:sz="8" w:space="0" w:color="auto"/>
              <w:bottom w:val="nil"/>
              <w:right w:val="single" w:sz="4" w:space="0" w:color="auto"/>
            </w:tcBorders>
            <w:shd w:val="clear" w:color="auto" w:fill="auto"/>
            <w:noWrap/>
            <w:vAlign w:val="bottom"/>
            <w:hideMark/>
          </w:tcPr>
          <w:p w:rsidR="00D02E81" w:rsidRPr="00722964" w:rsidRDefault="00D02E81" w:rsidP="00D02E81">
            <w:pPr>
              <w:spacing w:after="0" w:line="240" w:lineRule="auto"/>
              <w:rPr>
                <w:rFonts w:ascii="Calibri" w:eastAsia="Times New Roman" w:hAnsi="Calibri" w:cs="Calibri"/>
                <w:b/>
                <w:bCs/>
                <w:color w:val="000000"/>
                <w:sz w:val="14"/>
              </w:rPr>
            </w:pPr>
            <w:r w:rsidRPr="00722964">
              <w:rPr>
                <w:rFonts w:ascii="Calibri" w:eastAsia="Times New Roman" w:hAnsi="Calibri" w:cs="Calibri"/>
                <w:b/>
                <w:bCs/>
                <w:color w:val="000000"/>
                <w:sz w:val="14"/>
              </w:rPr>
              <w:t>labor force participation 35-44</w:t>
            </w:r>
          </w:p>
        </w:tc>
        <w:tc>
          <w:tcPr>
            <w:tcW w:w="394" w:type="pct"/>
            <w:tcBorders>
              <w:top w:val="nil"/>
              <w:left w:val="nil"/>
              <w:bottom w:val="nil"/>
              <w:right w:val="nil"/>
            </w:tcBorders>
            <w:shd w:val="clear" w:color="000000" w:fill="D9D9D9"/>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-1.69652</w:t>
            </w:r>
          </w:p>
        </w:tc>
        <w:tc>
          <w:tcPr>
            <w:tcW w:w="394" w:type="pct"/>
            <w:tcBorders>
              <w:top w:val="nil"/>
              <w:left w:val="nil"/>
              <w:bottom w:val="nil"/>
              <w:right w:val="nil"/>
            </w:tcBorders>
            <w:shd w:val="clear" w:color="auto" w:fill="auto"/>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-5.21631</w:t>
            </w:r>
          </w:p>
        </w:tc>
        <w:tc>
          <w:tcPr>
            <w:tcW w:w="394" w:type="pct"/>
            <w:tcBorders>
              <w:top w:val="nil"/>
              <w:left w:val="nil"/>
              <w:bottom w:val="nil"/>
              <w:right w:val="nil"/>
            </w:tcBorders>
            <w:shd w:val="clear" w:color="000000" w:fill="D9D9D9"/>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0.00462</w:t>
            </w:r>
          </w:p>
        </w:tc>
        <w:tc>
          <w:tcPr>
            <w:tcW w:w="394" w:type="pct"/>
            <w:gridSpan w:val="2"/>
            <w:tcBorders>
              <w:top w:val="nil"/>
              <w:left w:val="nil"/>
              <w:bottom w:val="nil"/>
              <w:right w:val="single" w:sz="4" w:space="0" w:color="auto"/>
            </w:tcBorders>
            <w:shd w:val="clear" w:color="auto" w:fill="auto"/>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5.44426</w:t>
            </w:r>
          </w:p>
        </w:tc>
        <w:tc>
          <w:tcPr>
            <w:tcW w:w="394" w:type="pct"/>
            <w:tcBorders>
              <w:top w:val="nil"/>
              <w:left w:val="nil"/>
              <w:bottom w:val="nil"/>
              <w:right w:val="nil"/>
            </w:tcBorders>
            <w:shd w:val="clear" w:color="000000" w:fill="D9D9D9"/>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-1.7698</w:t>
            </w:r>
          </w:p>
        </w:tc>
        <w:tc>
          <w:tcPr>
            <w:tcW w:w="394" w:type="pct"/>
            <w:tcBorders>
              <w:top w:val="nil"/>
              <w:left w:val="nil"/>
              <w:bottom w:val="nil"/>
              <w:right w:val="nil"/>
            </w:tcBorders>
            <w:shd w:val="clear" w:color="auto" w:fill="auto"/>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-5.28959</w:t>
            </w:r>
          </w:p>
        </w:tc>
        <w:tc>
          <w:tcPr>
            <w:tcW w:w="394" w:type="pct"/>
            <w:tcBorders>
              <w:top w:val="nil"/>
              <w:left w:val="nil"/>
              <w:bottom w:val="nil"/>
              <w:right w:val="nil"/>
            </w:tcBorders>
            <w:shd w:val="clear" w:color="000000" w:fill="D9D9D9"/>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0.00462</w:t>
            </w:r>
          </w:p>
        </w:tc>
        <w:tc>
          <w:tcPr>
            <w:tcW w:w="394" w:type="pct"/>
            <w:gridSpan w:val="2"/>
            <w:tcBorders>
              <w:top w:val="nil"/>
              <w:left w:val="nil"/>
              <w:bottom w:val="nil"/>
              <w:right w:val="nil"/>
            </w:tcBorders>
            <w:shd w:val="clear" w:color="auto" w:fill="auto"/>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5.42934</w:t>
            </w:r>
          </w:p>
        </w:tc>
        <w:tc>
          <w:tcPr>
            <w:tcW w:w="394" w:type="pct"/>
            <w:tcBorders>
              <w:top w:val="nil"/>
              <w:left w:val="single" w:sz="4" w:space="0" w:color="auto"/>
              <w:bottom w:val="nil"/>
              <w:right w:val="nil"/>
            </w:tcBorders>
            <w:shd w:val="clear" w:color="000000" w:fill="F2F2F2"/>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0.01</w:t>
            </w:r>
          </w:p>
        </w:tc>
        <w:tc>
          <w:tcPr>
            <w:tcW w:w="394" w:type="pct"/>
            <w:tcBorders>
              <w:top w:val="nil"/>
              <w:left w:val="nil"/>
              <w:bottom w:val="nil"/>
              <w:right w:val="nil"/>
            </w:tcBorders>
            <w:shd w:val="clear" w:color="000000" w:fill="F2F1F1"/>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0.07328</w:t>
            </w:r>
          </w:p>
        </w:tc>
        <w:tc>
          <w:tcPr>
            <w:tcW w:w="394" w:type="pct"/>
            <w:tcBorders>
              <w:top w:val="nil"/>
              <w:left w:val="nil"/>
              <w:bottom w:val="nil"/>
              <w:right w:val="single" w:sz="4" w:space="0" w:color="auto"/>
            </w:tcBorders>
            <w:shd w:val="clear" w:color="000000" w:fill="FFFFFF"/>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0</w:t>
            </w:r>
          </w:p>
        </w:tc>
      </w:tr>
      <w:tr w:rsidR="00722964" w:rsidRPr="00722964" w:rsidTr="00722964">
        <w:trPr>
          <w:trHeight w:val="300"/>
        </w:trPr>
        <w:tc>
          <w:tcPr>
            <w:tcW w:w="667" w:type="pct"/>
            <w:tcBorders>
              <w:top w:val="nil"/>
              <w:left w:val="single" w:sz="8" w:space="0" w:color="auto"/>
              <w:bottom w:val="nil"/>
              <w:right w:val="single" w:sz="4" w:space="0" w:color="auto"/>
            </w:tcBorders>
            <w:shd w:val="clear" w:color="auto" w:fill="auto"/>
            <w:noWrap/>
            <w:vAlign w:val="bottom"/>
            <w:hideMark/>
          </w:tcPr>
          <w:p w:rsidR="00D02E81" w:rsidRPr="00722964" w:rsidRDefault="00D02E81" w:rsidP="00D02E81">
            <w:pPr>
              <w:spacing w:after="0" w:line="240" w:lineRule="auto"/>
              <w:rPr>
                <w:rFonts w:ascii="Calibri" w:eastAsia="Times New Roman" w:hAnsi="Calibri" w:cs="Calibri"/>
                <w:b/>
                <w:bCs/>
                <w:color w:val="000000"/>
                <w:sz w:val="14"/>
              </w:rPr>
            </w:pPr>
            <w:r w:rsidRPr="00722964">
              <w:rPr>
                <w:rFonts w:ascii="Calibri" w:eastAsia="Times New Roman" w:hAnsi="Calibri" w:cs="Calibri"/>
                <w:b/>
                <w:bCs/>
                <w:color w:val="000000"/>
                <w:sz w:val="14"/>
              </w:rPr>
              <w:t>Vaccine efficacy, 1 dose only (%)</w:t>
            </w:r>
          </w:p>
        </w:tc>
        <w:tc>
          <w:tcPr>
            <w:tcW w:w="394" w:type="pct"/>
            <w:tcBorders>
              <w:top w:val="nil"/>
              <w:left w:val="nil"/>
              <w:bottom w:val="nil"/>
              <w:right w:val="nil"/>
            </w:tcBorders>
            <w:shd w:val="clear" w:color="000000" w:fill="D9D9D9"/>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-1.72794</w:t>
            </w:r>
          </w:p>
        </w:tc>
        <w:tc>
          <w:tcPr>
            <w:tcW w:w="394" w:type="pct"/>
            <w:tcBorders>
              <w:top w:val="nil"/>
              <w:left w:val="nil"/>
              <w:bottom w:val="nil"/>
              <w:right w:val="nil"/>
            </w:tcBorders>
            <w:shd w:val="clear" w:color="auto" w:fill="auto"/>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-5.2467</w:t>
            </w:r>
          </w:p>
        </w:tc>
        <w:tc>
          <w:tcPr>
            <w:tcW w:w="394" w:type="pct"/>
            <w:tcBorders>
              <w:top w:val="nil"/>
              <w:left w:val="nil"/>
              <w:bottom w:val="nil"/>
              <w:right w:val="nil"/>
            </w:tcBorders>
            <w:shd w:val="clear" w:color="000000" w:fill="D9D9D9"/>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0.004619</w:t>
            </w:r>
          </w:p>
        </w:tc>
        <w:tc>
          <w:tcPr>
            <w:tcW w:w="394" w:type="pct"/>
            <w:gridSpan w:val="2"/>
            <w:tcBorders>
              <w:top w:val="nil"/>
              <w:left w:val="nil"/>
              <w:bottom w:val="nil"/>
              <w:right w:val="single" w:sz="4" w:space="0" w:color="auto"/>
            </w:tcBorders>
            <w:shd w:val="clear" w:color="auto" w:fill="auto"/>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5.44743</w:t>
            </w:r>
          </w:p>
        </w:tc>
        <w:tc>
          <w:tcPr>
            <w:tcW w:w="394" w:type="pct"/>
            <w:tcBorders>
              <w:top w:val="nil"/>
              <w:left w:val="nil"/>
              <w:bottom w:val="nil"/>
              <w:right w:val="nil"/>
            </w:tcBorders>
            <w:shd w:val="clear" w:color="000000" w:fill="D9D9D9"/>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-1.72803</w:t>
            </w:r>
          </w:p>
        </w:tc>
        <w:tc>
          <w:tcPr>
            <w:tcW w:w="394" w:type="pct"/>
            <w:tcBorders>
              <w:top w:val="nil"/>
              <w:left w:val="nil"/>
              <w:bottom w:val="nil"/>
              <w:right w:val="nil"/>
            </w:tcBorders>
            <w:shd w:val="clear" w:color="auto" w:fill="auto"/>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-5.24782</w:t>
            </w:r>
          </w:p>
        </w:tc>
        <w:tc>
          <w:tcPr>
            <w:tcW w:w="394" w:type="pct"/>
            <w:tcBorders>
              <w:top w:val="nil"/>
              <w:left w:val="nil"/>
              <w:bottom w:val="nil"/>
              <w:right w:val="nil"/>
            </w:tcBorders>
            <w:shd w:val="clear" w:color="000000" w:fill="D9D9D9"/>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0.00462</w:t>
            </w:r>
          </w:p>
        </w:tc>
        <w:tc>
          <w:tcPr>
            <w:tcW w:w="394" w:type="pct"/>
            <w:gridSpan w:val="2"/>
            <w:tcBorders>
              <w:top w:val="nil"/>
              <w:left w:val="nil"/>
              <w:bottom w:val="nil"/>
              <w:right w:val="nil"/>
            </w:tcBorders>
            <w:shd w:val="clear" w:color="auto" w:fill="auto"/>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5.43783</w:t>
            </w:r>
          </w:p>
        </w:tc>
        <w:tc>
          <w:tcPr>
            <w:tcW w:w="394" w:type="pct"/>
            <w:tcBorders>
              <w:top w:val="nil"/>
              <w:left w:val="single" w:sz="4" w:space="0" w:color="auto"/>
              <w:bottom w:val="nil"/>
              <w:right w:val="nil"/>
            </w:tcBorders>
            <w:shd w:val="clear" w:color="000000" w:fill="F2F2F2"/>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0.01</w:t>
            </w:r>
          </w:p>
        </w:tc>
        <w:tc>
          <w:tcPr>
            <w:tcW w:w="394" w:type="pct"/>
            <w:tcBorders>
              <w:top w:val="nil"/>
              <w:left w:val="nil"/>
              <w:bottom w:val="nil"/>
              <w:right w:val="nil"/>
            </w:tcBorders>
            <w:shd w:val="clear" w:color="000000" w:fill="FEFEFE"/>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0.00112</w:t>
            </w:r>
          </w:p>
        </w:tc>
        <w:tc>
          <w:tcPr>
            <w:tcW w:w="394" w:type="pct"/>
            <w:tcBorders>
              <w:top w:val="nil"/>
              <w:left w:val="nil"/>
              <w:bottom w:val="nil"/>
              <w:right w:val="single" w:sz="4" w:space="0" w:color="auto"/>
            </w:tcBorders>
            <w:shd w:val="clear" w:color="000000" w:fill="F2F2F2"/>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5.4E-07</w:t>
            </w:r>
          </w:p>
        </w:tc>
      </w:tr>
      <w:tr w:rsidR="00722964" w:rsidRPr="00722964" w:rsidTr="00722964">
        <w:trPr>
          <w:trHeight w:val="300"/>
        </w:trPr>
        <w:tc>
          <w:tcPr>
            <w:tcW w:w="667" w:type="pct"/>
            <w:tcBorders>
              <w:top w:val="nil"/>
              <w:left w:val="single" w:sz="8" w:space="0" w:color="auto"/>
              <w:bottom w:val="nil"/>
              <w:right w:val="single" w:sz="4" w:space="0" w:color="auto"/>
            </w:tcBorders>
            <w:shd w:val="clear" w:color="auto" w:fill="auto"/>
            <w:noWrap/>
            <w:vAlign w:val="bottom"/>
            <w:hideMark/>
          </w:tcPr>
          <w:p w:rsidR="00D02E81" w:rsidRPr="00722964" w:rsidRDefault="00D02E81" w:rsidP="00D02E81">
            <w:pPr>
              <w:spacing w:after="0" w:line="240" w:lineRule="auto"/>
              <w:rPr>
                <w:rFonts w:ascii="Calibri" w:eastAsia="Times New Roman" w:hAnsi="Calibri" w:cs="Calibri"/>
                <w:b/>
                <w:bCs/>
                <w:color w:val="000000"/>
                <w:sz w:val="14"/>
              </w:rPr>
            </w:pPr>
            <w:r w:rsidRPr="00722964">
              <w:rPr>
                <w:rFonts w:ascii="Calibri" w:eastAsia="Times New Roman" w:hAnsi="Calibri" w:cs="Calibri"/>
                <w:b/>
                <w:bCs/>
                <w:color w:val="000000"/>
                <w:sz w:val="14"/>
              </w:rPr>
              <w:t>Median duration of vaccine-derived immunity, 2 dose</w:t>
            </w:r>
          </w:p>
        </w:tc>
        <w:tc>
          <w:tcPr>
            <w:tcW w:w="394" w:type="pct"/>
            <w:tcBorders>
              <w:top w:val="nil"/>
              <w:left w:val="nil"/>
              <w:bottom w:val="nil"/>
              <w:right w:val="nil"/>
            </w:tcBorders>
            <w:shd w:val="clear" w:color="000000" w:fill="D9D9D9"/>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-1.72802</w:t>
            </w:r>
          </w:p>
        </w:tc>
        <w:tc>
          <w:tcPr>
            <w:tcW w:w="394" w:type="pct"/>
            <w:tcBorders>
              <w:top w:val="nil"/>
              <w:left w:val="nil"/>
              <w:bottom w:val="nil"/>
              <w:right w:val="nil"/>
            </w:tcBorders>
            <w:shd w:val="clear" w:color="auto" w:fill="auto"/>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-5.24777</w:t>
            </w:r>
          </w:p>
        </w:tc>
        <w:tc>
          <w:tcPr>
            <w:tcW w:w="394" w:type="pct"/>
            <w:tcBorders>
              <w:top w:val="nil"/>
              <w:left w:val="nil"/>
              <w:bottom w:val="nil"/>
              <w:right w:val="nil"/>
            </w:tcBorders>
            <w:shd w:val="clear" w:color="000000" w:fill="D9D9D9"/>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0.00462</w:t>
            </w:r>
          </w:p>
        </w:tc>
        <w:tc>
          <w:tcPr>
            <w:tcW w:w="394" w:type="pct"/>
            <w:gridSpan w:val="2"/>
            <w:tcBorders>
              <w:top w:val="nil"/>
              <w:left w:val="nil"/>
              <w:bottom w:val="nil"/>
              <w:right w:val="single" w:sz="4" w:space="0" w:color="auto"/>
            </w:tcBorders>
            <w:shd w:val="clear" w:color="auto" w:fill="auto"/>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5.43831</w:t>
            </w:r>
          </w:p>
        </w:tc>
        <w:tc>
          <w:tcPr>
            <w:tcW w:w="394" w:type="pct"/>
            <w:tcBorders>
              <w:top w:val="nil"/>
              <w:left w:val="nil"/>
              <w:bottom w:val="nil"/>
              <w:right w:val="nil"/>
            </w:tcBorders>
            <w:shd w:val="clear" w:color="000000" w:fill="D9D9D9"/>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-1.72803</w:t>
            </w:r>
          </w:p>
        </w:tc>
        <w:tc>
          <w:tcPr>
            <w:tcW w:w="394" w:type="pct"/>
            <w:tcBorders>
              <w:top w:val="nil"/>
              <w:left w:val="nil"/>
              <w:bottom w:val="nil"/>
              <w:right w:val="nil"/>
            </w:tcBorders>
            <w:shd w:val="clear" w:color="auto" w:fill="auto"/>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-5.24789</w:t>
            </w:r>
          </w:p>
        </w:tc>
        <w:tc>
          <w:tcPr>
            <w:tcW w:w="394" w:type="pct"/>
            <w:tcBorders>
              <w:top w:val="nil"/>
              <w:left w:val="nil"/>
              <w:bottom w:val="nil"/>
              <w:right w:val="nil"/>
            </w:tcBorders>
            <w:shd w:val="clear" w:color="000000" w:fill="D9D9D9"/>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0.00462</w:t>
            </w:r>
          </w:p>
        </w:tc>
        <w:tc>
          <w:tcPr>
            <w:tcW w:w="394" w:type="pct"/>
            <w:gridSpan w:val="2"/>
            <w:tcBorders>
              <w:top w:val="nil"/>
              <w:left w:val="nil"/>
              <w:bottom w:val="nil"/>
              <w:right w:val="nil"/>
            </w:tcBorders>
            <w:shd w:val="clear" w:color="auto" w:fill="auto"/>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5.43726</w:t>
            </w:r>
          </w:p>
        </w:tc>
        <w:tc>
          <w:tcPr>
            <w:tcW w:w="394" w:type="pct"/>
            <w:tcBorders>
              <w:top w:val="nil"/>
              <w:left w:val="single" w:sz="4" w:space="0" w:color="auto"/>
              <w:bottom w:val="nil"/>
              <w:right w:val="nil"/>
            </w:tcBorders>
            <w:shd w:val="clear" w:color="000000" w:fill="F2F2F2"/>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0.00</w:t>
            </w:r>
          </w:p>
        </w:tc>
        <w:tc>
          <w:tcPr>
            <w:tcW w:w="394" w:type="pct"/>
            <w:tcBorders>
              <w:top w:val="nil"/>
              <w:left w:val="nil"/>
              <w:bottom w:val="nil"/>
              <w:right w:val="nil"/>
            </w:tcBorders>
            <w:shd w:val="clear" w:color="000000" w:fill="FFFFFF"/>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0.00012</w:t>
            </w:r>
          </w:p>
        </w:tc>
        <w:tc>
          <w:tcPr>
            <w:tcW w:w="394" w:type="pct"/>
            <w:tcBorders>
              <w:top w:val="nil"/>
              <w:left w:val="nil"/>
              <w:bottom w:val="nil"/>
              <w:right w:val="single" w:sz="4" w:space="0" w:color="auto"/>
            </w:tcBorders>
            <w:shd w:val="clear" w:color="000000" w:fill="F2F2F2"/>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6E-08</w:t>
            </w:r>
          </w:p>
        </w:tc>
      </w:tr>
      <w:tr w:rsidR="00722964" w:rsidRPr="00722964" w:rsidTr="00722964">
        <w:trPr>
          <w:trHeight w:val="300"/>
        </w:trPr>
        <w:tc>
          <w:tcPr>
            <w:tcW w:w="667" w:type="pct"/>
            <w:tcBorders>
              <w:top w:val="nil"/>
              <w:left w:val="single" w:sz="8" w:space="0" w:color="auto"/>
              <w:bottom w:val="nil"/>
              <w:right w:val="single" w:sz="4" w:space="0" w:color="auto"/>
            </w:tcBorders>
            <w:shd w:val="clear" w:color="auto" w:fill="auto"/>
            <w:noWrap/>
            <w:vAlign w:val="bottom"/>
            <w:hideMark/>
          </w:tcPr>
          <w:p w:rsidR="00D02E81" w:rsidRPr="00722964" w:rsidRDefault="00D02E81" w:rsidP="00D02E81">
            <w:pPr>
              <w:spacing w:after="0" w:line="240" w:lineRule="auto"/>
              <w:rPr>
                <w:rFonts w:ascii="Calibri" w:eastAsia="Times New Roman" w:hAnsi="Calibri" w:cs="Calibri"/>
                <w:b/>
                <w:bCs/>
                <w:color w:val="000000"/>
                <w:sz w:val="14"/>
              </w:rPr>
            </w:pPr>
            <w:r w:rsidRPr="00722964">
              <w:rPr>
                <w:rFonts w:ascii="Calibri" w:eastAsia="Times New Roman" w:hAnsi="Calibri" w:cs="Calibri"/>
                <w:b/>
                <w:bCs/>
                <w:color w:val="000000"/>
                <w:sz w:val="14"/>
              </w:rPr>
              <w:t>labor force participation 45-55</w:t>
            </w:r>
          </w:p>
        </w:tc>
        <w:tc>
          <w:tcPr>
            <w:tcW w:w="394" w:type="pct"/>
            <w:tcBorders>
              <w:top w:val="nil"/>
              <w:left w:val="nil"/>
              <w:bottom w:val="nil"/>
              <w:right w:val="nil"/>
            </w:tcBorders>
            <w:shd w:val="clear" w:color="000000" w:fill="D9D9D9"/>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-1.71837</w:t>
            </w:r>
          </w:p>
        </w:tc>
        <w:tc>
          <w:tcPr>
            <w:tcW w:w="394" w:type="pct"/>
            <w:tcBorders>
              <w:top w:val="nil"/>
              <w:left w:val="nil"/>
              <w:bottom w:val="nil"/>
              <w:right w:val="nil"/>
            </w:tcBorders>
            <w:shd w:val="clear" w:color="auto" w:fill="auto"/>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-5.23816</w:t>
            </w:r>
          </w:p>
        </w:tc>
        <w:tc>
          <w:tcPr>
            <w:tcW w:w="394" w:type="pct"/>
            <w:tcBorders>
              <w:top w:val="nil"/>
              <w:left w:val="nil"/>
              <w:bottom w:val="nil"/>
              <w:right w:val="nil"/>
            </w:tcBorders>
            <w:shd w:val="clear" w:color="000000" w:fill="D9D9D9"/>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0.00462</w:t>
            </w:r>
          </w:p>
        </w:tc>
        <w:tc>
          <w:tcPr>
            <w:tcW w:w="394" w:type="pct"/>
            <w:gridSpan w:val="2"/>
            <w:tcBorders>
              <w:top w:val="nil"/>
              <w:left w:val="nil"/>
              <w:bottom w:val="nil"/>
              <w:right w:val="single" w:sz="4" w:space="0" w:color="auto"/>
            </w:tcBorders>
            <w:shd w:val="clear" w:color="auto" w:fill="auto"/>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5.43826</w:t>
            </w:r>
          </w:p>
        </w:tc>
        <w:tc>
          <w:tcPr>
            <w:tcW w:w="394" w:type="pct"/>
            <w:tcBorders>
              <w:top w:val="nil"/>
              <w:left w:val="nil"/>
              <w:bottom w:val="nil"/>
              <w:right w:val="nil"/>
            </w:tcBorders>
            <w:shd w:val="clear" w:color="000000" w:fill="D9D9D9"/>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-1.73753</w:t>
            </w:r>
          </w:p>
        </w:tc>
        <w:tc>
          <w:tcPr>
            <w:tcW w:w="394" w:type="pct"/>
            <w:tcBorders>
              <w:top w:val="nil"/>
              <w:left w:val="nil"/>
              <w:bottom w:val="nil"/>
              <w:right w:val="nil"/>
            </w:tcBorders>
            <w:shd w:val="clear" w:color="auto" w:fill="auto"/>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-5.25732</w:t>
            </w:r>
          </w:p>
        </w:tc>
        <w:tc>
          <w:tcPr>
            <w:tcW w:w="394" w:type="pct"/>
            <w:tcBorders>
              <w:top w:val="nil"/>
              <w:left w:val="nil"/>
              <w:bottom w:val="nil"/>
              <w:right w:val="nil"/>
            </w:tcBorders>
            <w:shd w:val="clear" w:color="000000" w:fill="D9D9D9"/>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0.00462</w:t>
            </w:r>
          </w:p>
        </w:tc>
        <w:tc>
          <w:tcPr>
            <w:tcW w:w="394" w:type="pct"/>
            <w:gridSpan w:val="2"/>
            <w:tcBorders>
              <w:top w:val="nil"/>
              <w:left w:val="nil"/>
              <w:bottom w:val="nil"/>
              <w:right w:val="nil"/>
            </w:tcBorders>
            <w:shd w:val="clear" w:color="auto" w:fill="auto"/>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5.4374</w:t>
            </w:r>
          </w:p>
        </w:tc>
        <w:tc>
          <w:tcPr>
            <w:tcW w:w="394" w:type="pct"/>
            <w:tcBorders>
              <w:top w:val="nil"/>
              <w:left w:val="single" w:sz="4" w:space="0" w:color="auto"/>
              <w:bottom w:val="nil"/>
              <w:right w:val="nil"/>
            </w:tcBorders>
            <w:shd w:val="clear" w:color="000000" w:fill="F5F5F5"/>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0.00</w:t>
            </w:r>
          </w:p>
        </w:tc>
        <w:tc>
          <w:tcPr>
            <w:tcW w:w="394" w:type="pct"/>
            <w:tcBorders>
              <w:top w:val="nil"/>
              <w:left w:val="nil"/>
              <w:bottom w:val="nil"/>
              <w:right w:val="nil"/>
            </w:tcBorders>
            <w:shd w:val="clear" w:color="000000" w:fill="F2F2F2"/>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0.01916</w:t>
            </w:r>
          </w:p>
        </w:tc>
        <w:tc>
          <w:tcPr>
            <w:tcW w:w="394" w:type="pct"/>
            <w:tcBorders>
              <w:top w:val="nil"/>
              <w:left w:val="nil"/>
              <w:bottom w:val="nil"/>
              <w:right w:val="single" w:sz="4" w:space="0" w:color="auto"/>
            </w:tcBorders>
            <w:shd w:val="clear" w:color="000000" w:fill="FFFFFF"/>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0</w:t>
            </w:r>
          </w:p>
        </w:tc>
      </w:tr>
      <w:tr w:rsidR="00722964" w:rsidRPr="00722964" w:rsidTr="00722964">
        <w:trPr>
          <w:trHeight w:val="300"/>
        </w:trPr>
        <w:tc>
          <w:tcPr>
            <w:tcW w:w="667" w:type="pct"/>
            <w:tcBorders>
              <w:top w:val="nil"/>
              <w:left w:val="single" w:sz="8" w:space="0" w:color="auto"/>
              <w:bottom w:val="nil"/>
              <w:right w:val="single" w:sz="4" w:space="0" w:color="auto"/>
            </w:tcBorders>
            <w:shd w:val="clear" w:color="auto" w:fill="auto"/>
            <w:noWrap/>
            <w:vAlign w:val="bottom"/>
            <w:hideMark/>
          </w:tcPr>
          <w:p w:rsidR="00D02E81" w:rsidRPr="00722964" w:rsidRDefault="00D02E81" w:rsidP="00D02E81">
            <w:pPr>
              <w:spacing w:after="0" w:line="240" w:lineRule="auto"/>
              <w:rPr>
                <w:rFonts w:ascii="Calibri" w:eastAsia="Times New Roman" w:hAnsi="Calibri" w:cs="Calibri"/>
                <w:b/>
                <w:bCs/>
                <w:color w:val="000000"/>
                <w:sz w:val="14"/>
              </w:rPr>
            </w:pPr>
            <w:r w:rsidRPr="00722964">
              <w:rPr>
                <w:rFonts w:ascii="Calibri" w:eastAsia="Times New Roman" w:hAnsi="Calibri" w:cs="Calibri"/>
                <w:b/>
                <w:bCs/>
                <w:color w:val="000000"/>
                <w:sz w:val="14"/>
              </w:rPr>
              <w:t>Work loss days, fulminant</w:t>
            </w:r>
          </w:p>
        </w:tc>
        <w:tc>
          <w:tcPr>
            <w:tcW w:w="394" w:type="pct"/>
            <w:tcBorders>
              <w:top w:val="nil"/>
              <w:left w:val="nil"/>
              <w:bottom w:val="nil"/>
              <w:right w:val="nil"/>
            </w:tcBorders>
            <w:shd w:val="clear" w:color="000000" w:fill="D9D9D9"/>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1.74979</w:t>
            </w:r>
          </w:p>
        </w:tc>
        <w:tc>
          <w:tcPr>
            <w:tcW w:w="394" w:type="pct"/>
            <w:tcBorders>
              <w:top w:val="nil"/>
              <w:left w:val="nil"/>
              <w:bottom w:val="nil"/>
              <w:right w:val="nil"/>
            </w:tcBorders>
            <w:shd w:val="clear" w:color="auto" w:fill="auto"/>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-5.24569</w:t>
            </w:r>
          </w:p>
        </w:tc>
        <w:tc>
          <w:tcPr>
            <w:tcW w:w="394" w:type="pct"/>
            <w:tcBorders>
              <w:top w:val="nil"/>
              <w:left w:val="nil"/>
              <w:bottom w:val="nil"/>
              <w:right w:val="nil"/>
            </w:tcBorders>
            <w:shd w:val="clear" w:color="000000" w:fill="D9D9D9"/>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0.00462</w:t>
            </w:r>
          </w:p>
        </w:tc>
        <w:tc>
          <w:tcPr>
            <w:tcW w:w="394" w:type="pct"/>
            <w:gridSpan w:val="2"/>
            <w:tcBorders>
              <w:top w:val="nil"/>
              <w:left w:val="nil"/>
              <w:bottom w:val="nil"/>
              <w:right w:val="single" w:sz="4" w:space="0" w:color="auto"/>
            </w:tcBorders>
            <w:shd w:val="clear" w:color="auto" w:fill="auto"/>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5.43904</w:t>
            </w:r>
          </w:p>
        </w:tc>
        <w:tc>
          <w:tcPr>
            <w:tcW w:w="394" w:type="pct"/>
            <w:tcBorders>
              <w:top w:val="nil"/>
              <w:left w:val="nil"/>
              <w:bottom w:val="nil"/>
              <w:right w:val="nil"/>
            </w:tcBorders>
            <w:shd w:val="clear" w:color="000000" w:fill="D9D9D9"/>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-1.72727</w:t>
            </w:r>
          </w:p>
        </w:tc>
        <w:tc>
          <w:tcPr>
            <w:tcW w:w="394" w:type="pct"/>
            <w:tcBorders>
              <w:top w:val="nil"/>
              <w:left w:val="nil"/>
              <w:bottom w:val="nil"/>
              <w:right w:val="nil"/>
            </w:tcBorders>
            <w:shd w:val="clear" w:color="auto" w:fill="auto"/>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-5.24707</w:t>
            </w:r>
          </w:p>
        </w:tc>
        <w:tc>
          <w:tcPr>
            <w:tcW w:w="394" w:type="pct"/>
            <w:tcBorders>
              <w:top w:val="nil"/>
              <w:left w:val="nil"/>
              <w:bottom w:val="nil"/>
              <w:right w:val="nil"/>
            </w:tcBorders>
            <w:shd w:val="clear" w:color="000000" w:fill="D9D9D9"/>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0.00462</w:t>
            </w:r>
          </w:p>
        </w:tc>
        <w:tc>
          <w:tcPr>
            <w:tcW w:w="394" w:type="pct"/>
            <w:gridSpan w:val="2"/>
            <w:tcBorders>
              <w:top w:val="nil"/>
              <w:left w:val="nil"/>
              <w:bottom w:val="nil"/>
              <w:right w:val="nil"/>
            </w:tcBorders>
            <w:shd w:val="clear" w:color="auto" w:fill="auto"/>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5.43826</w:t>
            </w:r>
          </w:p>
        </w:tc>
        <w:tc>
          <w:tcPr>
            <w:tcW w:w="394" w:type="pct"/>
            <w:tcBorders>
              <w:top w:val="nil"/>
              <w:left w:val="single" w:sz="4" w:space="0" w:color="auto"/>
              <w:bottom w:val="nil"/>
              <w:right w:val="nil"/>
            </w:tcBorders>
            <w:shd w:val="clear" w:color="000000" w:fill="F6F6F6"/>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0.00</w:t>
            </w:r>
          </w:p>
        </w:tc>
        <w:tc>
          <w:tcPr>
            <w:tcW w:w="394" w:type="pct"/>
            <w:tcBorders>
              <w:top w:val="nil"/>
              <w:left w:val="nil"/>
              <w:bottom w:val="nil"/>
              <w:right w:val="nil"/>
            </w:tcBorders>
            <w:shd w:val="clear" w:color="000000" w:fill="FDFDFD"/>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0.00138</w:t>
            </w:r>
          </w:p>
        </w:tc>
        <w:tc>
          <w:tcPr>
            <w:tcW w:w="394" w:type="pct"/>
            <w:tcBorders>
              <w:top w:val="nil"/>
              <w:left w:val="nil"/>
              <w:bottom w:val="nil"/>
              <w:right w:val="single" w:sz="4" w:space="0" w:color="auto"/>
            </w:tcBorders>
            <w:shd w:val="clear" w:color="000000" w:fill="FFFFFF"/>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0</w:t>
            </w:r>
          </w:p>
        </w:tc>
      </w:tr>
      <w:tr w:rsidR="00722964" w:rsidRPr="00722964" w:rsidTr="00722964">
        <w:trPr>
          <w:trHeight w:val="300"/>
        </w:trPr>
        <w:tc>
          <w:tcPr>
            <w:tcW w:w="667" w:type="pct"/>
            <w:tcBorders>
              <w:top w:val="nil"/>
              <w:left w:val="single" w:sz="8" w:space="0" w:color="auto"/>
              <w:bottom w:val="nil"/>
              <w:right w:val="single" w:sz="4" w:space="0" w:color="auto"/>
            </w:tcBorders>
            <w:shd w:val="clear" w:color="auto" w:fill="auto"/>
            <w:noWrap/>
            <w:vAlign w:val="bottom"/>
            <w:hideMark/>
          </w:tcPr>
          <w:p w:rsidR="00D02E81" w:rsidRPr="00722964" w:rsidRDefault="00D02E81" w:rsidP="00D02E81">
            <w:pPr>
              <w:spacing w:after="0" w:line="240" w:lineRule="auto"/>
              <w:rPr>
                <w:rFonts w:ascii="Calibri" w:eastAsia="Times New Roman" w:hAnsi="Calibri" w:cs="Calibri"/>
                <w:b/>
                <w:bCs/>
                <w:color w:val="000000"/>
                <w:sz w:val="14"/>
              </w:rPr>
            </w:pPr>
            <w:r w:rsidRPr="00722964">
              <w:rPr>
                <w:rFonts w:ascii="Calibri" w:eastAsia="Times New Roman" w:hAnsi="Calibri" w:cs="Calibri"/>
                <w:b/>
                <w:bCs/>
                <w:color w:val="000000"/>
                <w:sz w:val="14"/>
              </w:rPr>
              <w:t>labor force participation 55-64</w:t>
            </w:r>
          </w:p>
        </w:tc>
        <w:tc>
          <w:tcPr>
            <w:tcW w:w="394" w:type="pct"/>
            <w:tcBorders>
              <w:top w:val="nil"/>
              <w:left w:val="nil"/>
              <w:bottom w:val="nil"/>
              <w:right w:val="nil"/>
            </w:tcBorders>
            <w:shd w:val="clear" w:color="000000" w:fill="D9D9D9"/>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-1.72416</w:t>
            </w:r>
          </w:p>
        </w:tc>
        <w:tc>
          <w:tcPr>
            <w:tcW w:w="394" w:type="pct"/>
            <w:tcBorders>
              <w:top w:val="nil"/>
              <w:left w:val="nil"/>
              <w:bottom w:val="nil"/>
              <w:right w:val="nil"/>
            </w:tcBorders>
            <w:shd w:val="clear" w:color="auto" w:fill="auto"/>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-5.24395</w:t>
            </w:r>
          </w:p>
        </w:tc>
        <w:tc>
          <w:tcPr>
            <w:tcW w:w="394" w:type="pct"/>
            <w:tcBorders>
              <w:top w:val="nil"/>
              <w:left w:val="nil"/>
              <w:bottom w:val="nil"/>
              <w:right w:val="nil"/>
            </w:tcBorders>
            <w:shd w:val="clear" w:color="000000" w:fill="D9D9D9"/>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0.00462</w:t>
            </w:r>
          </w:p>
        </w:tc>
        <w:tc>
          <w:tcPr>
            <w:tcW w:w="394" w:type="pct"/>
            <w:gridSpan w:val="2"/>
            <w:tcBorders>
              <w:top w:val="nil"/>
              <w:left w:val="nil"/>
              <w:bottom w:val="nil"/>
              <w:right w:val="single" w:sz="4" w:space="0" w:color="auto"/>
            </w:tcBorders>
            <w:shd w:val="clear" w:color="auto" w:fill="auto"/>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5.43791</w:t>
            </w:r>
          </w:p>
        </w:tc>
        <w:tc>
          <w:tcPr>
            <w:tcW w:w="394" w:type="pct"/>
            <w:tcBorders>
              <w:top w:val="nil"/>
              <w:left w:val="nil"/>
              <w:bottom w:val="nil"/>
              <w:right w:val="nil"/>
            </w:tcBorders>
            <w:shd w:val="clear" w:color="000000" w:fill="D9D9D9"/>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-1.73197</w:t>
            </w:r>
          </w:p>
        </w:tc>
        <w:tc>
          <w:tcPr>
            <w:tcW w:w="394" w:type="pct"/>
            <w:tcBorders>
              <w:top w:val="nil"/>
              <w:left w:val="nil"/>
              <w:bottom w:val="nil"/>
              <w:right w:val="nil"/>
            </w:tcBorders>
            <w:shd w:val="clear" w:color="auto" w:fill="auto"/>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-5.25177</w:t>
            </w:r>
          </w:p>
        </w:tc>
        <w:tc>
          <w:tcPr>
            <w:tcW w:w="394" w:type="pct"/>
            <w:tcBorders>
              <w:top w:val="nil"/>
              <w:left w:val="nil"/>
              <w:bottom w:val="nil"/>
              <w:right w:val="nil"/>
            </w:tcBorders>
            <w:shd w:val="clear" w:color="000000" w:fill="D9D9D9"/>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0.00462</w:t>
            </w:r>
          </w:p>
        </w:tc>
        <w:tc>
          <w:tcPr>
            <w:tcW w:w="394" w:type="pct"/>
            <w:gridSpan w:val="2"/>
            <w:tcBorders>
              <w:top w:val="nil"/>
              <w:left w:val="nil"/>
              <w:bottom w:val="nil"/>
              <w:right w:val="nil"/>
            </w:tcBorders>
            <w:shd w:val="clear" w:color="auto" w:fill="auto"/>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5.43774</w:t>
            </w:r>
          </w:p>
        </w:tc>
        <w:tc>
          <w:tcPr>
            <w:tcW w:w="394" w:type="pct"/>
            <w:tcBorders>
              <w:top w:val="nil"/>
              <w:left w:val="single" w:sz="4" w:space="0" w:color="auto"/>
              <w:bottom w:val="nil"/>
              <w:right w:val="nil"/>
            </w:tcBorders>
            <w:shd w:val="clear" w:color="000000" w:fill="FDFDFD"/>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0.00</w:t>
            </w:r>
          </w:p>
        </w:tc>
        <w:tc>
          <w:tcPr>
            <w:tcW w:w="394" w:type="pct"/>
            <w:tcBorders>
              <w:top w:val="nil"/>
              <w:left w:val="nil"/>
              <w:bottom w:val="nil"/>
              <w:right w:val="nil"/>
            </w:tcBorders>
            <w:shd w:val="clear" w:color="000000" w:fill="F2F2F2"/>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0.00782</w:t>
            </w:r>
          </w:p>
        </w:tc>
        <w:tc>
          <w:tcPr>
            <w:tcW w:w="394" w:type="pct"/>
            <w:tcBorders>
              <w:top w:val="nil"/>
              <w:left w:val="nil"/>
              <w:bottom w:val="nil"/>
              <w:right w:val="single" w:sz="4" w:space="0" w:color="auto"/>
            </w:tcBorders>
            <w:shd w:val="clear" w:color="000000" w:fill="FFFFFF"/>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0</w:t>
            </w:r>
          </w:p>
        </w:tc>
      </w:tr>
      <w:tr w:rsidR="00722964" w:rsidRPr="00722964" w:rsidTr="00722964">
        <w:trPr>
          <w:trHeight w:val="300"/>
        </w:trPr>
        <w:tc>
          <w:tcPr>
            <w:tcW w:w="667" w:type="pct"/>
            <w:tcBorders>
              <w:top w:val="nil"/>
              <w:left w:val="single" w:sz="8" w:space="0" w:color="auto"/>
              <w:bottom w:val="nil"/>
              <w:right w:val="single" w:sz="4" w:space="0" w:color="auto"/>
            </w:tcBorders>
            <w:shd w:val="clear" w:color="auto" w:fill="auto"/>
            <w:noWrap/>
            <w:vAlign w:val="bottom"/>
            <w:hideMark/>
          </w:tcPr>
          <w:p w:rsidR="00D02E81" w:rsidRPr="00722964" w:rsidRDefault="00D02E81" w:rsidP="00D02E81">
            <w:pPr>
              <w:spacing w:after="0" w:line="240" w:lineRule="auto"/>
              <w:rPr>
                <w:rFonts w:ascii="Calibri" w:eastAsia="Times New Roman" w:hAnsi="Calibri" w:cs="Calibri"/>
                <w:b/>
                <w:bCs/>
                <w:color w:val="000000"/>
                <w:sz w:val="14"/>
              </w:rPr>
            </w:pPr>
            <w:r w:rsidRPr="00722964">
              <w:rPr>
                <w:rFonts w:ascii="Calibri" w:eastAsia="Times New Roman" w:hAnsi="Calibri" w:cs="Calibri"/>
                <w:b/>
                <w:bCs/>
                <w:color w:val="000000"/>
                <w:sz w:val="14"/>
              </w:rPr>
              <w:lastRenderedPageBreak/>
              <w:t>Work loss days, liver 1st yr 18 - 40</w:t>
            </w:r>
          </w:p>
        </w:tc>
        <w:tc>
          <w:tcPr>
            <w:tcW w:w="394" w:type="pct"/>
            <w:tcBorders>
              <w:top w:val="nil"/>
              <w:left w:val="nil"/>
              <w:bottom w:val="nil"/>
              <w:right w:val="nil"/>
            </w:tcBorders>
            <w:shd w:val="clear" w:color="000000" w:fill="D9D9D9"/>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-1.72795</w:t>
            </w:r>
          </w:p>
        </w:tc>
        <w:tc>
          <w:tcPr>
            <w:tcW w:w="394" w:type="pct"/>
            <w:tcBorders>
              <w:top w:val="nil"/>
              <w:left w:val="nil"/>
              <w:bottom w:val="nil"/>
              <w:right w:val="nil"/>
            </w:tcBorders>
            <w:shd w:val="clear" w:color="auto" w:fill="auto"/>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-5.24774</w:t>
            </w:r>
          </w:p>
        </w:tc>
        <w:tc>
          <w:tcPr>
            <w:tcW w:w="394" w:type="pct"/>
            <w:tcBorders>
              <w:top w:val="nil"/>
              <w:left w:val="nil"/>
              <w:bottom w:val="nil"/>
              <w:right w:val="nil"/>
            </w:tcBorders>
            <w:shd w:val="clear" w:color="000000" w:fill="D9D9D9"/>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0.00462</w:t>
            </w:r>
          </w:p>
        </w:tc>
        <w:tc>
          <w:tcPr>
            <w:tcW w:w="394" w:type="pct"/>
            <w:gridSpan w:val="2"/>
            <w:tcBorders>
              <w:top w:val="nil"/>
              <w:left w:val="nil"/>
              <w:bottom w:val="nil"/>
              <w:right w:val="single" w:sz="4" w:space="0" w:color="auto"/>
            </w:tcBorders>
            <w:shd w:val="clear" w:color="auto" w:fill="auto"/>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5.43789</w:t>
            </w:r>
          </w:p>
        </w:tc>
        <w:tc>
          <w:tcPr>
            <w:tcW w:w="394" w:type="pct"/>
            <w:tcBorders>
              <w:top w:val="nil"/>
              <w:left w:val="nil"/>
              <w:bottom w:val="nil"/>
              <w:right w:val="nil"/>
            </w:tcBorders>
            <w:shd w:val="clear" w:color="000000" w:fill="D9D9D9"/>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-1.72812</w:t>
            </w:r>
          </w:p>
        </w:tc>
        <w:tc>
          <w:tcPr>
            <w:tcW w:w="394" w:type="pct"/>
            <w:tcBorders>
              <w:top w:val="nil"/>
              <w:left w:val="nil"/>
              <w:bottom w:val="nil"/>
              <w:right w:val="nil"/>
            </w:tcBorders>
            <w:shd w:val="clear" w:color="auto" w:fill="auto"/>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-5.24792</w:t>
            </w:r>
          </w:p>
        </w:tc>
        <w:tc>
          <w:tcPr>
            <w:tcW w:w="394" w:type="pct"/>
            <w:tcBorders>
              <w:top w:val="nil"/>
              <w:left w:val="nil"/>
              <w:bottom w:val="nil"/>
              <w:right w:val="nil"/>
            </w:tcBorders>
            <w:shd w:val="clear" w:color="000000" w:fill="D9D9D9"/>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0.00462</w:t>
            </w:r>
          </w:p>
        </w:tc>
        <w:tc>
          <w:tcPr>
            <w:tcW w:w="394" w:type="pct"/>
            <w:gridSpan w:val="2"/>
            <w:tcBorders>
              <w:top w:val="nil"/>
              <w:left w:val="nil"/>
              <w:bottom w:val="nil"/>
              <w:right w:val="nil"/>
            </w:tcBorders>
            <w:shd w:val="clear" w:color="auto" w:fill="auto"/>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5.43775</w:t>
            </w:r>
          </w:p>
        </w:tc>
        <w:tc>
          <w:tcPr>
            <w:tcW w:w="394" w:type="pct"/>
            <w:tcBorders>
              <w:top w:val="nil"/>
              <w:left w:val="single" w:sz="4" w:space="0" w:color="auto"/>
              <w:bottom w:val="nil"/>
              <w:right w:val="nil"/>
            </w:tcBorders>
            <w:shd w:val="clear" w:color="000000" w:fill="FEFEFE"/>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0.00</w:t>
            </w:r>
          </w:p>
        </w:tc>
        <w:tc>
          <w:tcPr>
            <w:tcW w:w="394" w:type="pct"/>
            <w:tcBorders>
              <w:top w:val="nil"/>
              <w:left w:val="nil"/>
              <w:bottom w:val="nil"/>
              <w:right w:val="nil"/>
            </w:tcBorders>
            <w:shd w:val="clear" w:color="000000" w:fill="FFFFFF"/>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0.00018</w:t>
            </w:r>
          </w:p>
        </w:tc>
        <w:tc>
          <w:tcPr>
            <w:tcW w:w="394" w:type="pct"/>
            <w:tcBorders>
              <w:top w:val="nil"/>
              <w:left w:val="nil"/>
              <w:bottom w:val="nil"/>
              <w:right w:val="single" w:sz="4" w:space="0" w:color="auto"/>
            </w:tcBorders>
            <w:shd w:val="clear" w:color="000000" w:fill="FFFFFF"/>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0</w:t>
            </w:r>
          </w:p>
        </w:tc>
      </w:tr>
      <w:tr w:rsidR="00722964" w:rsidRPr="00722964" w:rsidTr="00722964">
        <w:trPr>
          <w:trHeight w:val="300"/>
        </w:trPr>
        <w:tc>
          <w:tcPr>
            <w:tcW w:w="667" w:type="pct"/>
            <w:tcBorders>
              <w:top w:val="nil"/>
              <w:left w:val="single" w:sz="8" w:space="0" w:color="auto"/>
              <w:bottom w:val="nil"/>
              <w:right w:val="single" w:sz="4" w:space="0" w:color="auto"/>
            </w:tcBorders>
            <w:shd w:val="clear" w:color="auto" w:fill="auto"/>
            <w:noWrap/>
            <w:vAlign w:val="bottom"/>
            <w:hideMark/>
          </w:tcPr>
          <w:p w:rsidR="00D02E81" w:rsidRPr="00722964" w:rsidRDefault="00D02E81" w:rsidP="00D02E81">
            <w:pPr>
              <w:spacing w:after="0" w:line="240" w:lineRule="auto"/>
              <w:rPr>
                <w:rFonts w:ascii="Calibri" w:eastAsia="Times New Roman" w:hAnsi="Calibri" w:cs="Calibri"/>
                <w:b/>
                <w:bCs/>
                <w:color w:val="000000"/>
                <w:sz w:val="14"/>
              </w:rPr>
            </w:pPr>
            <w:r w:rsidRPr="00722964">
              <w:rPr>
                <w:rFonts w:ascii="Calibri" w:eastAsia="Times New Roman" w:hAnsi="Calibri" w:cs="Calibri"/>
                <w:b/>
                <w:bCs/>
                <w:color w:val="000000"/>
                <w:sz w:val="14"/>
              </w:rPr>
              <w:t>Median duration of vaccine-derived immunity, 1 dose only</w:t>
            </w:r>
          </w:p>
        </w:tc>
        <w:tc>
          <w:tcPr>
            <w:tcW w:w="394" w:type="pct"/>
            <w:tcBorders>
              <w:top w:val="nil"/>
              <w:left w:val="nil"/>
              <w:bottom w:val="nil"/>
              <w:right w:val="nil"/>
            </w:tcBorders>
            <w:shd w:val="clear" w:color="000000" w:fill="D9D9D9"/>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-1.72803</w:t>
            </w:r>
          </w:p>
        </w:tc>
        <w:tc>
          <w:tcPr>
            <w:tcW w:w="394" w:type="pct"/>
            <w:tcBorders>
              <w:top w:val="nil"/>
              <w:left w:val="nil"/>
              <w:bottom w:val="nil"/>
              <w:right w:val="nil"/>
            </w:tcBorders>
            <w:shd w:val="clear" w:color="auto" w:fill="auto"/>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-5.24782</w:t>
            </w:r>
          </w:p>
        </w:tc>
        <w:tc>
          <w:tcPr>
            <w:tcW w:w="394" w:type="pct"/>
            <w:tcBorders>
              <w:top w:val="nil"/>
              <w:left w:val="nil"/>
              <w:bottom w:val="nil"/>
              <w:right w:val="nil"/>
            </w:tcBorders>
            <w:shd w:val="clear" w:color="000000" w:fill="D9D9D9"/>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0.00462</w:t>
            </w:r>
          </w:p>
        </w:tc>
        <w:tc>
          <w:tcPr>
            <w:tcW w:w="394" w:type="pct"/>
            <w:gridSpan w:val="2"/>
            <w:tcBorders>
              <w:top w:val="nil"/>
              <w:left w:val="nil"/>
              <w:bottom w:val="nil"/>
              <w:right w:val="single" w:sz="4" w:space="0" w:color="auto"/>
            </w:tcBorders>
            <w:shd w:val="clear" w:color="auto" w:fill="auto"/>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5.43786</w:t>
            </w:r>
          </w:p>
        </w:tc>
        <w:tc>
          <w:tcPr>
            <w:tcW w:w="394" w:type="pct"/>
            <w:tcBorders>
              <w:top w:val="nil"/>
              <w:left w:val="nil"/>
              <w:bottom w:val="nil"/>
              <w:right w:val="nil"/>
            </w:tcBorders>
            <w:shd w:val="clear" w:color="000000" w:fill="D9D9D9"/>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-1.72803</w:t>
            </w:r>
          </w:p>
        </w:tc>
        <w:tc>
          <w:tcPr>
            <w:tcW w:w="394" w:type="pct"/>
            <w:tcBorders>
              <w:top w:val="nil"/>
              <w:left w:val="nil"/>
              <w:bottom w:val="nil"/>
              <w:right w:val="nil"/>
            </w:tcBorders>
            <w:shd w:val="clear" w:color="auto" w:fill="auto"/>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-5.24783</w:t>
            </w:r>
          </w:p>
        </w:tc>
        <w:tc>
          <w:tcPr>
            <w:tcW w:w="394" w:type="pct"/>
            <w:tcBorders>
              <w:top w:val="nil"/>
              <w:left w:val="nil"/>
              <w:bottom w:val="nil"/>
              <w:right w:val="nil"/>
            </w:tcBorders>
            <w:shd w:val="clear" w:color="000000" w:fill="D9D9D9"/>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0.00462</w:t>
            </w:r>
          </w:p>
        </w:tc>
        <w:tc>
          <w:tcPr>
            <w:tcW w:w="394" w:type="pct"/>
            <w:gridSpan w:val="2"/>
            <w:tcBorders>
              <w:top w:val="nil"/>
              <w:left w:val="nil"/>
              <w:bottom w:val="nil"/>
              <w:right w:val="nil"/>
            </w:tcBorders>
            <w:shd w:val="clear" w:color="auto" w:fill="auto"/>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5.43778</w:t>
            </w:r>
          </w:p>
        </w:tc>
        <w:tc>
          <w:tcPr>
            <w:tcW w:w="394" w:type="pct"/>
            <w:tcBorders>
              <w:top w:val="nil"/>
              <w:left w:val="single" w:sz="4" w:space="0" w:color="auto"/>
              <w:bottom w:val="nil"/>
              <w:right w:val="nil"/>
            </w:tcBorders>
            <w:shd w:val="clear" w:color="000000" w:fill="FFFFFF"/>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0.00</w:t>
            </w:r>
          </w:p>
        </w:tc>
        <w:tc>
          <w:tcPr>
            <w:tcW w:w="394" w:type="pct"/>
            <w:tcBorders>
              <w:top w:val="nil"/>
              <w:left w:val="nil"/>
              <w:bottom w:val="nil"/>
              <w:right w:val="nil"/>
            </w:tcBorders>
            <w:shd w:val="clear" w:color="000000" w:fill="FFFFFF"/>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1E-05</w:t>
            </w:r>
          </w:p>
        </w:tc>
        <w:tc>
          <w:tcPr>
            <w:tcW w:w="394" w:type="pct"/>
            <w:tcBorders>
              <w:top w:val="nil"/>
              <w:left w:val="nil"/>
              <w:bottom w:val="nil"/>
              <w:right w:val="single" w:sz="4" w:space="0" w:color="auto"/>
            </w:tcBorders>
            <w:shd w:val="clear" w:color="000000" w:fill="FFFFFF"/>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0</w:t>
            </w:r>
          </w:p>
        </w:tc>
      </w:tr>
      <w:tr w:rsidR="00722964" w:rsidRPr="00722964" w:rsidTr="00722964">
        <w:trPr>
          <w:trHeight w:val="300"/>
        </w:trPr>
        <w:tc>
          <w:tcPr>
            <w:tcW w:w="667" w:type="pct"/>
            <w:tcBorders>
              <w:top w:val="nil"/>
              <w:left w:val="single" w:sz="8" w:space="0" w:color="auto"/>
              <w:bottom w:val="nil"/>
              <w:right w:val="single" w:sz="4" w:space="0" w:color="auto"/>
            </w:tcBorders>
            <w:shd w:val="clear" w:color="auto" w:fill="auto"/>
            <w:noWrap/>
            <w:vAlign w:val="bottom"/>
            <w:hideMark/>
          </w:tcPr>
          <w:p w:rsidR="00D02E81" w:rsidRPr="00722964" w:rsidRDefault="00D02E81" w:rsidP="00D02E81">
            <w:pPr>
              <w:spacing w:after="0" w:line="240" w:lineRule="auto"/>
              <w:rPr>
                <w:rFonts w:ascii="Calibri" w:eastAsia="Times New Roman" w:hAnsi="Calibri" w:cs="Calibri"/>
                <w:b/>
                <w:bCs/>
                <w:color w:val="000000"/>
                <w:sz w:val="14"/>
              </w:rPr>
            </w:pPr>
            <w:r w:rsidRPr="00722964">
              <w:rPr>
                <w:rFonts w:ascii="Calibri" w:eastAsia="Times New Roman" w:hAnsi="Calibri" w:cs="Calibri"/>
                <w:b/>
                <w:bCs/>
                <w:color w:val="000000"/>
                <w:sz w:val="14"/>
              </w:rPr>
              <w:t>labor force participation 65+</w:t>
            </w:r>
          </w:p>
        </w:tc>
        <w:tc>
          <w:tcPr>
            <w:tcW w:w="394" w:type="pct"/>
            <w:tcBorders>
              <w:top w:val="nil"/>
              <w:left w:val="nil"/>
              <w:bottom w:val="nil"/>
              <w:right w:val="nil"/>
            </w:tcBorders>
            <w:shd w:val="clear" w:color="000000" w:fill="D9D9D9"/>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-1.72793</w:t>
            </w:r>
          </w:p>
        </w:tc>
        <w:tc>
          <w:tcPr>
            <w:tcW w:w="394" w:type="pct"/>
            <w:tcBorders>
              <w:top w:val="nil"/>
              <w:left w:val="nil"/>
              <w:bottom w:val="nil"/>
              <w:right w:val="nil"/>
            </w:tcBorders>
            <w:shd w:val="clear" w:color="auto" w:fill="auto"/>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-5.24772</w:t>
            </w:r>
          </w:p>
        </w:tc>
        <w:tc>
          <w:tcPr>
            <w:tcW w:w="394" w:type="pct"/>
            <w:tcBorders>
              <w:top w:val="nil"/>
              <w:left w:val="nil"/>
              <w:bottom w:val="nil"/>
              <w:right w:val="nil"/>
            </w:tcBorders>
            <w:shd w:val="clear" w:color="000000" w:fill="D9D9D9"/>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0.00462</w:t>
            </w:r>
          </w:p>
        </w:tc>
        <w:tc>
          <w:tcPr>
            <w:tcW w:w="394" w:type="pct"/>
            <w:gridSpan w:val="2"/>
            <w:tcBorders>
              <w:top w:val="nil"/>
              <w:left w:val="nil"/>
              <w:bottom w:val="nil"/>
              <w:right w:val="single" w:sz="4" w:space="0" w:color="auto"/>
            </w:tcBorders>
            <w:shd w:val="clear" w:color="auto" w:fill="auto"/>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5.43783</w:t>
            </w:r>
          </w:p>
        </w:tc>
        <w:tc>
          <w:tcPr>
            <w:tcW w:w="394" w:type="pct"/>
            <w:tcBorders>
              <w:top w:val="nil"/>
              <w:left w:val="nil"/>
              <w:bottom w:val="nil"/>
              <w:right w:val="nil"/>
            </w:tcBorders>
            <w:shd w:val="clear" w:color="000000" w:fill="D9D9D9"/>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-1.72816</w:t>
            </w:r>
          </w:p>
        </w:tc>
        <w:tc>
          <w:tcPr>
            <w:tcW w:w="394" w:type="pct"/>
            <w:tcBorders>
              <w:top w:val="nil"/>
              <w:left w:val="nil"/>
              <w:bottom w:val="nil"/>
              <w:right w:val="nil"/>
            </w:tcBorders>
            <w:shd w:val="clear" w:color="auto" w:fill="auto"/>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-5.24796</w:t>
            </w:r>
          </w:p>
        </w:tc>
        <w:tc>
          <w:tcPr>
            <w:tcW w:w="394" w:type="pct"/>
            <w:tcBorders>
              <w:top w:val="nil"/>
              <w:left w:val="nil"/>
              <w:bottom w:val="nil"/>
              <w:right w:val="nil"/>
            </w:tcBorders>
            <w:shd w:val="clear" w:color="000000" w:fill="D9D9D9"/>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0.00462</w:t>
            </w:r>
          </w:p>
        </w:tc>
        <w:tc>
          <w:tcPr>
            <w:tcW w:w="394" w:type="pct"/>
            <w:gridSpan w:val="2"/>
            <w:tcBorders>
              <w:top w:val="nil"/>
              <w:left w:val="nil"/>
              <w:bottom w:val="nil"/>
              <w:right w:val="nil"/>
            </w:tcBorders>
            <w:shd w:val="clear" w:color="auto" w:fill="auto"/>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5.43782</w:t>
            </w:r>
          </w:p>
        </w:tc>
        <w:tc>
          <w:tcPr>
            <w:tcW w:w="394" w:type="pct"/>
            <w:tcBorders>
              <w:top w:val="nil"/>
              <w:left w:val="single" w:sz="4" w:space="0" w:color="auto"/>
              <w:bottom w:val="nil"/>
              <w:right w:val="nil"/>
            </w:tcBorders>
            <w:shd w:val="clear" w:color="000000" w:fill="FFFFFF"/>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0.00</w:t>
            </w:r>
          </w:p>
        </w:tc>
        <w:tc>
          <w:tcPr>
            <w:tcW w:w="394" w:type="pct"/>
            <w:tcBorders>
              <w:top w:val="nil"/>
              <w:left w:val="nil"/>
              <w:bottom w:val="nil"/>
              <w:right w:val="nil"/>
            </w:tcBorders>
            <w:shd w:val="clear" w:color="000000" w:fill="FFFFFF"/>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0.00024</w:t>
            </w:r>
          </w:p>
        </w:tc>
        <w:tc>
          <w:tcPr>
            <w:tcW w:w="394" w:type="pct"/>
            <w:tcBorders>
              <w:top w:val="nil"/>
              <w:left w:val="nil"/>
              <w:bottom w:val="nil"/>
              <w:right w:val="single" w:sz="4" w:space="0" w:color="auto"/>
            </w:tcBorders>
            <w:shd w:val="clear" w:color="000000" w:fill="FFFFFF"/>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0</w:t>
            </w:r>
          </w:p>
        </w:tc>
      </w:tr>
      <w:tr w:rsidR="00722964" w:rsidRPr="00722964" w:rsidTr="00722964">
        <w:trPr>
          <w:trHeight w:val="300"/>
        </w:trPr>
        <w:tc>
          <w:tcPr>
            <w:tcW w:w="667" w:type="pct"/>
            <w:tcBorders>
              <w:top w:val="nil"/>
              <w:left w:val="single" w:sz="8" w:space="0" w:color="auto"/>
              <w:bottom w:val="nil"/>
              <w:right w:val="single" w:sz="4" w:space="0" w:color="auto"/>
            </w:tcBorders>
            <w:shd w:val="clear" w:color="auto" w:fill="auto"/>
            <w:noWrap/>
            <w:vAlign w:val="bottom"/>
            <w:hideMark/>
          </w:tcPr>
          <w:p w:rsidR="00D02E81" w:rsidRPr="00722964" w:rsidRDefault="00D02E81" w:rsidP="00D02E81">
            <w:pPr>
              <w:spacing w:after="0" w:line="240" w:lineRule="auto"/>
              <w:rPr>
                <w:rFonts w:ascii="Calibri" w:eastAsia="Times New Roman" w:hAnsi="Calibri" w:cs="Calibri"/>
                <w:b/>
                <w:bCs/>
                <w:color w:val="000000"/>
                <w:sz w:val="14"/>
              </w:rPr>
            </w:pPr>
            <w:r w:rsidRPr="00722964">
              <w:rPr>
                <w:rFonts w:ascii="Calibri" w:eastAsia="Times New Roman" w:hAnsi="Calibri" w:cs="Calibri"/>
                <w:b/>
                <w:bCs/>
                <w:color w:val="000000"/>
                <w:sz w:val="14"/>
              </w:rPr>
              <w:t>Work loss days, liver 1st yr 0-17</w:t>
            </w:r>
          </w:p>
        </w:tc>
        <w:tc>
          <w:tcPr>
            <w:tcW w:w="394" w:type="pct"/>
            <w:tcBorders>
              <w:top w:val="nil"/>
              <w:left w:val="nil"/>
              <w:bottom w:val="nil"/>
              <w:right w:val="nil"/>
            </w:tcBorders>
            <w:shd w:val="clear" w:color="000000" w:fill="D9D9D9"/>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-1.72803</w:t>
            </w:r>
          </w:p>
        </w:tc>
        <w:tc>
          <w:tcPr>
            <w:tcW w:w="394" w:type="pct"/>
            <w:tcBorders>
              <w:top w:val="nil"/>
              <w:left w:val="nil"/>
              <w:bottom w:val="nil"/>
              <w:right w:val="nil"/>
            </w:tcBorders>
            <w:shd w:val="clear" w:color="auto" w:fill="auto"/>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-5.24782</w:t>
            </w:r>
          </w:p>
        </w:tc>
        <w:tc>
          <w:tcPr>
            <w:tcW w:w="394" w:type="pct"/>
            <w:tcBorders>
              <w:top w:val="nil"/>
              <w:left w:val="nil"/>
              <w:bottom w:val="nil"/>
              <w:right w:val="nil"/>
            </w:tcBorders>
            <w:shd w:val="clear" w:color="000000" w:fill="D9D9D9"/>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0.00462</w:t>
            </w:r>
          </w:p>
        </w:tc>
        <w:tc>
          <w:tcPr>
            <w:tcW w:w="394" w:type="pct"/>
            <w:gridSpan w:val="2"/>
            <w:tcBorders>
              <w:top w:val="nil"/>
              <w:left w:val="nil"/>
              <w:bottom w:val="nil"/>
              <w:right w:val="single" w:sz="4" w:space="0" w:color="auto"/>
            </w:tcBorders>
            <w:shd w:val="clear" w:color="auto" w:fill="auto"/>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5.43783</w:t>
            </w:r>
          </w:p>
        </w:tc>
        <w:tc>
          <w:tcPr>
            <w:tcW w:w="394" w:type="pct"/>
            <w:tcBorders>
              <w:top w:val="nil"/>
              <w:left w:val="nil"/>
              <w:bottom w:val="nil"/>
              <w:right w:val="nil"/>
            </w:tcBorders>
            <w:shd w:val="clear" w:color="000000" w:fill="D9D9D9"/>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-1.72803</w:t>
            </w:r>
          </w:p>
        </w:tc>
        <w:tc>
          <w:tcPr>
            <w:tcW w:w="394" w:type="pct"/>
            <w:tcBorders>
              <w:top w:val="nil"/>
              <w:left w:val="nil"/>
              <w:bottom w:val="nil"/>
              <w:right w:val="nil"/>
            </w:tcBorders>
            <w:shd w:val="clear" w:color="auto" w:fill="auto"/>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-5.24782</w:t>
            </w:r>
          </w:p>
        </w:tc>
        <w:tc>
          <w:tcPr>
            <w:tcW w:w="394" w:type="pct"/>
            <w:tcBorders>
              <w:top w:val="nil"/>
              <w:left w:val="nil"/>
              <w:bottom w:val="nil"/>
              <w:right w:val="nil"/>
            </w:tcBorders>
            <w:shd w:val="clear" w:color="000000" w:fill="D9D9D9"/>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0.00462</w:t>
            </w:r>
          </w:p>
        </w:tc>
        <w:tc>
          <w:tcPr>
            <w:tcW w:w="394" w:type="pct"/>
            <w:gridSpan w:val="2"/>
            <w:tcBorders>
              <w:top w:val="nil"/>
              <w:left w:val="nil"/>
              <w:bottom w:val="nil"/>
              <w:right w:val="nil"/>
            </w:tcBorders>
            <w:shd w:val="clear" w:color="auto" w:fill="auto"/>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5.43782</w:t>
            </w:r>
          </w:p>
        </w:tc>
        <w:tc>
          <w:tcPr>
            <w:tcW w:w="394" w:type="pct"/>
            <w:tcBorders>
              <w:top w:val="nil"/>
              <w:left w:val="single" w:sz="4" w:space="0" w:color="auto"/>
              <w:bottom w:val="nil"/>
              <w:right w:val="nil"/>
            </w:tcBorders>
            <w:shd w:val="clear" w:color="000000" w:fill="FFFFFF"/>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0.00</w:t>
            </w:r>
          </w:p>
        </w:tc>
        <w:tc>
          <w:tcPr>
            <w:tcW w:w="394" w:type="pct"/>
            <w:tcBorders>
              <w:top w:val="nil"/>
              <w:left w:val="nil"/>
              <w:bottom w:val="nil"/>
              <w:right w:val="nil"/>
            </w:tcBorders>
            <w:shd w:val="clear" w:color="000000" w:fill="FFFFFF"/>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0</w:t>
            </w:r>
          </w:p>
        </w:tc>
        <w:tc>
          <w:tcPr>
            <w:tcW w:w="394" w:type="pct"/>
            <w:tcBorders>
              <w:top w:val="nil"/>
              <w:left w:val="nil"/>
              <w:bottom w:val="nil"/>
              <w:right w:val="single" w:sz="4" w:space="0" w:color="auto"/>
            </w:tcBorders>
            <w:shd w:val="clear" w:color="000000" w:fill="FFFFFF"/>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0</w:t>
            </w:r>
          </w:p>
        </w:tc>
      </w:tr>
      <w:tr w:rsidR="00722964" w:rsidRPr="00722964" w:rsidTr="00722964">
        <w:trPr>
          <w:trHeight w:val="300"/>
        </w:trPr>
        <w:tc>
          <w:tcPr>
            <w:tcW w:w="667" w:type="pct"/>
            <w:tcBorders>
              <w:top w:val="nil"/>
              <w:left w:val="single" w:sz="8" w:space="0" w:color="auto"/>
              <w:bottom w:val="nil"/>
              <w:right w:val="single" w:sz="4" w:space="0" w:color="auto"/>
            </w:tcBorders>
            <w:shd w:val="clear" w:color="auto" w:fill="auto"/>
            <w:noWrap/>
            <w:vAlign w:val="bottom"/>
            <w:hideMark/>
          </w:tcPr>
          <w:p w:rsidR="00D02E81" w:rsidRPr="00722964" w:rsidRDefault="00D02E81" w:rsidP="00D02E81">
            <w:pPr>
              <w:spacing w:after="0" w:line="240" w:lineRule="auto"/>
              <w:rPr>
                <w:rFonts w:ascii="Calibri" w:eastAsia="Times New Roman" w:hAnsi="Calibri" w:cs="Calibri"/>
                <w:b/>
                <w:bCs/>
                <w:color w:val="000000"/>
                <w:sz w:val="14"/>
              </w:rPr>
            </w:pPr>
            <w:r w:rsidRPr="00722964">
              <w:rPr>
                <w:rFonts w:ascii="Calibri" w:eastAsia="Times New Roman" w:hAnsi="Calibri" w:cs="Calibri"/>
                <w:b/>
                <w:bCs/>
                <w:color w:val="000000"/>
                <w:sz w:val="14"/>
              </w:rPr>
              <w:t>Work loss days, liver 1st yr 41 -55</w:t>
            </w:r>
          </w:p>
        </w:tc>
        <w:tc>
          <w:tcPr>
            <w:tcW w:w="394" w:type="pct"/>
            <w:tcBorders>
              <w:top w:val="nil"/>
              <w:left w:val="nil"/>
              <w:bottom w:val="nil"/>
              <w:right w:val="nil"/>
            </w:tcBorders>
            <w:shd w:val="clear" w:color="000000" w:fill="D9D9D9"/>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-1.72804</w:t>
            </w:r>
          </w:p>
        </w:tc>
        <w:tc>
          <w:tcPr>
            <w:tcW w:w="394" w:type="pct"/>
            <w:tcBorders>
              <w:top w:val="nil"/>
              <w:left w:val="nil"/>
              <w:bottom w:val="nil"/>
              <w:right w:val="nil"/>
            </w:tcBorders>
            <w:shd w:val="clear" w:color="auto" w:fill="auto"/>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-5.24783</w:t>
            </w:r>
          </w:p>
        </w:tc>
        <w:tc>
          <w:tcPr>
            <w:tcW w:w="394" w:type="pct"/>
            <w:tcBorders>
              <w:top w:val="nil"/>
              <w:left w:val="nil"/>
              <w:bottom w:val="nil"/>
              <w:right w:val="nil"/>
            </w:tcBorders>
            <w:shd w:val="clear" w:color="000000" w:fill="D9D9D9"/>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0.00462</w:t>
            </w:r>
          </w:p>
        </w:tc>
        <w:tc>
          <w:tcPr>
            <w:tcW w:w="394" w:type="pct"/>
            <w:gridSpan w:val="2"/>
            <w:tcBorders>
              <w:top w:val="nil"/>
              <w:left w:val="nil"/>
              <w:bottom w:val="nil"/>
              <w:right w:val="single" w:sz="4" w:space="0" w:color="auto"/>
            </w:tcBorders>
            <w:shd w:val="clear" w:color="auto" w:fill="auto"/>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5.43782</w:t>
            </w:r>
          </w:p>
        </w:tc>
        <w:tc>
          <w:tcPr>
            <w:tcW w:w="394" w:type="pct"/>
            <w:tcBorders>
              <w:top w:val="nil"/>
              <w:left w:val="nil"/>
              <w:bottom w:val="nil"/>
              <w:right w:val="nil"/>
            </w:tcBorders>
            <w:shd w:val="clear" w:color="000000" w:fill="D9D9D9"/>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-1.72807</w:t>
            </w:r>
          </w:p>
        </w:tc>
        <w:tc>
          <w:tcPr>
            <w:tcW w:w="394" w:type="pct"/>
            <w:tcBorders>
              <w:top w:val="nil"/>
              <w:left w:val="nil"/>
              <w:bottom w:val="nil"/>
              <w:right w:val="nil"/>
            </w:tcBorders>
            <w:shd w:val="clear" w:color="auto" w:fill="auto"/>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-5.24787</w:t>
            </w:r>
          </w:p>
        </w:tc>
        <w:tc>
          <w:tcPr>
            <w:tcW w:w="394" w:type="pct"/>
            <w:tcBorders>
              <w:top w:val="nil"/>
              <w:left w:val="nil"/>
              <w:bottom w:val="nil"/>
              <w:right w:val="nil"/>
            </w:tcBorders>
            <w:shd w:val="clear" w:color="000000" w:fill="D9D9D9"/>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0.00462</w:t>
            </w:r>
          </w:p>
        </w:tc>
        <w:tc>
          <w:tcPr>
            <w:tcW w:w="394" w:type="pct"/>
            <w:gridSpan w:val="2"/>
            <w:tcBorders>
              <w:top w:val="nil"/>
              <w:left w:val="nil"/>
              <w:bottom w:val="nil"/>
              <w:right w:val="nil"/>
            </w:tcBorders>
            <w:shd w:val="clear" w:color="auto" w:fill="auto"/>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5.43782</w:t>
            </w:r>
          </w:p>
        </w:tc>
        <w:tc>
          <w:tcPr>
            <w:tcW w:w="394" w:type="pct"/>
            <w:tcBorders>
              <w:top w:val="nil"/>
              <w:left w:val="single" w:sz="4" w:space="0" w:color="auto"/>
              <w:bottom w:val="nil"/>
              <w:right w:val="nil"/>
            </w:tcBorders>
            <w:shd w:val="clear" w:color="000000" w:fill="FFFFFF"/>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0.00</w:t>
            </w:r>
          </w:p>
        </w:tc>
        <w:tc>
          <w:tcPr>
            <w:tcW w:w="394" w:type="pct"/>
            <w:tcBorders>
              <w:top w:val="nil"/>
              <w:left w:val="nil"/>
              <w:bottom w:val="nil"/>
              <w:right w:val="nil"/>
            </w:tcBorders>
            <w:shd w:val="clear" w:color="000000" w:fill="FFFFFF"/>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4E-05</w:t>
            </w:r>
          </w:p>
        </w:tc>
        <w:tc>
          <w:tcPr>
            <w:tcW w:w="394" w:type="pct"/>
            <w:tcBorders>
              <w:top w:val="nil"/>
              <w:left w:val="nil"/>
              <w:bottom w:val="nil"/>
              <w:right w:val="single" w:sz="4" w:space="0" w:color="auto"/>
            </w:tcBorders>
            <w:shd w:val="clear" w:color="000000" w:fill="FFFFFF"/>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0</w:t>
            </w:r>
          </w:p>
        </w:tc>
      </w:tr>
      <w:tr w:rsidR="00722964" w:rsidRPr="00722964" w:rsidTr="00722964">
        <w:trPr>
          <w:trHeight w:val="300"/>
        </w:trPr>
        <w:tc>
          <w:tcPr>
            <w:tcW w:w="667" w:type="pct"/>
            <w:tcBorders>
              <w:top w:val="nil"/>
              <w:left w:val="single" w:sz="8" w:space="0" w:color="auto"/>
              <w:bottom w:val="nil"/>
              <w:right w:val="single" w:sz="4" w:space="0" w:color="auto"/>
            </w:tcBorders>
            <w:shd w:val="clear" w:color="auto" w:fill="auto"/>
            <w:noWrap/>
            <w:vAlign w:val="bottom"/>
            <w:hideMark/>
          </w:tcPr>
          <w:p w:rsidR="00D02E81" w:rsidRPr="00722964" w:rsidRDefault="00D02E81" w:rsidP="00D02E81">
            <w:pPr>
              <w:spacing w:after="0" w:line="240" w:lineRule="auto"/>
              <w:rPr>
                <w:rFonts w:ascii="Calibri" w:eastAsia="Times New Roman" w:hAnsi="Calibri" w:cs="Calibri"/>
                <w:b/>
                <w:bCs/>
                <w:color w:val="000000"/>
                <w:sz w:val="14"/>
              </w:rPr>
            </w:pPr>
            <w:r w:rsidRPr="00722964">
              <w:rPr>
                <w:rFonts w:ascii="Calibri" w:eastAsia="Times New Roman" w:hAnsi="Calibri" w:cs="Calibri"/>
                <w:b/>
                <w:bCs/>
                <w:color w:val="000000"/>
                <w:sz w:val="14"/>
              </w:rPr>
              <w:t>Duration of outpatient icteric infection (d)</w:t>
            </w:r>
          </w:p>
        </w:tc>
        <w:tc>
          <w:tcPr>
            <w:tcW w:w="394" w:type="pct"/>
            <w:tcBorders>
              <w:top w:val="nil"/>
              <w:left w:val="nil"/>
              <w:bottom w:val="nil"/>
              <w:right w:val="nil"/>
            </w:tcBorders>
            <w:shd w:val="clear" w:color="000000" w:fill="D9D9D9"/>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-1.72803</w:t>
            </w:r>
          </w:p>
        </w:tc>
        <w:tc>
          <w:tcPr>
            <w:tcW w:w="394" w:type="pct"/>
            <w:tcBorders>
              <w:top w:val="nil"/>
              <w:left w:val="nil"/>
              <w:bottom w:val="nil"/>
              <w:right w:val="nil"/>
            </w:tcBorders>
            <w:shd w:val="clear" w:color="auto" w:fill="auto"/>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-5.24782</w:t>
            </w:r>
          </w:p>
        </w:tc>
        <w:tc>
          <w:tcPr>
            <w:tcW w:w="394" w:type="pct"/>
            <w:tcBorders>
              <w:top w:val="nil"/>
              <w:left w:val="nil"/>
              <w:bottom w:val="nil"/>
              <w:right w:val="nil"/>
            </w:tcBorders>
            <w:shd w:val="clear" w:color="000000" w:fill="D9D9D9"/>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0.003247</w:t>
            </w:r>
          </w:p>
        </w:tc>
        <w:tc>
          <w:tcPr>
            <w:tcW w:w="394" w:type="pct"/>
            <w:gridSpan w:val="2"/>
            <w:tcBorders>
              <w:top w:val="nil"/>
              <w:left w:val="nil"/>
              <w:bottom w:val="nil"/>
              <w:right w:val="single" w:sz="4" w:space="0" w:color="auto"/>
            </w:tcBorders>
            <w:shd w:val="clear" w:color="auto" w:fill="auto"/>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5.43783</w:t>
            </w:r>
          </w:p>
        </w:tc>
        <w:tc>
          <w:tcPr>
            <w:tcW w:w="394" w:type="pct"/>
            <w:tcBorders>
              <w:top w:val="nil"/>
              <w:left w:val="nil"/>
              <w:bottom w:val="nil"/>
              <w:right w:val="nil"/>
            </w:tcBorders>
            <w:shd w:val="clear" w:color="000000" w:fill="D9D9D9"/>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-1.72803</w:t>
            </w:r>
          </w:p>
        </w:tc>
        <w:tc>
          <w:tcPr>
            <w:tcW w:w="394" w:type="pct"/>
            <w:tcBorders>
              <w:top w:val="nil"/>
              <w:left w:val="nil"/>
              <w:bottom w:val="nil"/>
              <w:right w:val="nil"/>
            </w:tcBorders>
            <w:shd w:val="clear" w:color="auto" w:fill="auto"/>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-5.24782</w:t>
            </w:r>
          </w:p>
        </w:tc>
        <w:tc>
          <w:tcPr>
            <w:tcW w:w="394" w:type="pct"/>
            <w:tcBorders>
              <w:top w:val="nil"/>
              <w:left w:val="nil"/>
              <w:bottom w:val="nil"/>
              <w:right w:val="nil"/>
            </w:tcBorders>
            <w:shd w:val="clear" w:color="000000" w:fill="D9D9D9"/>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0.005061</w:t>
            </w:r>
          </w:p>
        </w:tc>
        <w:tc>
          <w:tcPr>
            <w:tcW w:w="394" w:type="pct"/>
            <w:gridSpan w:val="2"/>
            <w:tcBorders>
              <w:top w:val="nil"/>
              <w:left w:val="nil"/>
              <w:bottom w:val="nil"/>
              <w:right w:val="nil"/>
            </w:tcBorders>
            <w:shd w:val="clear" w:color="auto" w:fill="auto"/>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5.43783</w:t>
            </w:r>
          </w:p>
        </w:tc>
        <w:tc>
          <w:tcPr>
            <w:tcW w:w="394" w:type="pct"/>
            <w:tcBorders>
              <w:top w:val="nil"/>
              <w:left w:val="single" w:sz="4" w:space="0" w:color="auto"/>
              <w:bottom w:val="nil"/>
              <w:right w:val="nil"/>
            </w:tcBorders>
            <w:shd w:val="clear" w:color="000000" w:fill="FFFFFF"/>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0.00</w:t>
            </w:r>
          </w:p>
        </w:tc>
        <w:tc>
          <w:tcPr>
            <w:tcW w:w="394" w:type="pct"/>
            <w:tcBorders>
              <w:top w:val="nil"/>
              <w:left w:val="nil"/>
              <w:bottom w:val="nil"/>
              <w:right w:val="nil"/>
            </w:tcBorders>
            <w:shd w:val="clear" w:color="000000" w:fill="FFFFFF"/>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0</w:t>
            </w:r>
          </w:p>
        </w:tc>
        <w:tc>
          <w:tcPr>
            <w:tcW w:w="394" w:type="pct"/>
            <w:tcBorders>
              <w:top w:val="nil"/>
              <w:left w:val="nil"/>
              <w:bottom w:val="nil"/>
              <w:right w:val="single" w:sz="4" w:space="0" w:color="auto"/>
            </w:tcBorders>
            <w:shd w:val="clear" w:color="000000" w:fill="F5A9A9"/>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0.001814</w:t>
            </w:r>
          </w:p>
        </w:tc>
      </w:tr>
      <w:tr w:rsidR="00722964" w:rsidRPr="00722964" w:rsidTr="00722964">
        <w:trPr>
          <w:trHeight w:val="300"/>
        </w:trPr>
        <w:tc>
          <w:tcPr>
            <w:tcW w:w="667" w:type="pct"/>
            <w:tcBorders>
              <w:top w:val="nil"/>
              <w:left w:val="single" w:sz="8" w:space="0" w:color="auto"/>
              <w:bottom w:val="nil"/>
              <w:right w:val="single" w:sz="4" w:space="0" w:color="auto"/>
            </w:tcBorders>
            <w:shd w:val="clear" w:color="auto" w:fill="auto"/>
            <w:noWrap/>
            <w:vAlign w:val="bottom"/>
            <w:hideMark/>
          </w:tcPr>
          <w:p w:rsidR="00D02E81" w:rsidRPr="00722964" w:rsidRDefault="00D02E81" w:rsidP="00D02E81">
            <w:pPr>
              <w:spacing w:after="0" w:line="240" w:lineRule="auto"/>
              <w:rPr>
                <w:rFonts w:ascii="Calibri" w:eastAsia="Times New Roman" w:hAnsi="Calibri" w:cs="Calibri"/>
                <w:b/>
                <w:bCs/>
                <w:color w:val="000000"/>
                <w:sz w:val="14"/>
              </w:rPr>
            </w:pPr>
            <w:r w:rsidRPr="00722964">
              <w:rPr>
                <w:rFonts w:ascii="Calibri" w:eastAsia="Times New Roman" w:hAnsi="Calibri" w:cs="Calibri"/>
                <w:b/>
                <w:bCs/>
                <w:color w:val="000000"/>
                <w:sz w:val="14"/>
              </w:rPr>
              <w:t>Population norms, 0-29</w:t>
            </w:r>
          </w:p>
        </w:tc>
        <w:tc>
          <w:tcPr>
            <w:tcW w:w="394" w:type="pct"/>
            <w:tcBorders>
              <w:top w:val="nil"/>
              <w:left w:val="nil"/>
              <w:bottom w:val="nil"/>
              <w:right w:val="nil"/>
            </w:tcBorders>
            <w:shd w:val="clear" w:color="000000" w:fill="D9D9D9"/>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-1.72803</w:t>
            </w:r>
          </w:p>
        </w:tc>
        <w:tc>
          <w:tcPr>
            <w:tcW w:w="394" w:type="pct"/>
            <w:tcBorders>
              <w:top w:val="nil"/>
              <w:left w:val="nil"/>
              <w:bottom w:val="nil"/>
              <w:right w:val="nil"/>
            </w:tcBorders>
            <w:shd w:val="clear" w:color="auto" w:fill="auto"/>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-5.24782</w:t>
            </w:r>
          </w:p>
        </w:tc>
        <w:tc>
          <w:tcPr>
            <w:tcW w:w="394" w:type="pct"/>
            <w:tcBorders>
              <w:top w:val="nil"/>
              <w:left w:val="nil"/>
              <w:bottom w:val="nil"/>
              <w:right w:val="nil"/>
            </w:tcBorders>
            <w:shd w:val="clear" w:color="000000" w:fill="D9D9D9"/>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0.004586</w:t>
            </w:r>
          </w:p>
        </w:tc>
        <w:tc>
          <w:tcPr>
            <w:tcW w:w="394" w:type="pct"/>
            <w:gridSpan w:val="2"/>
            <w:tcBorders>
              <w:top w:val="nil"/>
              <w:left w:val="nil"/>
              <w:bottom w:val="nil"/>
              <w:right w:val="single" w:sz="4" w:space="0" w:color="auto"/>
            </w:tcBorders>
            <w:shd w:val="clear" w:color="auto" w:fill="auto"/>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5.43783</w:t>
            </w:r>
          </w:p>
        </w:tc>
        <w:tc>
          <w:tcPr>
            <w:tcW w:w="394" w:type="pct"/>
            <w:tcBorders>
              <w:top w:val="nil"/>
              <w:left w:val="nil"/>
              <w:bottom w:val="nil"/>
              <w:right w:val="nil"/>
            </w:tcBorders>
            <w:shd w:val="clear" w:color="000000" w:fill="D9D9D9"/>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-1.72803</w:t>
            </w:r>
          </w:p>
        </w:tc>
        <w:tc>
          <w:tcPr>
            <w:tcW w:w="394" w:type="pct"/>
            <w:tcBorders>
              <w:top w:val="nil"/>
              <w:left w:val="nil"/>
              <w:bottom w:val="nil"/>
              <w:right w:val="nil"/>
            </w:tcBorders>
            <w:shd w:val="clear" w:color="auto" w:fill="auto"/>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-5.24782</w:t>
            </w:r>
          </w:p>
        </w:tc>
        <w:tc>
          <w:tcPr>
            <w:tcW w:w="394" w:type="pct"/>
            <w:tcBorders>
              <w:top w:val="nil"/>
              <w:left w:val="nil"/>
              <w:bottom w:val="nil"/>
              <w:right w:val="nil"/>
            </w:tcBorders>
            <w:shd w:val="clear" w:color="000000" w:fill="D9D9D9"/>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0.004653</w:t>
            </w:r>
          </w:p>
        </w:tc>
        <w:tc>
          <w:tcPr>
            <w:tcW w:w="394" w:type="pct"/>
            <w:gridSpan w:val="2"/>
            <w:tcBorders>
              <w:top w:val="nil"/>
              <w:left w:val="nil"/>
              <w:bottom w:val="nil"/>
              <w:right w:val="nil"/>
            </w:tcBorders>
            <w:shd w:val="clear" w:color="auto" w:fill="auto"/>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5.43783</w:t>
            </w:r>
          </w:p>
        </w:tc>
        <w:tc>
          <w:tcPr>
            <w:tcW w:w="394" w:type="pct"/>
            <w:tcBorders>
              <w:top w:val="nil"/>
              <w:left w:val="single" w:sz="4" w:space="0" w:color="auto"/>
              <w:bottom w:val="nil"/>
              <w:right w:val="nil"/>
            </w:tcBorders>
            <w:shd w:val="clear" w:color="000000" w:fill="FFFFFF"/>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0.00</w:t>
            </w:r>
          </w:p>
        </w:tc>
        <w:tc>
          <w:tcPr>
            <w:tcW w:w="394" w:type="pct"/>
            <w:tcBorders>
              <w:top w:val="nil"/>
              <w:left w:val="nil"/>
              <w:bottom w:val="nil"/>
              <w:right w:val="nil"/>
            </w:tcBorders>
            <w:shd w:val="clear" w:color="000000" w:fill="FFFFFF"/>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0</w:t>
            </w:r>
          </w:p>
        </w:tc>
        <w:tc>
          <w:tcPr>
            <w:tcW w:w="394" w:type="pct"/>
            <w:tcBorders>
              <w:top w:val="nil"/>
              <w:left w:val="nil"/>
              <w:bottom w:val="nil"/>
              <w:right w:val="single" w:sz="4" w:space="0" w:color="auto"/>
            </w:tcBorders>
            <w:shd w:val="clear" w:color="000000" w:fill="F2F0F0"/>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6.69E-05</w:t>
            </w:r>
          </w:p>
        </w:tc>
      </w:tr>
      <w:tr w:rsidR="00722964" w:rsidRPr="00722964" w:rsidTr="00722964">
        <w:trPr>
          <w:trHeight w:val="300"/>
        </w:trPr>
        <w:tc>
          <w:tcPr>
            <w:tcW w:w="667" w:type="pct"/>
            <w:tcBorders>
              <w:top w:val="nil"/>
              <w:left w:val="single" w:sz="8" w:space="0" w:color="auto"/>
              <w:bottom w:val="nil"/>
              <w:right w:val="single" w:sz="4" w:space="0" w:color="auto"/>
            </w:tcBorders>
            <w:shd w:val="clear" w:color="auto" w:fill="auto"/>
            <w:noWrap/>
            <w:vAlign w:val="bottom"/>
            <w:hideMark/>
          </w:tcPr>
          <w:p w:rsidR="00D02E81" w:rsidRPr="00722964" w:rsidRDefault="00D02E81" w:rsidP="00D02E81">
            <w:pPr>
              <w:spacing w:after="0" w:line="240" w:lineRule="auto"/>
              <w:rPr>
                <w:rFonts w:ascii="Calibri" w:eastAsia="Times New Roman" w:hAnsi="Calibri" w:cs="Calibri"/>
                <w:b/>
                <w:bCs/>
                <w:color w:val="000000"/>
                <w:sz w:val="14"/>
              </w:rPr>
            </w:pPr>
            <w:r w:rsidRPr="00722964">
              <w:rPr>
                <w:rFonts w:ascii="Calibri" w:eastAsia="Times New Roman" w:hAnsi="Calibri" w:cs="Calibri"/>
                <w:b/>
                <w:bCs/>
                <w:color w:val="000000"/>
                <w:sz w:val="14"/>
              </w:rPr>
              <w:t>Duration of inpatient icteric infection (d)</w:t>
            </w:r>
          </w:p>
        </w:tc>
        <w:tc>
          <w:tcPr>
            <w:tcW w:w="394" w:type="pct"/>
            <w:tcBorders>
              <w:top w:val="nil"/>
              <w:left w:val="nil"/>
              <w:bottom w:val="nil"/>
              <w:right w:val="nil"/>
            </w:tcBorders>
            <w:shd w:val="clear" w:color="000000" w:fill="D9D9D9"/>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-1.72803</w:t>
            </w:r>
          </w:p>
        </w:tc>
        <w:tc>
          <w:tcPr>
            <w:tcW w:w="394" w:type="pct"/>
            <w:tcBorders>
              <w:top w:val="nil"/>
              <w:left w:val="nil"/>
              <w:bottom w:val="nil"/>
              <w:right w:val="nil"/>
            </w:tcBorders>
            <w:shd w:val="clear" w:color="auto" w:fill="auto"/>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-5.247820</w:t>
            </w:r>
          </w:p>
        </w:tc>
        <w:tc>
          <w:tcPr>
            <w:tcW w:w="394" w:type="pct"/>
            <w:tcBorders>
              <w:top w:val="nil"/>
              <w:left w:val="nil"/>
              <w:bottom w:val="nil"/>
              <w:right w:val="nil"/>
            </w:tcBorders>
            <w:shd w:val="clear" w:color="000000" w:fill="D9D9D9"/>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0.004568</w:t>
            </w:r>
          </w:p>
        </w:tc>
        <w:tc>
          <w:tcPr>
            <w:tcW w:w="394" w:type="pct"/>
            <w:gridSpan w:val="2"/>
            <w:tcBorders>
              <w:top w:val="nil"/>
              <w:left w:val="nil"/>
              <w:bottom w:val="nil"/>
              <w:right w:val="single" w:sz="4" w:space="0" w:color="auto"/>
            </w:tcBorders>
            <w:shd w:val="clear" w:color="auto" w:fill="auto"/>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5.43783</w:t>
            </w:r>
          </w:p>
        </w:tc>
        <w:tc>
          <w:tcPr>
            <w:tcW w:w="394" w:type="pct"/>
            <w:tcBorders>
              <w:top w:val="nil"/>
              <w:left w:val="nil"/>
              <w:bottom w:val="nil"/>
              <w:right w:val="nil"/>
            </w:tcBorders>
            <w:shd w:val="clear" w:color="000000" w:fill="D9D9D9"/>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-1.72803</w:t>
            </w:r>
          </w:p>
        </w:tc>
        <w:tc>
          <w:tcPr>
            <w:tcW w:w="394" w:type="pct"/>
            <w:tcBorders>
              <w:top w:val="nil"/>
              <w:left w:val="nil"/>
              <w:bottom w:val="nil"/>
              <w:right w:val="nil"/>
            </w:tcBorders>
            <w:shd w:val="clear" w:color="auto" w:fill="auto"/>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-5.247820</w:t>
            </w:r>
          </w:p>
        </w:tc>
        <w:tc>
          <w:tcPr>
            <w:tcW w:w="394" w:type="pct"/>
            <w:tcBorders>
              <w:top w:val="nil"/>
              <w:left w:val="nil"/>
              <w:bottom w:val="nil"/>
              <w:right w:val="nil"/>
            </w:tcBorders>
            <w:shd w:val="clear" w:color="000000" w:fill="D9D9D9"/>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0.004633</w:t>
            </w:r>
          </w:p>
        </w:tc>
        <w:tc>
          <w:tcPr>
            <w:tcW w:w="394" w:type="pct"/>
            <w:gridSpan w:val="2"/>
            <w:tcBorders>
              <w:top w:val="nil"/>
              <w:left w:val="nil"/>
              <w:bottom w:val="nil"/>
              <w:right w:val="nil"/>
            </w:tcBorders>
            <w:shd w:val="clear" w:color="auto" w:fill="auto"/>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5.43783</w:t>
            </w:r>
          </w:p>
        </w:tc>
        <w:tc>
          <w:tcPr>
            <w:tcW w:w="394" w:type="pct"/>
            <w:tcBorders>
              <w:top w:val="nil"/>
              <w:left w:val="single" w:sz="4" w:space="0" w:color="auto"/>
              <w:bottom w:val="nil"/>
              <w:right w:val="nil"/>
            </w:tcBorders>
            <w:shd w:val="clear" w:color="000000" w:fill="FFFFFF"/>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0.00</w:t>
            </w:r>
          </w:p>
        </w:tc>
        <w:tc>
          <w:tcPr>
            <w:tcW w:w="394" w:type="pct"/>
            <w:tcBorders>
              <w:top w:val="nil"/>
              <w:left w:val="nil"/>
              <w:bottom w:val="nil"/>
              <w:right w:val="nil"/>
            </w:tcBorders>
            <w:shd w:val="clear" w:color="000000" w:fill="FFFFFF"/>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0</w:t>
            </w:r>
          </w:p>
        </w:tc>
        <w:tc>
          <w:tcPr>
            <w:tcW w:w="394" w:type="pct"/>
            <w:tcBorders>
              <w:top w:val="nil"/>
              <w:left w:val="nil"/>
              <w:bottom w:val="nil"/>
              <w:right w:val="single" w:sz="4" w:space="0" w:color="auto"/>
            </w:tcBorders>
            <w:shd w:val="clear" w:color="000000" w:fill="F2F0F0"/>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6.42E-05</w:t>
            </w:r>
          </w:p>
        </w:tc>
      </w:tr>
      <w:tr w:rsidR="00722964" w:rsidRPr="00722964" w:rsidTr="00722964">
        <w:trPr>
          <w:trHeight w:val="300"/>
        </w:trPr>
        <w:tc>
          <w:tcPr>
            <w:tcW w:w="667" w:type="pct"/>
            <w:tcBorders>
              <w:top w:val="nil"/>
              <w:left w:val="single" w:sz="8" w:space="0" w:color="auto"/>
              <w:bottom w:val="nil"/>
              <w:right w:val="single" w:sz="4" w:space="0" w:color="auto"/>
            </w:tcBorders>
            <w:shd w:val="clear" w:color="auto" w:fill="auto"/>
            <w:noWrap/>
            <w:vAlign w:val="bottom"/>
            <w:hideMark/>
          </w:tcPr>
          <w:p w:rsidR="00D02E81" w:rsidRPr="00722964" w:rsidRDefault="00D02E81" w:rsidP="00D02E81">
            <w:pPr>
              <w:spacing w:after="0" w:line="240" w:lineRule="auto"/>
              <w:rPr>
                <w:rFonts w:ascii="Calibri" w:eastAsia="Times New Roman" w:hAnsi="Calibri" w:cs="Calibri"/>
                <w:b/>
                <w:bCs/>
                <w:color w:val="000000"/>
                <w:sz w:val="14"/>
              </w:rPr>
            </w:pPr>
            <w:r w:rsidRPr="00722964">
              <w:rPr>
                <w:rFonts w:ascii="Calibri" w:eastAsia="Times New Roman" w:hAnsi="Calibri" w:cs="Calibri"/>
                <w:b/>
                <w:bCs/>
                <w:color w:val="000000"/>
                <w:sz w:val="14"/>
              </w:rPr>
              <w:t>Population norms, 30-39</w:t>
            </w:r>
          </w:p>
        </w:tc>
        <w:tc>
          <w:tcPr>
            <w:tcW w:w="394" w:type="pct"/>
            <w:tcBorders>
              <w:top w:val="nil"/>
              <w:left w:val="nil"/>
              <w:bottom w:val="nil"/>
              <w:right w:val="nil"/>
            </w:tcBorders>
            <w:shd w:val="clear" w:color="000000" w:fill="D9D9D9"/>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-1.72803</w:t>
            </w:r>
          </w:p>
        </w:tc>
        <w:tc>
          <w:tcPr>
            <w:tcW w:w="394" w:type="pct"/>
            <w:tcBorders>
              <w:top w:val="nil"/>
              <w:left w:val="nil"/>
              <w:bottom w:val="nil"/>
              <w:right w:val="nil"/>
            </w:tcBorders>
            <w:shd w:val="clear" w:color="auto" w:fill="auto"/>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-5.24782</w:t>
            </w:r>
          </w:p>
        </w:tc>
        <w:tc>
          <w:tcPr>
            <w:tcW w:w="394" w:type="pct"/>
            <w:tcBorders>
              <w:top w:val="nil"/>
              <w:left w:val="nil"/>
              <w:bottom w:val="nil"/>
              <w:right w:val="nil"/>
            </w:tcBorders>
            <w:shd w:val="clear" w:color="000000" w:fill="D9D9D9"/>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0.004619</w:t>
            </w:r>
          </w:p>
        </w:tc>
        <w:tc>
          <w:tcPr>
            <w:tcW w:w="394" w:type="pct"/>
            <w:gridSpan w:val="2"/>
            <w:tcBorders>
              <w:top w:val="nil"/>
              <w:left w:val="nil"/>
              <w:bottom w:val="nil"/>
              <w:right w:val="single" w:sz="4" w:space="0" w:color="auto"/>
            </w:tcBorders>
            <w:shd w:val="clear" w:color="auto" w:fill="auto"/>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5.43783</w:t>
            </w:r>
          </w:p>
        </w:tc>
        <w:tc>
          <w:tcPr>
            <w:tcW w:w="394" w:type="pct"/>
            <w:tcBorders>
              <w:top w:val="nil"/>
              <w:left w:val="nil"/>
              <w:bottom w:val="nil"/>
              <w:right w:val="nil"/>
            </w:tcBorders>
            <w:shd w:val="clear" w:color="000000" w:fill="D9D9D9"/>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-1.72803</w:t>
            </w:r>
          </w:p>
        </w:tc>
        <w:tc>
          <w:tcPr>
            <w:tcW w:w="394" w:type="pct"/>
            <w:tcBorders>
              <w:top w:val="nil"/>
              <w:left w:val="nil"/>
              <w:bottom w:val="nil"/>
              <w:right w:val="nil"/>
            </w:tcBorders>
            <w:shd w:val="clear" w:color="auto" w:fill="auto"/>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-5.24782</w:t>
            </w:r>
          </w:p>
        </w:tc>
        <w:tc>
          <w:tcPr>
            <w:tcW w:w="394" w:type="pct"/>
            <w:tcBorders>
              <w:top w:val="nil"/>
              <w:left w:val="nil"/>
              <w:bottom w:val="nil"/>
              <w:right w:val="nil"/>
            </w:tcBorders>
            <w:shd w:val="clear" w:color="000000" w:fill="D9D9D9"/>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0.004621</w:t>
            </w:r>
          </w:p>
        </w:tc>
        <w:tc>
          <w:tcPr>
            <w:tcW w:w="394" w:type="pct"/>
            <w:gridSpan w:val="2"/>
            <w:tcBorders>
              <w:top w:val="nil"/>
              <w:left w:val="nil"/>
              <w:bottom w:val="nil"/>
              <w:right w:val="nil"/>
            </w:tcBorders>
            <w:shd w:val="clear" w:color="auto" w:fill="auto"/>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5.43783</w:t>
            </w:r>
          </w:p>
        </w:tc>
        <w:tc>
          <w:tcPr>
            <w:tcW w:w="394" w:type="pct"/>
            <w:tcBorders>
              <w:top w:val="nil"/>
              <w:left w:val="single" w:sz="4" w:space="0" w:color="auto"/>
              <w:bottom w:val="nil"/>
              <w:right w:val="nil"/>
            </w:tcBorders>
            <w:shd w:val="clear" w:color="000000" w:fill="FFFFFF"/>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0.00</w:t>
            </w:r>
          </w:p>
        </w:tc>
        <w:tc>
          <w:tcPr>
            <w:tcW w:w="394" w:type="pct"/>
            <w:tcBorders>
              <w:top w:val="nil"/>
              <w:left w:val="nil"/>
              <w:bottom w:val="nil"/>
              <w:right w:val="nil"/>
            </w:tcBorders>
            <w:shd w:val="clear" w:color="000000" w:fill="FFFFFF"/>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0</w:t>
            </w:r>
          </w:p>
        </w:tc>
        <w:tc>
          <w:tcPr>
            <w:tcW w:w="394" w:type="pct"/>
            <w:tcBorders>
              <w:top w:val="nil"/>
              <w:left w:val="nil"/>
              <w:bottom w:val="nil"/>
              <w:right w:val="single" w:sz="4" w:space="0" w:color="auto"/>
            </w:tcBorders>
            <w:shd w:val="clear" w:color="000000" w:fill="F2F2F2"/>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2.36E-06</w:t>
            </w:r>
          </w:p>
        </w:tc>
      </w:tr>
      <w:tr w:rsidR="00722964" w:rsidRPr="00722964" w:rsidTr="00722964">
        <w:trPr>
          <w:trHeight w:val="300"/>
        </w:trPr>
        <w:tc>
          <w:tcPr>
            <w:tcW w:w="667" w:type="pct"/>
            <w:tcBorders>
              <w:top w:val="nil"/>
              <w:left w:val="single" w:sz="8" w:space="0" w:color="auto"/>
              <w:bottom w:val="nil"/>
              <w:right w:val="single" w:sz="4" w:space="0" w:color="auto"/>
            </w:tcBorders>
            <w:shd w:val="clear" w:color="auto" w:fill="auto"/>
            <w:noWrap/>
            <w:vAlign w:val="bottom"/>
            <w:hideMark/>
          </w:tcPr>
          <w:p w:rsidR="00D02E81" w:rsidRPr="00722964" w:rsidRDefault="00D02E81" w:rsidP="00D02E81">
            <w:pPr>
              <w:spacing w:after="0" w:line="240" w:lineRule="auto"/>
              <w:rPr>
                <w:rFonts w:ascii="Calibri" w:eastAsia="Times New Roman" w:hAnsi="Calibri" w:cs="Calibri"/>
                <w:b/>
                <w:bCs/>
                <w:color w:val="000000"/>
                <w:sz w:val="14"/>
              </w:rPr>
            </w:pPr>
            <w:r w:rsidRPr="00722964">
              <w:rPr>
                <w:rFonts w:ascii="Calibri" w:eastAsia="Times New Roman" w:hAnsi="Calibri" w:cs="Calibri"/>
                <w:b/>
                <w:bCs/>
                <w:color w:val="000000"/>
                <w:sz w:val="14"/>
              </w:rPr>
              <w:t>Population norms, 40-49</w:t>
            </w:r>
          </w:p>
        </w:tc>
        <w:tc>
          <w:tcPr>
            <w:tcW w:w="394" w:type="pct"/>
            <w:tcBorders>
              <w:top w:val="nil"/>
              <w:left w:val="nil"/>
              <w:bottom w:val="nil"/>
              <w:right w:val="nil"/>
            </w:tcBorders>
            <w:shd w:val="clear" w:color="000000" w:fill="D9D9D9"/>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-1.72803</w:t>
            </w:r>
          </w:p>
        </w:tc>
        <w:tc>
          <w:tcPr>
            <w:tcW w:w="394" w:type="pct"/>
            <w:tcBorders>
              <w:top w:val="nil"/>
              <w:left w:val="nil"/>
              <w:bottom w:val="nil"/>
              <w:right w:val="nil"/>
            </w:tcBorders>
            <w:shd w:val="clear" w:color="auto" w:fill="auto"/>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-5.24782</w:t>
            </w:r>
          </w:p>
        </w:tc>
        <w:tc>
          <w:tcPr>
            <w:tcW w:w="394" w:type="pct"/>
            <w:tcBorders>
              <w:top w:val="nil"/>
              <w:left w:val="nil"/>
              <w:bottom w:val="nil"/>
              <w:right w:val="nil"/>
            </w:tcBorders>
            <w:shd w:val="clear" w:color="000000" w:fill="D9D9D9"/>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0.004619</w:t>
            </w:r>
          </w:p>
        </w:tc>
        <w:tc>
          <w:tcPr>
            <w:tcW w:w="394" w:type="pct"/>
            <w:gridSpan w:val="2"/>
            <w:tcBorders>
              <w:top w:val="nil"/>
              <w:left w:val="nil"/>
              <w:bottom w:val="nil"/>
              <w:right w:val="single" w:sz="4" w:space="0" w:color="auto"/>
            </w:tcBorders>
            <w:shd w:val="clear" w:color="auto" w:fill="auto"/>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5.43783</w:t>
            </w:r>
          </w:p>
        </w:tc>
        <w:tc>
          <w:tcPr>
            <w:tcW w:w="394" w:type="pct"/>
            <w:tcBorders>
              <w:top w:val="nil"/>
              <w:left w:val="nil"/>
              <w:bottom w:val="nil"/>
              <w:right w:val="nil"/>
            </w:tcBorders>
            <w:shd w:val="clear" w:color="000000" w:fill="D9D9D9"/>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-1.72803</w:t>
            </w:r>
          </w:p>
        </w:tc>
        <w:tc>
          <w:tcPr>
            <w:tcW w:w="394" w:type="pct"/>
            <w:tcBorders>
              <w:top w:val="nil"/>
              <w:left w:val="nil"/>
              <w:bottom w:val="nil"/>
              <w:right w:val="nil"/>
            </w:tcBorders>
            <w:shd w:val="clear" w:color="auto" w:fill="auto"/>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-5.24782</w:t>
            </w:r>
          </w:p>
        </w:tc>
        <w:tc>
          <w:tcPr>
            <w:tcW w:w="394" w:type="pct"/>
            <w:tcBorders>
              <w:top w:val="nil"/>
              <w:left w:val="nil"/>
              <w:bottom w:val="nil"/>
              <w:right w:val="nil"/>
            </w:tcBorders>
            <w:shd w:val="clear" w:color="000000" w:fill="D9D9D9"/>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0.00462</w:t>
            </w:r>
          </w:p>
        </w:tc>
        <w:tc>
          <w:tcPr>
            <w:tcW w:w="394" w:type="pct"/>
            <w:gridSpan w:val="2"/>
            <w:tcBorders>
              <w:top w:val="nil"/>
              <w:left w:val="nil"/>
              <w:bottom w:val="nil"/>
              <w:right w:val="nil"/>
            </w:tcBorders>
            <w:shd w:val="clear" w:color="auto" w:fill="auto"/>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5.43783</w:t>
            </w:r>
          </w:p>
        </w:tc>
        <w:tc>
          <w:tcPr>
            <w:tcW w:w="394" w:type="pct"/>
            <w:tcBorders>
              <w:top w:val="nil"/>
              <w:left w:val="single" w:sz="4" w:space="0" w:color="auto"/>
              <w:bottom w:val="nil"/>
              <w:right w:val="nil"/>
            </w:tcBorders>
            <w:shd w:val="clear" w:color="000000" w:fill="FFFFFF"/>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0.00</w:t>
            </w:r>
          </w:p>
        </w:tc>
        <w:tc>
          <w:tcPr>
            <w:tcW w:w="394" w:type="pct"/>
            <w:tcBorders>
              <w:top w:val="nil"/>
              <w:left w:val="nil"/>
              <w:bottom w:val="nil"/>
              <w:right w:val="nil"/>
            </w:tcBorders>
            <w:shd w:val="clear" w:color="000000" w:fill="FFFFFF"/>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0</w:t>
            </w:r>
          </w:p>
        </w:tc>
        <w:tc>
          <w:tcPr>
            <w:tcW w:w="394" w:type="pct"/>
            <w:tcBorders>
              <w:top w:val="nil"/>
              <w:left w:val="nil"/>
              <w:bottom w:val="nil"/>
              <w:right w:val="single" w:sz="4" w:space="0" w:color="auto"/>
            </w:tcBorders>
            <w:shd w:val="clear" w:color="000000" w:fill="F2F2F2"/>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8.4E-07</w:t>
            </w:r>
          </w:p>
        </w:tc>
      </w:tr>
      <w:tr w:rsidR="00722964" w:rsidRPr="00722964" w:rsidTr="00722964">
        <w:trPr>
          <w:trHeight w:val="300"/>
        </w:trPr>
        <w:tc>
          <w:tcPr>
            <w:tcW w:w="667" w:type="pct"/>
            <w:tcBorders>
              <w:top w:val="nil"/>
              <w:left w:val="single" w:sz="8" w:space="0" w:color="auto"/>
              <w:bottom w:val="nil"/>
              <w:right w:val="single" w:sz="4" w:space="0" w:color="auto"/>
            </w:tcBorders>
            <w:shd w:val="clear" w:color="auto" w:fill="auto"/>
            <w:noWrap/>
            <w:vAlign w:val="bottom"/>
            <w:hideMark/>
          </w:tcPr>
          <w:p w:rsidR="00D02E81" w:rsidRPr="00722964" w:rsidRDefault="00D02E81" w:rsidP="00D02E81">
            <w:pPr>
              <w:spacing w:after="0" w:line="240" w:lineRule="auto"/>
              <w:rPr>
                <w:rFonts w:ascii="Calibri" w:eastAsia="Times New Roman" w:hAnsi="Calibri" w:cs="Calibri"/>
                <w:b/>
                <w:bCs/>
                <w:color w:val="000000"/>
                <w:sz w:val="14"/>
              </w:rPr>
            </w:pPr>
            <w:r w:rsidRPr="00722964">
              <w:rPr>
                <w:rFonts w:ascii="Calibri" w:eastAsia="Times New Roman" w:hAnsi="Calibri" w:cs="Calibri"/>
                <w:b/>
                <w:bCs/>
                <w:color w:val="000000"/>
                <w:sz w:val="14"/>
              </w:rPr>
              <w:t>Population norms, 50-59</w:t>
            </w:r>
          </w:p>
        </w:tc>
        <w:tc>
          <w:tcPr>
            <w:tcW w:w="394" w:type="pct"/>
            <w:tcBorders>
              <w:top w:val="nil"/>
              <w:left w:val="nil"/>
              <w:bottom w:val="nil"/>
              <w:right w:val="nil"/>
            </w:tcBorders>
            <w:shd w:val="clear" w:color="000000" w:fill="D9D9D9"/>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-1.72803</w:t>
            </w:r>
          </w:p>
        </w:tc>
        <w:tc>
          <w:tcPr>
            <w:tcW w:w="394" w:type="pct"/>
            <w:tcBorders>
              <w:top w:val="nil"/>
              <w:left w:val="nil"/>
              <w:bottom w:val="nil"/>
              <w:right w:val="nil"/>
            </w:tcBorders>
            <w:shd w:val="clear" w:color="auto" w:fill="auto"/>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-5.24782</w:t>
            </w:r>
          </w:p>
        </w:tc>
        <w:tc>
          <w:tcPr>
            <w:tcW w:w="394" w:type="pct"/>
            <w:tcBorders>
              <w:top w:val="nil"/>
              <w:left w:val="nil"/>
              <w:bottom w:val="nil"/>
              <w:right w:val="nil"/>
            </w:tcBorders>
            <w:shd w:val="clear" w:color="000000" w:fill="D9D9D9"/>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0.00462</w:t>
            </w:r>
          </w:p>
        </w:tc>
        <w:tc>
          <w:tcPr>
            <w:tcW w:w="394" w:type="pct"/>
            <w:gridSpan w:val="2"/>
            <w:tcBorders>
              <w:top w:val="nil"/>
              <w:left w:val="nil"/>
              <w:bottom w:val="nil"/>
              <w:right w:val="single" w:sz="4" w:space="0" w:color="auto"/>
            </w:tcBorders>
            <w:shd w:val="clear" w:color="auto" w:fill="auto"/>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5.43783</w:t>
            </w:r>
          </w:p>
        </w:tc>
        <w:tc>
          <w:tcPr>
            <w:tcW w:w="394" w:type="pct"/>
            <w:tcBorders>
              <w:top w:val="nil"/>
              <w:left w:val="nil"/>
              <w:bottom w:val="nil"/>
              <w:right w:val="nil"/>
            </w:tcBorders>
            <w:shd w:val="clear" w:color="000000" w:fill="D9D9D9"/>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-1.72803</w:t>
            </w:r>
          </w:p>
        </w:tc>
        <w:tc>
          <w:tcPr>
            <w:tcW w:w="394" w:type="pct"/>
            <w:tcBorders>
              <w:top w:val="nil"/>
              <w:left w:val="nil"/>
              <w:bottom w:val="nil"/>
              <w:right w:val="nil"/>
            </w:tcBorders>
            <w:shd w:val="clear" w:color="auto" w:fill="auto"/>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-5.24782</w:t>
            </w:r>
          </w:p>
        </w:tc>
        <w:tc>
          <w:tcPr>
            <w:tcW w:w="394" w:type="pct"/>
            <w:tcBorders>
              <w:top w:val="nil"/>
              <w:left w:val="nil"/>
              <w:bottom w:val="nil"/>
              <w:right w:val="nil"/>
            </w:tcBorders>
            <w:shd w:val="clear" w:color="000000" w:fill="D9D9D9"/>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0.00462</w:t>
            </w:r>
          </w:p>
        </w:tc>
        <w:tc>
          <w:tcPr>
            <w:tcW w:w="394" w:type="pct"/>
            <w:gridSpan w:val="2"/>
            <w:tcBorders>
              <w:top w:val="nil"/>
              <w:left w:val="nil"/>
              <w:bottom w:val="nil"/>
              <w:right w:val="nil"/>
            </w:tcBorders>
            <w:shd w:val="clear" w:color="auto" w:fill="auto"/>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5.43783</w:t>
            </w:r>
          </w:p>
        </w:tc>
        <w:tc>
          <w:tcPr>
            <w:tcW w:w="394" w:type="pct"/>
            <w:tcBorders>
              <w:top w:val="nil"/>
              <w:left w:val="single" w:sz="4" w:space="0" w:color="auto"/>
              <w:bottom w:val="nil"/>
              <w:right w:val="nil"/>
            </w:tcBorders>
            <w:shd w:val="clear" w:color="000000" w:fill="FFFFFF"/>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0.00</w:t>
            </w:r>
          </w:p>
        </w:tc>
        <w:tc>
          <w:tcPr>
            <w:tcW w:w="394" w:type="pct"/>
            <w:tcBorders>
              <w:top w:val="nil"/>
              <w:left w:val="nil"/>
              <w:bottom w:val="nil"/>
              <w:right w:val="nil"/>
            </w:tcBorders>
            <w:shd w:val="clear" w:color="000000" w:fill="FFFFFF"/>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0</w:t>
            </w:r>
          </w:p>
        </w:tc>
        <w:tc>
          <w:tcPr>
            <w:tcW w:w="394" w:type="pct"/>
            <w:tcBorders>
              <w:top w:val="nil"/>
              <w:left w:val="nil"/>
              <w:bottom w:val="nil"/>
              <w:right w:val="single" w:sz="4" w:space="0" w:color="auto"/>
            </w:tcBorders>
            <w:shd w:val="clear" w:color="000000" w:fill="F2F2F2"/>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1.1E-07</w:t>
            </w:r>
          </w:p>
        </w:tc>
      </w:tr>
      <w:tr w:rsidR="00722964" w:rsidRPr="00722964" w:rsidTr="00722964">
        <w:trPr>
          <w:trHeight w:val="300"/>
        </w:trPr>
        <w:tc>
          <w:tcPr>
            <w:tcW w:w="667" w:type="pct"/>
            <w:tcBorders>
              <w:top w:val="nil"/>
              <w:left w:val="single" w:sz="8" w:space="0" w:color="auto"/>
              <w:bottom w:val="nil"/>
              <w:right w:val="single" w:sz="4" w:space="0" w:color="auto"/>
            </w:tcBorders>
            <w:shd w:val="clear" w:color="auto" w:fill="auto"/>
            <w:noWrap/>
            <w:vAlign w:val="bottom"/>
            <w:hideMark/>
          </w:tcPr>
          <w:p w:rsidR="00D02E81" w:rsidRPr="00722964" w:rsidRDefault="00D02E81" w:rsidP="00D02E81">
            <w:pPr>
              <w:spacing w:after="0" w:line="240" w:lineRule="auto"/>
              <w:rPr>
                <w:rFonts w:ascii="Calibri" w:eastAsia="Times New Roman" w:hAnsi="Calibri" w:cs="Calibri"/>
                <w:b/>
                <w:bCs/>
                <w:color w:val="000000"/>
                <w:sz w:val="14"/>
              </w:rPr>
            </w:pPr>
            <w:r w:rsidRPr="00722964">
              <w:rPr>
                <w:rFonts w:ascii="Calibri" w:eastAsia="Times New Roman" w:hAnsi="Calibri" w:cs="Calibri"/>
                <w:b/>
                <w:bCs/>
                <w:color w:val="000000"/>
                <w:sz w:val="14"/>
              </w:rPr>
              <w:t>Population norms, 60-69</w:t>
            </w:r>
          </w:p>
        </w:tc>
        <w:tc>
          <w:tcPr>
            <w:tcW w:w="394" w:type="pct"/>
            <w:tcBorders>
              <w:top w:val="nil"/>
              <w:left w:val="nil"/>
              <w:bottom w:val="nil"/>
              <w:right w:val="nil"/>
            </w:tcBorders>
            <w:shd w:val="clear" w:color="000000" w:fill="D9D9D9"/>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-1.72803</w:t>
            </w:r>
          </w:p>
        </w:tc>
        <w:tc>
          <w:tcPr>
            <w:tcW w:w="394" w:type="pct"/>
            <w:tcBorders>
              <w:top w:val="nil"/>
              <w:left w:val="nil"/>
              <w:bottom w:val="nil"/>
              <w:right w:val="nil"/>
            </w:tcBorders>
            <w:shd w:val="clear" w:color="auto" w:fill="auto"/>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-5.24782</w:t>
            </w:r>
          </w:p>
        </w:tc>
        <w:tc>
          <w:tcPr>
            <w:tcW w:w="394" w:type="pct"/>
            <w:tcBorders>
              <w:top w:val="nil"/>
              <w:left w:val="nil"/>
              <w:bottom w:val="nil"/>
              <w:right w:val="nil"/>
            </w:tcBorders>
            <w:shd w:val="clear" w:color="000000" w:fill="D9D9D9"/>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0.00462</w:t>
            </w:r>
          </w:p>
        </w:tc>
        <w:tc>
          <w:tcPr>
            <w:tcW w:w="394" w:type="pct"/>
            <w:gridSpan w:val="2"/>
            <w:tcBorders>
              <w:top w:val="nil"/>
              <w:left w:val="nil"/>
              <w:bottom w:val="nil"/>
              <w:right w:val="single" w:sz="4" w:space="0" w:color="auto"/>
            </w:tcBorders>
            <w:shd w:val="clear" w:color="auto" w:fill="auto"/>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5.43783</w:t>
            </w:r>
          </w:p>
        </w:tc>
        <w:tc>
          <w:tcPr>
            <w:tcW w:w="394" w:type="pct"/>
            <w:tcBorders>
              <w:top w:val="nil"/>
              <w:left w:val="nil"/>
              <w:bottom w:val="nil"/>
              <w:right w:val="nil"/>
            </w:tcBorders>
            <w:shd w:val="clear" w:color="000000" w:fill="D9D9D9"/>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-1.72803</w:t>
            </w:r>
          </w:p>
        </w:tc>
        <w:tc>
          <w:tcPr>
            <w:tcW w:w="394" w:type="pct"/>
            <w:tcBorders>
              <w:top w:val="nil"/>
              <w:left w:val="nil"/>
              <w:bottom w:val="nil"/>
              <w:right w:val="nil"/>
            </w:tcBorders>
            <w:shd w:val="clear" w:color="auto" w:fill="auto"/>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-5.24782</w:t>
            </w:r>
          </w:p>
        </w:tc>
        <w:tc>
          <w:tcPr>
            <w:tcW w:w="394" w:type="pct"/>
            <w:tcBorders>
              <w:top w:val="nil"/>
              <w:left w:val="nil"/>
              <w:bottom w:val="nil"/>
              <w:right w:val="nil"/>
            </w:tcBorders>
            <w:shd w:val="clear" w:color="000000" w:fill="D9D9D9"/>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0.00462</w:t>
            </w:r>
          </w:p>
        </w:tc>
        <w:tc>
          <w:tcPr>
            <w:tcW w:w="394" w:type="pct"/>
            <w:gridSpan w:val="2"/>
            <w:tcBorders>
              <w:top w:val="nil"/>
              <w:left w:val="nil"/>
              <w:bottom w:val="nil"/>
              <w:right w:val="nil"/>
            </w:tcBorders>
            <w:shd w:val="clear" w:color="auto" w:fill="auto"/>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5.43783</w:t>
            </w:r>
          </w:p>
        </w:tc>
        <w:tc>
          <w:tcPr>
            <w:tcW w:w="394" w:type="pct"/>
            <w:tcBorders>
              <w:top w:val="nil"/>
              <w:left w:val="single" w:sz="4" w:space="0" w:color="auto"/>
              <w:bottom w:val="nil"/>
              <w:right w:val="nil"/>
            </w:tcBorders>
            <w:shd w:val="clear" w:color="000000" w:fill="FFFFFF"/>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0.00</w:t>
            </w:r>
          </w:p>
        </w:tc>
        <w:tc>
          <w:tcPr>
            <w:tcW w:w="394" w:type="pct"/>
            <w:tcBorders>
              <w:top w:val="nil"/>
              <w:left w:val="nil"/>
              <w:bottom w:val="nil"/>
              <w:right w:val="nil"/>
            </w:tcBorders>
            <w:shd w:val="clear" w:color="000000" w:fill="FFFFFF"/>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0</w:t>
            </w:r>
          </w:p>
        </w:tc>
        <w:tc>
          <w:tcPr>
            <w:tcW w:w="394" w:type="pct"/>
            <w:tcBorders>
              <w:top w:val="nil"/>
              <w:left w:val="nil"/>
              <w:bottom w:val="nil"/>
              <w:right w:val="single" w:sz="4" w:space="0" w:color="auto"/>
            </w:tcBorders>
            <w:shd w:val="clear" w:color="000000" w:fill="F2F2F2"/>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1E-08</w:t>
            </w:r>
          </w:p>
        </w:tc>
      </w:tr>
      <w:tr w:rsidR="00722964" w:rsidRPr="00722964" w:rsidTr="00722964">
        <w:trPr>
          <w:trHeight w:val="300"/>
        </w:trPr>
        <w:tc>
          <w:tcPr>
            <w:tcW w:w="667" w:type="pct"/>
            <w:tcBorders>
              <w:top w:val="nil"/>
              <w:left w:val="single" w:sz="8" w:space="0" w:color="auto"/>
              <w:bottom w:val="nil"/>
              <w:right w:val="single" w:sz="4" w:space="0" w:color="auto"/>
            </w:tcBorders>
            <w:shd w:val="clear" w:color="auto" w:fill="auto"/>
            <w:noWrap/>
            <w:vAlign w:val="bottom"/>
            <w:hideMark/>
          </w:tcPr>
          <w:p w:rsidR="00D02E81" w:rsidRPr="00722964" w:rsidRDefault="00D02E81" w:rsidP="00D02E81">
            <w:pPr>
              <w:spacing w:after="0" w:line="240" w:lineRule="auto"/>
              <w:rPr>
                <w:rFonts w:ascii="Calibri" w:eastAsia="Times New Roman" w:hAnsi="Calibri" w:cs="Calibri"/>
                <w:b/>
                <w:bCs/>
                <w:color w:val="000000"/>
                <w:sz w:val="14"/>
              </w:rPr>
            </w:pPr>
            <w:r w:rsidRPr="00722964">
              <w:rPr>
                <w:rFonts w:ascii="Calibri" w:eastAsia="Times New Roman" w:hAnsi="Calibri" w:cs="Calibri"/>
                <w:b/>
                <w:bCs/>
                <w:color w:val="000000"/>
                <w:sz w:val="14"/>
              </w:rPr>
              <w:t>Work loss days, liver 1st yr 63+</w:t>
            </w:r>
          </w:p>
        </w:tc>
        <w:tc>
          <w:tcPr>
            <w:tcW w:w="394" w:type="pct"/>
            <w:tcBorders>
              <w:top w:val="nil"/>
              <w:left w:val="nil"/>
              <w:bottom w:val="nil"/>
              <w:right w:val="nil"/>
            </w:tcBorders>
            <w:shd w:val="clear" w:color="000000" w:fill="D9D9D9"/>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-1.72803</w:t>
            </w:r>
          </w:p>
        </w:tc>
        <w:tc>
          <w:tcPr>
            <w:tcW w:w="394" w:type="pct"/>
            <w:tcBorders>
              <w:top w:val="nil"/>
              <w:left w:val="nil"/>
              <w:bottom w:val="nil"/>
              <w:right w:val="nil"/>
            </w:tcBorders>
            <w:shd w:val="clear" w:color="auto" w:fill="auto"/>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-5.24782</w:t>
            </w:r>
          </w:p>
        </w:tc>
        <w:tc>
          <w:tcPr>
            <w:tcW w:w="394" w:type="pct"/>
            <w:tcBorders>
              <w:top w:val="nil"/>
              <w:left w:val="nil"/>
              <w:bottom w:val="nil"/>
              <w:right w:val="nil"/>
            </w:tcBorders>
            <w:shd w:val="clear" w:color="000000" w:fill="D9D9D9"/>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0.00462</w:t>
            </w:r>
          </w:p>
        </w:tc>
        <w:tc>
          <w:tcPr>
            <w:tcW w:w="394" w:type="pct"/>
            <w:gridSpan w:val="2"/>
            <w:tcBorders>
              <w:top w:val="nil"/>
              <w:left w:val="nil"/>
              <w:bottom w:val="nil"/>
              <w:right w:val="single" w:sz="4" w:space="0" w:color="auto"/>
            </w:tcBorders>
            <w:shd w:val="clear" w:color="auto" w:fill="auto"/>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5.43783</w:t>
            </w:r>
          </w:p>
        </w:tc>
        <w:tc>
          <w:tcPr>
            <w:tcW w:w="394" w:type="pct"/>
            <w:tcBorders>
              <w:top w:val="nil"/>
              <w:left w:val="nil"/>
              <w:bottom w:val="nil"/>
              <w:right w:val="nil"/>
            </w:tcBorders>
            <w:shd w:val="clear" w:color="000000" w:fill="D9D9D9"/>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-1.72803</w:t>
            </w:r>
          </w:p>
        </w:tc>
        <w:tc>
          <w:tcPr>
            <w:tcW w:w="394" w:type="pct"/>
            <w:tcBorders>
              <w:top w:val="nil"/>
              <w:left w:val="nil"/>
              <w:bottom w:val="nil"/>
              <w:right w:val="nil"/>
            </w:tcBorders>
            <w:shd w:val="clear" w:color="auto" w:fill="auto"/>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-5.24782</w:t>
            </w:r>
          </w:p>
        </w:tc>
        <w:tc>
          <w:tcPr>
            <w:tcW w:w="394" w:type="pct"/>
            <w:tcBorders>
              <w:top w:val="nil"/>
              <w:left w:val="nil"/>
              <w:bottom w:val="nil"/>
              <w:right w:val="nil"/>
            </w:tcBorders>
            <w:shd w:val="clear" w:color="000000" w:fill="D9D9D9"/>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0.00462</w:t>
            </w:r>
          </w:p>
        </w:tc>
        <w:tc>
          <w:tcPr>
            <w:tcW w:w="394" w:type="pct"/>
            <w:gridSpan w:val="2"/>
            <w:tcBorders>
              <w:top w:val="nil"/>
              <w:left w:val="nil"/>
              <w:bottom w:val="nil"/>
              <w:right w:val="nil"/>
            </w:tcBorders>
            <w:shd w:val="clear" w:color="auto" w:fill="auto"/>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5.43783</w:t>
            </w:r>
          </w:p>
        </w:tc>
        <w:tc>
          <w:tcPr>
            <w:tcW w:w="394" w:type="pct"/>
            <w:tcBorders>
              <w:top w:val="nil"/>
              <w:left w:val="single" w:sz="4" w:space="0" w:color="auto"/>
              <w:bottom w:val="nil"/>
              <w:right w:val="nil"/>
            </w:tcBorders>
            <w:shd w:val="clear" w:color="000000" w:fill="FFFFFF"/>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0.00</w:t>
            </w:r>
          </w:p>
        </w:tc>
        <w:tc>
          <w:tcPr>
            <w:tcW w:w="394" w:type="pct"/>
            <w:tcBorders>
              <w:top w:val="nil"/>
              <w:left w:val="nil"/>
              <w:bottom w:val="nil"/>
              <w:right w:val="nil"/>
            </w:tcBorders>
            <w:shd w:val="clear" w:color="000000" w:fill="FFFFFF"/>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0</w:t>
            </w:r>
          </w:p>
        </w:tc>
        <w:tc>
          <w:tcPr>
            <w:tcW w:w="394" w:type="pct"/>
            <w:tcBorders>
              <w:top w:val="nil"/>
              <w:left w:val="nil"/>
              <w:bottom w:val="nil"/>
              <w:right w:val="single" w:sz="4" w:space="0" w:color="auto"/>
            </w:tcBorders>
            <w:shd w:val="clear" w:color="000000" w:fill="FFFFFF"/>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0</w:t>
            </w:r>
          </w:p>
        </w:tc>
      </w:tr>
      <w:tr w:rsidR="00722964" w:rsidRPr="00722964" w:rsidTr="00722964">
        <w:trPr>
          <w:trHeight w:val="300"/>
        </w:trPr>
        <w:tc>
          <w:tcPr>
            <w:tcW w:w="667" w:type="pct"/>
            <w:tcBorders>
              <w:top w:val="nil"/>
              <w:left w:val="single" w:sz="8" w:space="0" w:color="auto"/>
              <w:bottom w:val="nil"/>
              <w:right w:val="single" w:sz="4" w:space="0" w:color="auto"/>
            </w:tcBorders>
            <w:shd w:val="clear" w:color="auto" w:fill="auto"/>
            <w:noWrap/>
            <w:vAlign w:val="bottom"/>
            <w:hideMark/>
          </w:tcPr>
          <w:p w:rsidR="00D02E81" w:rsidRPr="00722964" w:rsidRDefault="00D02E81" w:rsidP="00D02E81">
            <w:pPr>
              <w:spacing w:after="0" w:line="240" w:lineRule="auto"/>
              <w:rPr>
                <w:rFonts w:ascii="Calibri" w:eastAsia="Times New Roman" w:hAnsi="Calibri" w:cs="Calibri"/>
                <w:b/>
                <w:bCs/>
                <w:color w:val="000000"/>
                <w:sz w:val="14"/>
              </w:rPr>
            </w:pPr>
            <w:r w:rsidRPr="00722964">
              <w:rPr>
                <w:rFonts w:ascii="Calibri" w:eastAsia="Times New Roman" w:hAnsi="Calibri" w:cs="Calibri"/>
                <w:b/>
                <w:bCs/>
                <w:color w:val="000000"/>
                <w:sz w:val="14"/>
              </w:rPr>
              <w:t>Work loss days, liver 1st yr 56 -62</w:t>
            </w:r>
          </w:p>
        </w:tc>
        <w:tc>
          <w:tcPr>
            <w:tcW w:w="394" w:type="pct"/>
            <w:tcBorders>
              <w:top w:val="nil"/>
              <w:left w:val="nil"/>
              <w:bottom w:val="nil"/>
              <w:right w:val="nil"/>
            </w:tcBorders>
            <w:shd w:val="clear" w:color="000000" w:fill="D9D9D9"/>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-1.72803</w:t>
            </w:r>
          </w:p>
        </w:tc>
        <w:tc>
          <w:tcPr>
            <w:tcW w:w="394" w:type="pct"/>
            <w:tcBorders>
              <w:top w:val="nil"/>
              <w:left w:val="nil"/>
              <w:bottom w:val="nil"/>
              <w:right w:val="nil"/>
            </w:tcBorders>
            <w:shd w:val="clear" w:color="auto" w:fill="auto"/>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-5.24782</w:t>
            </w:r>
          </w:p>
        </w:tc>
        <w:tc>
          <w:tcPr>
            <w:tcW w:w="394" w:type="pct"/>
            <w:tcBorders>
              <w:top w:val="nil"/>
              <w:left w:val="nil"/>
              <w:bottom w:val="nil"/>
              <w:right w:val="nil"/>
            </w:tcBorders>
            <w:shd w:val="clear" w:color="000000" w:fill="D9D9D9"/>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0.00462</w:t>
            </w:r>
          </w:p>
        </w:tc>
        <w:tc>
          <w:tcPr>
            <w:tcW w:w="394" w:type="pct"/>
            <w:gridSpan w:val="2"/>
            <w:tcBorders>
              <w:top w:val="nil"/>
              <w:left w:val="nil"/>
              <w:bottom w:val="nil"/>
              <w:right w:val="single" w:sz="4" w:space="0" w:color="auto"/>
            </w:tcBorders>
            <w:shd w:val="clear" w:color="auto" w:fill="auto"/>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5.43783</w:t>
            </w:r>
          </w:p>
        </w:tc>
        <w:tc>
          <w:tcPr>
            <w:tcW w:w="394" w:type="pct"/>
            <w:tcBorders>
              <w:top w:val="nil"/>
              <w:left w:val="nil"/>
              <w:bottom w:val="nil"/>
              <w:right w:val="nil"/>
            </w:tcBorders>
            <w:shd w:val="clear" w:color="000000" w:fill="D9D9D9"/>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-1.72803</w:t>
            </w:r>
          </w:p>
        </w:tc>
        <w:tc>
          <w:tcPr>
            <w:tcW w:w="394" w:type="pct"/>
            <w:tcBorders>
              <w:top w:val="nil"/>
              <w:left w:val="nil"/>
              <w:bottom w:val="nil"/>
              <w:right w:val="nil"/>
            </w:tcBorders>
            <w:shd w:val="clear" w:color="auto" w:fill="auto"/>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-5.24782</w:t>
            </w:r>
          </w:p>
        </w:tc>
        <w:tc>
          <w:tcPr>
            <w:tcW w:w="394" w:type="pct"/>
            <w:tcBorders>
              <w:top w:val="nil"/>
              <w:left w:val="nil"/>
              <w:bottom w:val="nil"/>
              <w:right w:val="nil"/>
            </w:tcBorders>
            <w:shd w:val="clear" w:color="000000" w:fill="D9D9D9"/>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0.00462</w:t>
            </w:r>
          </w:p>
        </w:tc>
        <w:tc>
          <w:tcPr>
            <w:tcW w:w="394" w:type="pct"/>
            <w:gridSpan w:val="2"/>
            <w:tcBorders>
              <w:top w:val="nil"/>
              <w:left w:val="nil"/>
              <w:bottom w:val="nil"/>
              <w:right w:val="nil"/>
            </w:tcBorders>
            <w:shd w:val="clear" w:color="auto" w:fill="auto"/>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5.43783</w:t>
            </w:r>
          </w:p>
        </w:tc>
        <w:tc>
          <w:tcPr>
            <w:tcW w:w="394" w:type="pct"/>
            <w:tcBorders>
              <w:top w:val="nil"/>
              <w:left w:val="single" w:sz="4" w:space="0" w:color="auto"/>
              <w:bottom w:val="nil"/>
              <w:right w:val="nil"/>
            </w:tcBorders>
            <w:shd w:val="clear" w:color="000000" w:fill="FFFFFF"/>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0.00</w:t>
            </w:r>
          </w:p>
        </w:tc>
        <w:tc>
          <w:tcPr>
            <w:tcW w:w="394" w:type="pct"/>
            <w:tcBorders>
              <w:top w:val="nil"/>
              <w:left w:val="nil"/>
              <w:bottom w:val="nil"/>
              <w:right w:val="nil"/>
            </w:tcBorders>
            <w:shd w:val="clear" w:color="000000" w:fill="FFFFFF"/>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0</w:t>
            </w:r>
          </w:p>
        </w:tc>
        <w:tc>
          <w:tcPr>
            <w:tcW w:w="394" w:type="pct"/>
            <w:tcBorders>
              <w:top w:val="nil"/>
              <w:left w:val="nil"/>
              <w:bottom w:val="nil"/>
              <w:right w:val="single" w:sz="4" w:space="0" w:color="auto"/>
            </w:tcBorders>
            <w:shd w:val="clear" w:color="000000" w:fill="FFFFFF"/>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0</w:t>
            </w:r>
          </w:p>
        </w:tc>
      </w:tr>
      <w:tr w:rsidR="00722964" w:rsidRPr="00722964" w:rsidTr="00722964">
        <w:trPr>
          <w:trHeight w:val="300"/>
        </w:trPr>
        <w:tc>
          <w:tcPr>
            <w:tcW w:w="667" w:type="pct"/>
            <w:tcBorders>
              <w:top w:val="nil"/>
              <w:left w:val="single" w:sz="8" w:space="0" w:color="auto"/>
              <w:bottom w:val="nil"/>
              <w:right w:val="single" w:sz="4" w:space="0" w:color="auto"/>
            </w:tcBorders>
            <w:shd w:val="clear" w:color="auto" w:fill="auto"/>
            <w:noWrap/>
            <w:vAlign w:val="bottom"/>
            <w:hideMark/>
          </w:tcPr>
          <w:p w:rsidR="00D02E81" w:rsidRPr="00722964" w:rsidRDefault="00D02E81" w:rsidP="00D02E81">
            <w:pPr>
              <w:spacing w:after="0" w:line="240" w:lineRule="auto"/>
              <w:rPr>
                <w:rFonts w:ascii="Calibri" w:eastAsia="Times New Roman" w:hAnsi="Calibri" w:cs="Calibri"/>
                <w:b/>
                <w:bCs/>
                <w:color w:val="000000"/>
                <w:sz w:val="14"/>
              </w:rPr>
            </w:pPr>
            <w:r w:rsidRPr="00722964">
              <w:rPr>
                <w:rFonts w:ascii="Calibri" w:eastAsia="Times New Roman" w:hAnsi="Calibri" w:cs="Calibri"/>
                <w:b/>
                <w:bCs/>
                <w:color w:val="000000"/>
                <w:sz w:val="14"/>
              </w:rPr>
              <w:t>Population norms, 80+</w:t>
            </w:r>
          </w:p>
        </w:tc>
        <w:tc>
          <w:tcPr>
            <w:tcW w:w="394" w:type="pct"/>
            <w:tcBorders>
              <w:top w:val="nil"/>
              <w:left w:val="nil"/>
              <w:bottom w:val="nil"/>
              <w:right w:val="nil"/>
            </w:tcBorders>
            <w:shd w:val="clear" w:color="000000" w:fill="D9D9D9"/>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-1.72803</w:t>
            </w:r>
          </w:p>
        </w:tc>
        <w:tc>
          <w:tcPr>
            <w:tcW w:w="394" w:type="pct"/>
            <w:tcBorders>
              <w:top w:val="nil"/>
              <w:left w:val="nil"/>
              <w:bottom w:val="nil"/>
              <w:right w:val="nil"/>
            </w:tcBorders>
            <w:shd w:val="clear" w:color="auto" w:fill="auto"/>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-5.79431</w:t>
            </w:r>
          </w:p>
        </w:tc>
        <w:tc>
          <w:tcPr>
            <w:tcW w:w="394" w:type="pct"/>
            <w:tcBorders>
              <w:top w:val="nil"/>
              <w:left w:val="nil"/>
              <w:bottom w:val="nil"/>
              <w:right w:val="nil"/>
            </w:tcBorders>
            <w:shd w:val="clear" w:color="000000" w:fill="D9D9D9"/>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0.00462</w:t>
            </w:r>
          </w:p>
        </w:tc>
        <w:tc>
          <w:tcPr>
            <w:tcW w:w="394" w:type="pct"/>
            <w:gridSpan w:val="2"/>
            <w:tcBorders>
              <w:top w:val="nil"/>
              <w:left w:val="nil"/>
              <w:bottom w:val="nil"/>
              <w:right w:val="single" w:sz="4" w:space="0" w:color="auto"/>
            </w:tcBorders>
            <w:shd w:val="clear" w:color="auto" w:fill="auto"/>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4.54008</w:t>
            </w:r>
          </w:p>
        </w:tc>
        <w:tc>
          <w:tcPr>
            <w:tcW w:w="394" w:type="pct"/>
            <w:tcBorders>
              <w:top w:val="nil"/>
              <w:left w:val="nil"/>
              <w:bottom w:val="nil"/>
              <w:right w:val="nil"/>
            </w:tcBorders>
            <w:shd w:val="clear" w:color="000000" w:fill="D9D9D9"/>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-1.72803</w:t>
            </w:r>
          </w:p>
        </w:tc>
        <w:tc>
          <w:tcPr>
            <w:tcW w:w="394" w:type="pct"/>
            <w:tcBorders>
              <w:top w:val="nil"/>
              <w:left w:val="nil"/>
              <w:bottom w:val="nil"/>
              <w:right w:val="nil"/>
            </w:tcBorders>
            <w:shd w:val="clear" w:color="auto" w:fill="auto"/>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-5.79431</w:t>
            </w:r>
          </w:p>
        </w:tc>
        <w:tc>
          <w:tcPr>
            <w:tcW w:w="394" w:type="pct"/>
            <w:tcBorders>
              <w:top w:val="nil"/>
              <w:left w:val="nil"/>
              <w:bottom w:val="nil"/>
              <w:right w:val="nil"/>
            </w:tcBorders>
            <w:shd w:val="clear" w:color="000000" w:fill="D9D9D9"/>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0.00462</w:t>
            </w:r>
          </w:p>
        </w:tc>
        <w:tc>
          <w:tcPr>
            <w:tcW w:w="394" w:type="pct"/>
            <w:gridSpan w:val="2"/>
            <w:tcBorders>
              <w:top w:val="nil"/>
              <w:left w:val="nil"/>
              <w:bottom w:val="nil"/>
              <w:right w:val="nil"/>
            </w:tcBorders>
            <w:shd w:val="clear" w:color="auto" w:fill="auto"/>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4.54008</w:t>
            </w:r>
          </w:p>
        </w:tc>
        <w:tc>
          <w:tcPr>
            <w:tcW w:w="394" w:type="pct"/>
            <w:tcBorders>
              <w:top w:val="nil"/>
              <w:left w:val="single" w:sz="4" w:space="0" w:color="auto"/>
              <w:bottom w:val="nil"/>
              <w:right w:val="nil"/>
            </w:tcBorders>
            <w:shd w:val="clear" w:color="000000" w:fill="FFFFFF"/>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0.00</w:t>
            </w:r>
          </w:p>
        </w:tc>
        <w:tc>
          <w:tcPr>
            <w:tcW w:w="394" w:type="pct"/>
            <w:tcBorders>
              <w:top w:val="nil"/>
              <w:left w:val="nil"/>
              <w:bottom w:val="nil"/>
              <w:right w:val="nil"/>
            </w:tcBorders>
            <w:shd w:val="clear" w:color="000000" w:fill="FFFFFF"/>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0</w:t>
            </w:r>
          </w:p>
        </w:tc>
        <w:tc>
          <w:tcPr>
            <w:tcW w:w="394" w:type="pct"/>
            <w:tcBorders>
              <w:top w:val="nil"/>
              <w:left w:val="nil"/>
              <w:bottom w:val="nil"/>
              <w:right w:val="single" w:sz="4" w:space="0" w:color="auto"/>
            </w:tcBorders>
            <w:shd w:val="clear" w:color="000000" w:fill="FFFFFF"/>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0</w:t>
            </w:r>
          </w:p>
        </w:tc>
      </w:tr>
      <w:tr w:rsidR="00722964" w:rsidRPr="00722964" w:rsidTr="00722964">
        <w:trPr>
          <w:trHeight w:val="300"/>
        </w:trPr>
        <w:tc>
          <w:tcPr>
            <w:tcW w:w="667" w:type="pct"/>
            <w:tcBorders>
              <w:top w:val="nil"/>
              <w:left w:val="single" w:sz="8" w:space="0" w:color="auto"/>
              <w:bottom w:val="nil"/>
              <w:right w:val="single" w:sz="4" w:space="0" w:color="auto"/>
            </w:tcBorders>
            <w:shd w:val="clear" w:color="auto" w:fill="auto"/>
            <w:noWrap/>
            <w:vAlign w:val="bottom"/>
            <w:hideMark/>
          </w:tcPr>
          <w:p w:rsidR="00D02E81" w:rsidRPr="00722964" w:rsidRDefault="00D02E81" w:rsidP="00D02E81">
            <w:pPr>
              <w:spacing w:after="0" w:line="240" w:lineRule="auto"/>
              <w:rPr>
                <w:rFonts w:ascii="Calibri" w:eastAsia="Times New Roman" w:hAnsi="Calibri" w:cs="Calibri"/>
                <w:b/>
                <w:bCs/>
                <w:color w:val="000000"/>
                <w:sz w:val="14"/>
              </w:rPr>
            </w:pPr>
            <w:r w:rsidRPr="00722964">
              <w:rPr>
                <w:rFonts w:ascii="Calibri" w:eastAsia="Times New Roman" w:hAnsi="Calibri" w:cs="Calibri"/>
                <w:b/>
                <w:bCs/>
                <w:color w:val="000000"/>
                <w:sz w:val="14"/>
              </w:rPr>
              <w:t>Population norms, 70-79</w:t>
            </w:r>
          </w:p>
        </w:tc>
        <w:tc>
          <w:tcPr>
            <w:tcW w:w="394" w:type="pct"/>
            <w:tcBorders>
              <w:top w:val="nil"/>
              <w:left w:val="nil"/>
              <w:bottom w:val="nil"/>
              <w:right w:val="nil"/>
            </w:tcBorders>
            <w:shd w:val="clear" w:color="000000" w:fill="D9D9D9"/>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-1.72803</w:t>
            </w:r>
          </w:p>
        </w:tc>
        <w:tc>
          <w:tcPr>
            <w:tcW w:w="394" w:type="pct"/>
            <w:tcBorders>
              <w:top w:val="nil"/>
              <w:left w:val="nil"/>
              <w:bottom w:val="nil"/>
              <w:right w:val="nil"/>
            </w:tcBorders>
            <w:shd w:val="clear" w:color="auto" w:fill="auto"/>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-5.24782</w:t>
            </w:r>
          </w:p>
        </w:tc>
        <w:tc>
          <w:tcPr>
            <w:tcW w:w="394" w:type="pct"/>
            <w:tcBorders>
              <w:top w:val="nil"/>
              <w:left w:val="nil"/>
              <w:bottom w:val="nil"/>
              <w:right w:val="nil"/>
            </w:tcBorders>
            <w:shd w:val="clear" w:color="000000" w:fill="D9D9D9"/>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0.00462</w:t>
            </w:r>
          </w:p>
        </w:tc>
        <w:tc>
          <w:tcPr>
            <w:tcW w:w="394" w:type="pct"/>
            <w:gridSpan w:val="2"/>
            <w:tcBorders>
              <w:top w:val="nil"/>
              <w:left w:val="nil"/>
              <w:bottom w:val="nil"/>
              <w:right w:val="single" w:sz="4" w:space="0" w:color="auto"/>
            </w:tcBorders>
            <w:shd w:val="clear" w:color="auto" w:fill="auto"/>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5.43783</w:t>
            </w:r>
          </w:p>
        </w:tc>
        <w:tc>
          <w:tcPr>
            <w:tcW w:w="394" w:type="pct"/>
            <w:tcBorders>
              <w:top w:val="nil"/>
              <w:left w:val="nil"/>
              <w:bottom w:val="nil"/>
              <w:right w:val="nil"/>
            </w:tcBorders>
            <w:shd w:val="clear" w:color="000000" w:fill="D9D9D9"/>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-1.72803</w:t>
            </w:r>
          </w:p>
        </w:tc>
        <w:tc>
          <w:tcPr>
            <w:tcW w:w="394" w:type="pct"/>
            <w:tcBorders>
              <w:top w:val="nil"/>
              <w:left w:val="nil"/>
              <w:bottom w:val="nil"/>
              <w:right w:val="nil"/>
            </w:tcBorders>
            <w:shd w:val="clear" w:color="auto" w:fill="auto"/>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-5.24782</w:t>
            </w:r>
          </w:p>
        </w:tc>
        <w:tc>
          <w:tcPr>
            <w:tcW w:w="394" w:type="pct"/>
            <w:tcBorders>
              <w:top w:val="nil"/>
              <w:left w:val="nil"/>
              <w:bottom w:val="nil"/>
              <w:right w:val="nil"/>
            </w:tcBorders>
            <w:shd w:val="clear" w:color="000000" w:fill="D9D9D9"/>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0.00462</w:t>
            </w:r>
          </w:p>
        </w:tc>
        <w:tc>
          <w:tcPr>
            <w:tcW w:w="394" w:type="pct"/>
            <w:gridSpan w:val="2"/>
            <w:tcBorders>
              <w:top w:val="nil"/>
              <w:left w:val="nil"/>
              <w:bottom w:val="nil"/>
              <w:right w:val="nil"/>
            </w:tcBorders>
            <w:shd w:val="clear" w:color="auto" w:fill="auto"/>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5.43783</w:t>
            </w:r>
          </w:p>
        </w:tc>
        <w:tc>
          <w:tcPr>
            <w:tcW w:w="394" w:type="pct"/>
            <w:tcBorders>
              <w:top w:val="nil"/>
              <w:left w:val="single" w:sz="4" w:space="0" w:color="auto"/>
              <w:bottom w:val="nil"/>
              <w:right w:val="nil"/>
            </w:tcBorders>
            <w:shd w:val="clear" w:color="000000" w:fill="FFFFFF"/>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0.00</w:t>
            </w:r>
          </w:p>
        </w:tc>
        <w:tc>
          <w:tcPr>
            <w:tcW w:w="394" w:type="pct"/>
            <w:tcBorders>
              <w:top w:val="nil"/>
              <w:left w:val="nil"/>
              <w:bottom w:val="nil"/>
              <w:right w:val="nil"/>
            </w:tcBorders>
            <w:shd w:val="clear" w:color="000000" w:fill="FFFFFF"/>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0</w:t>
            </w:r>
          </w:p>
        </w:tc>
        <w:tc>
          <w:tcPr>
            <w:tcW w:w="394" w:type="pct"/>
            <w:tcBorders>
              <w:top w:val="nil"/>
              <w:left w:val="nil"/>
              <w:bottom w:val="nil"/>
              <w:right w:val="single" w:sz="4" w:space="0" w:color="auto"/>
            </w:tcBorders>
            <w:shd w:val="clear" w:color="000000" w:fill="FFFFFF"/>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0</w:t>
            </w:r>
          </w:p>
        </w:tc>
      </w:tr>
      <w:tr w:rsidR="00722964" w:rsidRPr="00722964" w:rsidTr="00722964">
        <w:trPr>
          <w:trHeight w:val="300"/>
        </w:trPr>
        <w:tc>
          <w:tcPr>
            <w:tcW w:w="667" w:type="pct"/>
            <w:tcBorders>
              <w:top w:val="nil"/>
              <w:left w:val="single" w:sz="8" w:space="0" w:color="auto"/>
              <w:bottom w:val="nil"/>
              <w:right w:val="single" w:sz="4" w:space="0" w:color="auto"/>
            </w:tcBorders>
            <w:shd w:val="clear" w:color="auto" w:fill="auto"/>
            <w:noWrap/>
            <w:vAlign w:val="bottom"/>
            <w:hideMark/>
          </w:tcPr>
          <w:p w:rsidR="00D02E81" w:rsidRPr="00722964" w:rsidRDefault="00D02E81" w:rsidP="00D02E81">
            <w:pPr>
              <w:spacing w:after="0" w:line="240" w:lineRule="auto"/>
              <w:rPr>
                <w:rFonts w:ascii="Calibri" w:eastAsia="Times New Roman" w:hAnsi="Calibri" w:cs="Calibri"/>
                <w:b/>
                <w:bCs/>
                <w:color w:val="000000"/>
                <w:sz w:val="14"/>
              </w:rPr>
            </w:pPr>
            <w:r w:rsidRPr="00722964">
              <w:rPr>
                <w:rFonts w:ascii="Calibri" w:eastAsia="Times New Roman" w:hAnsi="Calibri" w:cs="Calibri"/>
                <w:b/>
                <w:bCs/>
                <w:color w:val="000000"/>
                <w:sz w:val="14"/>
              </w:rPr>
              <w:t>Persons with liver transplant</w:t>
            </w:r>
          </w:p>
        </w:tc>
        <w:tc>
          <w:tcPr>
            <w:tcW w:w="394" w:type="pct"/>
            <w:tcBorders>
              <w:top w:val="nil"/>
              <w:left w:val="nil"/>
              <w:bottom w:val="nil"/>
              <w:right w:val="nil"/>
            </w:tcBorders>
            <w:shd w:val="clear" w:color="000000" w:fill="D9D9D9"/>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-1.72803</w:t>
            </w:r>
          </w:p>
        </w:tc>
        <w:tc>
          <w:tcPr>
            <w:tcW w:w="394" w:type="pct"/>
            <w:tcBorders>
              <w:top w:val="nil"/>
              <w:left w:val="nil"/>
              <w:bottom w:val="nil"/>
              <w:right w:val="nil"/>
            </w:tcBorders>
            <w:shd w:val="clear" w:color="auto" w:fill="auto"/>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-5.24782</w:t>
            </w:r>
          </w:p>
        </w:tc>
        <w:tc>
          <w:tcPr>
            <w:tcW w:w="394" w:type="pct"/>
            <w:tcBorders>
              <w:top w:val="nil"/>
              <w:left w:val="nil"/>
              <w:bottom w:val="nil"/>
              <w:right w:val="nil"/>
            </w:tcBorders>
            <w:shd w:val="clear" w:color="000000" w:fill="D9D9D9"/>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0.004624</w:t>
            </w:r>
          </w:p>
        </w:tc>
        <w:tc>
          <w:tcPr>
            <w:tcW w:w="394" w:type="pct"/>
            <w:gridSpan w:val="2"/>
            <w:tcBorders>
              <w:top w:val="nil"/>
              <w:left w:val="nil"/>
              <w:bottom w:val="nil"/>
              <w:right w:val="single" w:sz="4" w:space="0" w:color="auto"/>
            </w:tcBorders>
            <w:shd w:val="clear" w:color="auto" w:fill="auto"/>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5.43783</w:t>
            </w:r>
          </w:p>
        </w:tc>
        <w:tc>
          <w:tcPr>
            <w:tcW w:w="394" w:type="pct"/>
            <w:tcBorders>
              <w:top w:val="nil"/>
              <w:left w:val="nil"/>
              <w:bottom w:val="nil"/>
              <w:right w:val="nil"/>
            </w:tcBorders>
            <w:shd w:val="clear" w:color="000000" w:fill="D9D9D9"/>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-1.72803</w:t>
            </w:r>
          </w:p>
        </w:tc>
        <w:tc>
          <w:tcPr>
            <w:tcW w:w="394" w:type="pct"/>
            <w:tcBorders>
              <w:top w:val="nil"/>
              <w:left w:val="nil"/>
              <w:bottom w:val="nil"/>
              <w:right w:val="nil"/>
            </w:tcBorders>
            <w:shd w:val="clear" w:color="auto" w:fill="auto"/>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-5.24782</w:t>
            </w:r>
          </w:p>
        </w:tc>
        <w:tc>
          <w:tcPr>
            <w:tcW w:w="394" w:type="pct"/>
            <w:tcBorders>
              <w:top w:val="nil"/>
              <w:left w:val="nil"/>
              <w:bottom w:val="nil"/>
              <w:right w:val="nil"/>
            </w:tcBorders>
            <w:shd w:val="clear" w:color="000000" w:fill="D9D9D9"/>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0.004615</w:t>
            </w:r>
          </w:p>
        </w:tc>
        <w:tc>
          <w:tcPr>
            <w:tcW w:w="394" w:type="pct"/>
            <w:gridSpan w:val="2"/>
            <w:tcBorders>
              <w:top w:val="nil"/>
              <w:left w:val="nil"/>
              <w:bottom w:val="nil"/>
              <w:right w:val="nil"/>
            </w:tcBorders>
            <w:shd w:val="clear" w:color="auto" w:fill="auto"/>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5.43783</w:t>
            </w:r>
          </w:p>
        </w:tc>
        <w:tc>
          <w:tcPr>
            <w:tcW w:w="394" w:type="pct"/>
            <w:tcBorders>
              <w:top w:val="nil"/>
              <w:left w:val="single" w:sz="4" w:space="0" w:color="auto"/>
              <w:bottom w:val="nil"/>
              <w:right w:val="nil"/>
            </w:tcBorders>
            <w:shd w:val="clear" w:color="000000" w:fill="FFFFFF"/>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0.00</w:t>
            </w:r>
          </w:p>
        </w:tc>
        <w:tc>
          <w:tcPr>
            <w:tcW w:w="394" w:type="pct"/>
            <w:tcBorders>
              <w:top w:val="nil"/>
              <w:left w:val="nil"/>
              <w:bottom w:val="nil"/>
              <w:right w:val="nil"/>
            </w:tcBorders>
            <w:shd w:val="clear" w:color="000000" w:fill="FFFFFF"/>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0</w:t>
            </w:r>
          </w:p>
        </w:tc>
        <w:tc>
          <w:tcPr>
            <w:tcW w:w="394" w:type="pct"/>
            <w:tcBorders>
              <w:top w:val="nil"/>
              <w:left w:val="nil"/>
              <w:bottom w:val="nil"/>
              <w:right w:val="single" w:sz="4" w:space="0" w:color="auto"/>
            </w:tcBorders>
            <w:shd w:val="clear" w:color="000000" w:fill="F2F2F2"/>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9.47E-06</w:t>
            </w:r>
          </w:p>
        </w:tc>
      </w:tr>
      <w:tr w:rsidR="00722964" w:rsidRPr="00722964" w:rsidTr="00722964">
        <w:trPr>
          <w:trHeight w:val="300"/>
        </w:trPr>
        <w:tc>
          <w:tcPr>
            <w:tcW w:w="667" w:type="pct"/>
            <w:tcBorders>
              <w:top w:val="nil"/>
              <w:left w:val="single" w:sz="8" w:space="0" w:color="auto"/>
              <w:bottom w:val="nil"/>
              <w:right w:val="single" w:sz="4" w:space="0" w:color="auto"/>
            </w:tcBorders>
            <w:shd w:val="clear" w:color="auto" w:fill="auto"/>
            <w:noWrap/>
            <w:vAlign w:val="bottom"/>
            <w:hideMark/>
          </w:tcPr>
          <w:p w:rsidR="00D02E81" w:rsidRPr="00722964" w:rsidRDefault="00D02E81" w:rsidP="00D02E81">
            <w:pPr>
              <w:spacing w:after="0" w:line="240" w:lineRule="auto"/>
              <w:rPr>
                <w:rFonts w:ascii="Calibri" w:eastAsia="Times New Roman" w:hAnsi="Calibri" w:cs="Calibri"/>
                <w:b/>
                <w:bCs/>
                <w:color w:val="000000"/>
                <w:sz w:val="14"/>
              </w:rPr>
            </w:pPr>
            <w:r w:rsidRPr="00722964">
              <w:rPr>
                <w:rFonts w:ascii="Calibri" w:eastAsia="Times New Roman" w:hAnsi="Calibri" w:cs="Calibri"/>
                <w:b/>
                <w:bCs/>
                <w:color w:val="000000"/>
                <w:sz w:val="14"/>
              </w:rPr>
              <w:t>Persons with icteric hepatitis A</w:t>
            </w:r>
          </w:p>
        </w:tc>
        <w:tc>
          <w:tcPr>
            <w:tcW w:w="394" w:type="pct"/>
            <w:tcBorders>
              <w:top w:val="nil"/>
              <w:left w:val="nil"/>
              <w:bottom w:val="nil"/>
              <w:right w:val="nil"/>
            </w:tcBorders>
            <w:shd w:val="clear" w:color="000000" w:fill="D9D9D9"/>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-1.72803</w:t>
            </w:r>
          </w:p>
        </w:tc>
        <w:tc>
          <w:tcPr>
            <w:tcW w:w="394" w:type="pct"/>
            <w:tcBorders>
              <w:top w:val="nil"/>
              <w:left w:val="nil"/>
              <w:bottom w:val="nil"/>
              <w:right w:val="nil"/>
            </w:tcBorders>
            <w:shd w:val="clear" w:color="auto" w:fill="auto"/>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-5.24782</w:t>
            </w:r>
          </w:p>
        </w:tc>
        <w:tc>
          <w:tcPr>
            <w:tcW w:w="394" w:type="pct"/>
            <w:tcBorders>
              <w:top w:val="nil"/>
              <w:left w:val="nil"/>
              <w:bottom w:val="nil"/>
              <w:right w:val="nil"/>
            </w:tcBorders>
            <w:shd w:val="clear" w:color="000000" w:fill="D9D9D9"/>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0.004894</w:t>
            </w:r>
          </w:p>
        </w:tc>
        <w:tc>
          <w:tcPr>
            <w:tcW w:w="394" w:type="pct"/>
            <w:gridSpan w:val="2"/>
            <w:tcBorders>
              <w:top w:val="nil"/>
              <w:left w:val="nil"/>
              <w:bottom w:val="nil"/>
              <w:right w:val="single" w:sz="4" w:space="0" w:color="auto"/>
            </w:tcBorders>
            <w:shd w:val="clear" w:color="auto" w:fill="auto"/>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5.43783</w:t>
            </w:r>
          </w:p>
        </w:tc>
        <w:tc>
          <w:tcPr>
            <w:tcW w:w="394" w:type="pct"/>
            <w:tcBorders>
              <w:top w:val="nil"/>
              <w:left w:val="nil"/>
              <w:bottom w:val="nil"/>
              <w:right w:val="nil"/>
            </w:tcBorders>
            <w:shd w:val="clear" w:color="000000" w:fill="D9D9D9"/>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-1.72803</w:t>
            </w:r>
          </w:p>
        </w:tc>
        <w:tc>
          <w:tcPr>
            <w:tcW w:w="394" w:type="pct"/>
            <w:tcBorders>
              <w:top w:val="nil"/>
              <w:left w:val="nil"/>
              <w:bottom w:val="nil"/>
              <w:right w:val="nil"/>
            </w:tcBorders>
            <w:shd w:val="clear" w:color="auto" w:fill="auto"/>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-5.24782</w:t>
            </w:r>
          </w:p>
        </w:tc>
        <w:tc>
          <w:tcPr>
            <w:tcW w:w="394" w:type="pct"/>
            <w:tcBorders>
              <w:top w:val="nil"/>
              <w:left w:val="nil"/>
              <w:bottom w:val="nil"/>
              <w:right w:val="nil"/>
            </w:tcBorders>
            <w:shd w:val="clear" w:color="000000" w:fill="D9D9D9"/>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0.004306</w:t>
            </w:r>
          </w:p>
        </w:tc>
        <w:tc>
          <w:tcPr>
            <w:tcW w:w="394" w:type="pct"/>
            <w:gridSpan w:val="2"/>
            <w:tcBorders>
              <w:top w:val="nil"/>
              <w:left w:val="nil"/>
              <w:bottom w:val="nil"/>
              <w:right w:val="nil"/>
            </w:tcBorders>
            <w:shd w:val="clear" w:color="auto" w:fill="auto"/>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5.43783</w:t>
            </w:r>
          </w:p>
        </w:tc>
        <w:tc>
          <w:tcPr>
            <w:tcW w:w="394" w:type="pct"/>
            <w:tcBorders>
              <w:top w:val="nil"/>
              <w:left w:val="single" w:sz="4" w:space="0" w:color="auto"/>
              <w:bottom w:val="nil"/>
              <w:right w:val="nil"/>
            </w:tcBorders>
            <w:shd w:val="clear" w:color="000000" w:fill="FFFFFF"/>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0.00</w:t>
            </w:r>
          </w:p>
        </w:tc>
        <w:tc>
          <w:tcPr>
            <w:tcW w:w="394" w:type="pct"/>
            <w:tcBorders>
              <w:top w:val="nil"/>
              <w:left w:val="nil"/>
              <w:bottom w:val="nil"/>
              <w:right w:val="nil"/>
            </w:tcBorders>
            <w:shd w:val="clear" w:color="000000" w:fill="FFFFFF"/>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0</w:t>
            </w:r>
          </w:p>
        </w:tc>
        <w:tc>
          <w:tcPr>
            <w:tcW w:w="394" w:type="pct"/>
            <w:tcBorders>
              <w:top w:val="nil"/>
              <w:left w:val="nil"/>
              <w:bottom w:val="nil"/>
              <w:right w:val="single" w:sz="4" w:space="0" w:color="auto"/>
            </w:tcBorders>
            <w:shd w:val="clear" w:color="000000" w:fill="F3DBDB"/>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0.000588</w:t>
            </w:r>
          </w:p>
        </w:tc>
      </w:tr>
      <w:tr w:rsidR="00722964" w:rsidRPr="00722964" w:rsidTr="00722964">
        <w:trPr>
          <w:trHeight w:val="300"/>
        </w:trPr>
        <w:tc>
          <w:tcPr>
            <w:tcW w:w="667" w:type="pct"/>
            <w:tcBorders>
              <w:top w:val="nil"/>
              <w:left w:val="single" w:sz="8" w:space="0" w:color="auto"/>
              <w:bottom w:val="single" w:sz="4" w:space="0" w:color="auto"/>
              <w:right w:val="single" w:sz="4" w:space="0" w:color="auto"/>
            </w:tcBorders>
            <w:shd w:val="clear" w:color="auto" w:fill="auto"/>
            <w:noWrap/>
            <w:vAlign w:val="bottom"/>
            <w:hideMark/>
          </w:tcPr>
          <w:p w:rsidR="00D02E81" w:rsidRPr="00722964" w:rsidRDefault="00D02E81" w:rsidP="00D02E81">
            <w:pPr>
              <w:spacing w:after="0" w:line="240" w:lineRule="auto"/>
              <w:rPr>
                <w:rFonts w:ascii="Calibri" w:eastAsia="Times New Roman" w:hAnsi="Calibri" w:cs="Calibri"/>
                <w:b/>
                <w:bCs/>
                <w:color w:val="000000"/>
                <w:sz w:val="14"/>
              </w:rPr>
            </w:pPr>
            <w:r w:rsidRPr="00722964">
              <w:rPr>
                <w:rFonts w:ascii="Calibri" w:eastAsia="Times New Roman" w:hAnsi="Calibri" w:cs="Calibri"/>
                <w:b/>
                <w:bCs/>
                <w:color w:val="000000"/>
                <w:sz w:val="14"/>
              </w:rPr>
              <w:t>Persons with anicteric hepatitis A</w:t>
            </w:r>
          </w:p>
        </w:tc>
        <w:tc>
          <w:tcPr>
            <w:tcW w:w="394" w:type="pct"/>
            <w:tcBorders>
              <w:top w:val="nil"/>
              <w:left w:val="nil"/>
              <w:bottom w:val="single" w:sz="4" w:space="0" w:color="auto"/>
              <w:right w:val="nil"/>
            </w:tcBorders>
            <w:shd w:val="clear" w:color="000000" w:fill="D9D9D9"/>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-1.72803</w:t>
            </w:r>
          </w:p>
        </w:tc>
        <w:tc>
          <w:tcPr>
            <w:tcW w:w="394" w:type="pct"/>
            <w:tcBorders>
              <w:top w:val="nil"/>
              <w:left w:val="nil"/>
              <w:bottom w:val="single" w:sz="4" w:space="0" w:color="auto"/>
              <w:right w:val="nil"/>
            </w:tcBorders>
            <w:shd w:val="clear" w:color="auto" w:fill="auto"/>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-5.24782</w:t>
            </w:r>
          </w:p>
        </w:tc>
        <w:tc>
          <w:tcPr>
            <w:tcW w:w="394" w:type="pct"/>
            <w:tcBorders>
              <w:top w:val="nil"/>
              <w:left w:val="nil"/>
              <w:bottom w:val="single" w:sz="4" w:space="0" w:color="auto"/>
              <w:right w:val="nil"/>
            </w:tcBorders>
            <w:shd w:val="clear" w:color="000000" w:fill="D9D9D9"/>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0.005033</w:t>
            </w:r>
          </w:p>
        </w:tc>
        <w:tc>
          <w:tcPr>
            <w:tcW w:w="394" w:type="pct"/>
            <w:gridSpan w:val="2"/>
            <w:tcBorders>
              <w:top w:val="nil"/>
              <w:left w:val="nil"/>
              <w:bottom w:val="single" w:sz="4" w:space="0" w:color="auto"/>
              <w:right w:val="single" w:sz="4" w:space="0" w:color="auto"/>
            </w:tcBorders>
            <w:shd w:val="clear" w:color="auto" w:fill="auto"/>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5.43783</w:t>
            </w:r>
          </w:p>
        </w:tc>
        <w:tc>
          <w:tcPr>
            <w:tcW w:w="394" w:type="pct"/>
            <w:tcBorders>
              <w:top w:val="nil"/>
              <w:left w:val="nil"/>
              <w:bottom w:val="single" w:sz="4" w:space="0" w:color="auto"/>
              <w:right w:val="nil"/>
            </w:tcBorders>
            <w:shd w:val="clear" w:color="000000" w:fill="D9D9D9"/>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-1.72803</w:t>
            </w:r>
          </w:p>
        </w:tc>
        <w:tc>
          <w:tcPr>
            <w:tcW w:w="394" w:type="pct"/>
            <w:tcBorders>
              <w:top w:val="nil"/>
              <w:left w:val="nil"/>
              <w:bottom w:val="single" w:sz="4" w:space="0" w:color="auto"/>
              <w:right w:val="nil"/>
            </w:tcBorders>
            <w:shd w:val="clear" w:color="auto" w:fill="auto"/>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-5.24782</w:t>
            </w:r>
          </w:p>
        </w:tc>
        <w:tc>
          <w:tcPr>
            <w:tcW w:w="394" w:type="pct"/>
            <w:tcBorders>
              <w:top w:val="nil"/>
              <w:left w:val="nil"/>
              <w:bottom w:val="single" w:sz="4" w:space="0" w:color="auto"/>
              <w:right w:val="nil"/>
            </w:tcBorders>
            <w:shd w:val="clear" w:color="000000" w:fill="D9D9D9"/>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0.004247</w:t>
            </w:r>
          </w:p>
        </w:tc>
        <w:tc>
          <w:tcPr>
            <w:tcW w:w="394" w:type="pct"/>
            <w:gridSpan w:val="2"/>
            <w:tcBorders>
              <w:top w:val="nil"/>
              <w:left w:val="nil"/>
              <w:bottom w:val="single" w:sz="4" w:space="0" w:color="auto"/>
              <w:right w:val="nil"/>
            </w:tcBorders>
            <w:shd w:val="clear" w:color="auto" w:fill="auto"/>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5.43783</w:t>
            </w:r>
          </w:p>
        </w:tc>
        <w:tc>
          <w:tcPr>
            <w:tcW w:w="394" w:type="pct"/>
            <w:tcBorders>
              <w:top w:val="nil"/>
              <w:left w:val="single" w:sz="4" w:space="0" w:color="auto"/>
              <w:bottom w:val="single" w:sz="4" w:space="0" w:color="auto"/>
              <w:right w:val="nil"/>
            </w:tcBorders>
            <w:shd w:val="clear" w:color="000000" w:fill="FFFFFF"/>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0.00</w:t>
            </w:r>
          </w:p>
        </w:tc>
        <w:tc>
          <w:tcPr>
            <w:tcW w:w="394" w:type="pct"/>
            <w:tcBorders>
              <w:top w:val="nil"/>
              <w:left w:val="nil"/>
              <w:bottom w:val="single" w:sz="4" w:space="0" w:color="auto"/>
              <w:right w:val="nil"/>
            </w:tcBorders>
            <w:shd w:val="clear" w:color="000000" w:fill="FFFFFF"/>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0</w:t>
            </w:r>
          </w:p>
        </w:tc>
        <w:tc>
          <w:tcPr>
            <w:tcW w:w="394" w:type="pct"/>
            <w:tcBorders>
              <w:top w:val="nil"/>
              <w:left w:val="nil"/>
              <w:bottom w:val="single" w:sz="4" w:space="0" w:color="auto"/>
              <w:right w:val="single" w:sz="4" w:space="0" w:color="auto"/>
            </w:tcBorders>
            <w:shd w:val="clear" w:color="000000" w:fill="F3D3D3"/>
            <w:noWrap/>
            <w:vAlign w:val="bottom"/>
            <w:hideMark/>
          </w:tcPr>
          <w:p w:rsidR="00D02E81" w:rsidRPr="00722964" w:rsidRDefault="00D02E81" w:rsidP="00D02E81">
            <w:pPr>
              <w:spacing w:after="0" w:line="240" w:lineRule="auto"/>
              <w:jc w:val="right"/>
              <w:rPr>
                <w:rFonts w:ascii="Calibri" w:eastAsia="Times New Roman" w:hAnsi="Calibri" w:cs="Calibri"/>
                <w:color w:val="000000"/>
                <w:sz w:val="14"/>
              </w:rPr>
            </w:pPr>
            <w:r w:rsidRPr="00722964">
              <w:rPr>
                <w:rFonts w:ascii="Calibri" w:eastAsia="Times New Roman" w:hAnsi="Calibri" w:cs="Calibri"/>
                <w:color w:val="000000"/>
                <w:sz w:val="14"/>
              </w:rPr>
              <w:t>0.000785</w:t>
            </w:r>
          </w:p>
        </w:tc>
      </w:tr>
    </w:tbl>
    <w:p w:rsidR="008C01D0" w:rsidRDefault="008C01D0" w:rsidP="003B61C8"/>
    <w:p w:rsidR="00650F06" w:rsidRDefault="00650F06" w:rsidP="003B61C8"/>
    <w:p w:rsidR="00650F06" w:rsidRPr="003B61C8" w:rsidRDefault="00650F06" w:rsidP="003B61C8"/>
    <w:sectPr w:rsidR="00650F06" w:rsidRPr="003B61C8">
      <w:headerReference w:type="even" r:id="rId44"/>
      <w:headerReference w:type="default" r:id="rId45"/>
      <w:footerReference w:type="even" r:id="rId46"/>
      <w:footerReference w:type="default" r:id="rId47"/>
      <w:headerReference w:type="first" r:id="rId48"/>
      <w:footerReference w:type="first" r:id="rId4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E10EC" w:rsidRDefault="00DE10EC" w:rsidP="00C06D7F">
      <w:pPr>
        <w:spacing w:after="0" w:line="240" w:lineRule="auto"/>
      </w:pPr>
      <w:r>
        <w:separator/>
      </w:r>
    </w:p>
  </w:endnote>
  <w:endnote w:type="continuationSeparator" w:id="0">
    <w:p w:rsidR="00DE10EC" w:rsidRDefault="00DE10EC" w:rsidP="00C06D7F">
      <w:pPr>
        <w:spacing w:after="0" w:line="240" w:lineRule="auto"/>
      </w:pPr>
      <w:r>
        <w:continuationSeparator/>
      </w:r>
    </w:p>
  </w:endnote>
  <w:endnote w:type="continuationNotice" w:id="1">
    <w:p w:rsidR="00DE10EC" w:rsidRDefault="00DE10E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4323" w:rsidRDefault="00AE432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33403252"/>
      <w:docPartObj>
        <w:docPartGallery w:val="Page Numbers (Bottom of Page)"/>
        <w:docPartUnique/>
      </w:docPartObj>
    </w:sdtPr>
    <w:sdtEndPr>
      <w:rPr>
        <w:noProof/>
      </w:rPr>
    </w:sdtEndPr>
    <w:sdtContent>
      <w:p w:rsidR="00A35938" w:rsidRDefault="00A35938">
        <w:pPr>
          <w:pStyle w:val="Footer"/>
          <w:jc w:val="right"/>
        </w:pPr>
        <w:r>
          <w:fldChar w:fldCharType="begin"/>
        </w:r>
        <w:r w:rsidRPr="00243F90">
          <w:instrText xml:space="preserve"> PAGE   \* MERGEFORMAT </w:instrText>
        </w:r>
        <w:r>
          <w:fldChar w:fldCharType="separate"/>
        </w:r>
        <w:r w:rsidR="00AE4323">
          <w:rPr>
            <w:noProof/>
          </w:rPr>
          <w:t>28</w:t>
        </w:r>
        <w:r>
          <w:rPr>
            <w:noProof/>
          </w:rPr>
          <w:fldChar w:fldCharType="end"/>
        </w:r>
      </w:p>
    </w:sdtContent>
  </w:sdt>
  <w:p w:rsidR="00A35938" w:rsidRDefault="00AE4323">
    <w:pPr>
      <w:pStyle w:val="Footer"/>
    </w:pPr>
    <w:r>
      <w:rPr>
        <w:noProof/>
      </w:rPr>
      <w:drawing>
        <wp:anchor distT="0" distB="0" distL="114300" distR="114300" simplePos="0" relativeHeight="251658240" behindDoc="0" locked="0" layoutInCell="1" allowOverlap="1">
          <wp:simplePos x="0" y="0"/>
          <wp:positionH relativeFrom="margin">
            <wp:align>left</wp:align>
          </wp:positionH>
          <wp:positionV relativeFrom="paragraph">
            <wp:posOffset>-151213</wp:posOffset>
          </wp:positionV>
          <wp:extent cx="790575" cy="323850"/>
          <wp:effectExtent l="0" t="0" r="9525" b="0"/>
          <wp:wrapNone/>
          <wp:docPr id="66" name="bjCLFRImagePrimFooter"/>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cstate="print">
                    <a:extLst>
                      <a:ext uri="{28A0092B-C50C-407E-A947-70E740481C1C}">
                        <a14:useLocalDpi xmlns:a14="http://schemas.microsoft.com/office/drawing/2010/main" val="0"/>
                      </a:ext>
                    </a:extLst>
                  </a:blip>
                  <a:stretch>
                    <a:fillRect/>
                  </a:stretch>
                </pic:blipFill>
                <pic:spPr>
                  <a:xfrm>
                    <a:off x="0" y="0"/>
                    <a:ext cx="790575" cy="323850"/>
                  </a:xfrm>
                  <a:prstGeom prst="rect">
                    <a:avLst/>
                  </a:prstGeom>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4323" w:rsidRDefault="00AE432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E10EC" w:rsidRDefault="00DE10EC" w:rsidP="00C06D7F">
      <w:pPr>
        <w:spacing w:after="0" w:line="240" w:lineRule="auto"/>
      </w:pPr>
      <w:r>
        <w:separator/>
      </w:r>
    </w:p>
  </w:footnote>
  <w:footnote w:type="continuationSeparator" w:id="0">
    <w:p w:rsidR="00DE10EC" w:rsidRDefault="00DE10EC" w:rsidP="00C06D7F">
      <w:pPr>
        <w:spacing w:after="0" w:line="240" w:lineRule="auto"/>
      </w:pPr>
      <w:r>
        <w:continuationSeparator/>
      </w:r>
    </w:p>
  </w:footnote>
  <w:footnote w:type="continuationNotice" w:id="1">
    <w:p w:rsidR="00DE10EC" w:rsidRDefault="00DE10EC">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4323" w:rsidRDefault="00AE432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4323" w:rsidRDefault="00AE432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4323" w:rsidRDefault="00AE432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movePersonalInformation/>
  <w:removeDateAndTime/>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ENInstantFormat&gt;"/>
    <w:docVar w:name="EN.Libraries" w:val="&lt;ENLibraries&gt;&lt;Libraries&gt;&lt;item&gt;HAV Jordan Model.enl&lt;/item&gt;&lt;/Libraries&gt;&lt;/ENLibraries&gt;"/>
  </w:docVars>
  <w:rsids>
    <w:rsidRoot w:val="00C06D7F"/>
    <w:rsid w:val="0002149A"/>
    <w:rsid w:val="00022FAF"/>
    <w:rsid w:val="00034885"/>
    <w:rsid w:val="00041A79"/>
    <w:rsid w:val="00051E81"/>
    <w:rsid w:val="000A4C61"/>
    <w:rsid w:val="000C45AD"/>
    <w:rsid w:val="000C4DF8"/>
    <w:rsid w:val="000C64F8"/>
    <w:rsid w:val="000D2C32"/>
    <w:rsid w:val="000E601F"/>
    <w:rsid w:val="00141668"/>
    <w:rsid w:val="00142603"/>
    <w:rsid w:val="0017589C"/>
    <w:rsid w:val="00176FF5"/>
    <w:rsid w:val="0018462F"/>
    <w:rsid w:val="00193560"/>
    <w:rsid w:val="001A7EB7"/>
    <w:rsid w:val="001B0BDC"/>
    <w:rsid w:val="001C56DB"/>
    <w:rsid w:val="001E1C74"/>
    <w:rsid w:val="001E39D8"/>
    <w:rsid w:val="001F4671"/>
    <w:rsid w:val="0020087F"/>
    <w:rsid w:val="0020249D"/>
    <w:rsid w:val="0020641B"/>
    <w:rsid w:val="0022363C"/>
    <w:rsid w:val="00223ED9"/>
    <w:rsid w:val="00231227"/>
    <w:rsid w:val="00237023"/>
    <w:rsid w:val="00243F90"/>
    <w:rsid w:val="00245AF5"/>
    <w:rsid w:val="002601E3"/>
    <w:rsid w:val="00271160"/>
    <w:rsid w:val="0028071E"/>
    <w:rsid w:val="00295A59"/>
    <w:rsid w:val="002A7A29"/>
    <w:rsid w:val="002B074E"/>
    <w:rsid w:val="002C3033"/>
    <w:rsid w:val="002C609E"/>
    <w:rsid w:val="002C6877"/>
    <w:rsid w:val="002E79E7"/>
    <w:rsid w:val="002F281B"/>
    <w:rsid w:val="00300F96"/>
    <w:rsid w:val="00306DE9"/>
    <w:rsid w:val="00313816"/>
    <w:rsid w:val="00330433"/>
    <w:rsid w:val="00335116"/>
    <w:rsid w:val="00336DCD"/>
    <w:rsid w:val="00341DE3"/>
    <w:rsid w:val="00351C4A"/>
    <w:rsid w:val="0037441C"/>
    <w:rsid w:val="0038774E"/>
    <w:rsid w:val="00391DEB"/>
    <w:rsid w:val="0039280E"/>
    <w:rsid w:val="00392857"/>
    <w:rsid w:val="00396EB6"/>
    <w:rsid w:val="003A2BF0"/>
    <w:rsid w:val="003B61C8"/>
    <w:rsid w:val="003C499D"/>
    <w:rsid w:val="003C4D7A"/>
    <w:rsid w:val="003C7E7A"/>
    <w:rsid w:val="003D4880"/>
    <w:rsid w:val="003E319A"/>
    <w:rsid w:val="003F3712"/>
    <w:rsid w:val="00410534"/>
    <w:rsid w:val="004114B4"/>
    <w:rsid w:val="0041376C"/>
    <w:rsid w:val="00415C2F"/>
    <w:rsid w:val="00420A71"/>
    <w:rsid w:val="00426FD5"/>
    <w:rsid w:val="00427E6F"/>
    <w:rsid w:val="00443E27"/>
    <w:rsid w:val="00447581"/>
    <w:rsid w:val="0045418F"/>
    <w:rsid w:val="00475AB9"/>
    <w:rsid w:val="00490897"/>
    <w:rsid w:val="004A67BD"/>
    <w:rsid w:val="004B3DE4"/>
    <w:rsid w:val="004B5028"/>
    <w:rsid w:val="004C1DEC"/>
    <w:rsid w:val="004C3F5E"/>
    <w:rsid w:val="004D0F07"/>
    <w:rsid w:val="004D228D"/>
    <w:rsid w:val="004E4AF4"/>
    <w:rsid w:val="0050545D"/>
    <w:rsid w:val="005274B4"/>
    <w:rsid w:val="00546368"/>
    <w:rsid w:val="00594D90"/>
    <w:rsid w:val="005A2954"/>
    <w:rsid w:val="005A2CA3"/>
    <w:rsid w:val="005E17A2"/>
    <w:rsid w:val="005E54C2"/>
    <w:rsid w:val="0062675A"/>
    <w:rsid w:val="00650F06"/>
    <w:rsid w:val="0065735D"/>
    <w:rsid w:val="006644E1"/>
    <w:rsid w:val="00682B3C"/>
    <w:rsid w:val="006923F5"/>
    <w:rsid w:val="00695509"/>
    <w:rsid w:val="006A04AB"/>
    <w:rsid w:val="006A432B"/>
    <w:rsid w:val="006C6FC7"/>
    <w:rsid w:val="006D2F67"/>
    <w:rsid w:val="0070779E"/>
    <w:rsid w:val="00713D83"/>
    <w:rsid w:val="0071520E"/>
    <w:rsid w:val="00722964"/>
    <w:rsid w:val="00733487"/>
    <w:rsid w:val="007411A9"/>
    <w:rsid w:val="007536B3"/>
    <w:rsid w:val="00773E70"/>
    <w:rsid w:val="00783E76"/>
    <w:rsid w:val="007A2BA4"/>
    <w:rsid w:val="007A4AC2"/>
    <w:rsid w:val="007B62DB"/>
    <w:rsid w:val="007D7893"/>
    <w:rsid w:val="007E5882"/>
    <w:rsid w:val="00824713"/>
    <w:rsid w:val="00840D28"/>
    <w:rsid w:val="00843980"/>
    <w:rsid w:val="00855345"/>
    <w:rsid w:val="00867CE8"/>
    <w:rsid w:val="008C01D0"/>
    <w:rsid w:val="008C024D"/>
    <w:rsid w:val="008D50D0"/>
    <w:rsid w:val="00912671"/>
    <w:rsid w:val="0091425D"/>
    <w:rsid w:val="00916BC5"/>
    <w:rsid w:val="009217B1"/>
    <w:rsid w:val="00932574"/>
    <w:rsid w:val="0093272A"/>
    <w:rsid w:val="009328B1"/>
    <w:rsid w:val="00936A30"/>
    <w:rsid w:val="00936B1D"/>
    <w:rsid w:val="00944C12"/>
    <w:rsid w:val="00961D24"/>
    <w:rsid w:val="00971964"/>
    <w:rsid w:val="009A1AF8"/>
    <w:rsid w:val="009E3483"/>
    <w:rsid w:val="009E75CD"/>
    <w:rsid w:val="009F6503"/>
    <w:rsid w:val="009F7C96"/>
    <w:rsid w:val="00A0573A"/>
    <w:rsid w:val="00A14853"/>
    <w:rsid w:val="00A24565"/>
    <w:rsid w:val="00A26A84"/>
    <w:rsid w:val="00A35938"/>
    <w:rsid w:val="00A43537"/>
    <w:rsid w:val="00A66E73"/>
    <w:rsid w:val="00A769BD"/>
    <w:rsid w:val="00A871B1"/>
    <w:rsid w:val="00A93A0B"/>
    <w:rsid w:val="00A97A6F"/>
    <w:rsid w:val="00AA0E2E"/>
    <w:rsid w:val="00AB5066"/>
    <w:rsid w:val="00AC64EF"/>
    <w:rsid w:val="00AC6FC8"/>
    <w:rsid w:val="00AC7865"/>
    <w:rsid w:val="00AD3622"/>
    <w:rsid w:val="00AE4323"/>
    <w:rsid w:val="00B07009"/>
    <w:rsid w:val="00B13DB8"/>
    <w:rsid w:val="00B15263"/>
    <w:rsid w:val="00B20EEE"/>
    <w:rsid w:val="00B55346"/>
    <w:rsid w:val="00B65228"/>
    <w:rsid w:val="00B657CB"/>
    <w:rsid w:val="00B83999"/>
    <w:rsid w:val="00B86A7F"/>
    <w:rsid w:val="00B93EB0"/>
    <w:rsid w:val="00BB4428"/>
    <w:rsid w:val="00BC37B3"/>
    <w:rsid w:val="00C02F4D"/>
    <w:rsid w:val="00C06D7F"/>
    <w:rsid w:val="00C27BD0"/>
    <w:rsid w:val="00C33522"/>
    <w:rsid w:val="00C36A0E"/>
    <w:rsid w:val="00C42C66"/>
    <w:rsid w:val="00C44B6C"/>
    <w:rsid w:val="00C70A74"/>
    <w:rsid w:val="00CA0F72"/>
    <w:rsid w:val="00CB6D9F"/>
    <w:rsid w:val="00CC08A7"/>
    <w:rsid w:val="00CC3DA6"/>
    <w:rsid w:val="00CD05B0"/>
    <w:rsid w:val="00CE7B26"/>
    <w:rsid w:val="00CF5C9C"/>
    <w:rsid w:val="00D02E81"/>
    <w:rsid w:val="00D22B37"/>
    <w:rsid w:val="00D263A0"/>
    <w:rsid w:val="00D346B2"/>
    <w:rsid w:val="00D550A9"/>
    <w:rsid w:val="00D67C9B"/>
    <w:rsid w:val="00D704C8"/>
    <w:rsid w:val="00D76490"/>
    <w:rsid w:val="00DB0EB8"/>
    <w:rsid w:val="00DC5AE7"/>
    <w:rsid w:val="00DC6CC8"/>
    <w:rsid w:val="00DD79B0"/>
    <w:rsid w:val="00DE10EC"/>
    <w:rsid w:val="00DE1987"/>
    <w:rsid w:val="00DE3E88"/>
    <w:rsid w:val="00DF0684"/>
    <w:rsid w:val="00DF4265"/>
    <w:rsid w:val="00E01B93"/>
    <w:rsid w:val="00E036BF"/>
    <w:rsid w:val="00E41620"/>
    <w:rsid w:val="00E76250"/>
    <w:rsid w:val="00E765FE"/>
    <w:rsid w:val="00E918B1"/>
    <w:rsid w:val="00EB0D45"/>
    <w:rsid w:val="00EB4989"/>
    <w:rsid w:val="00ED2365"/>
    <w:rsid w:val="00EE43AE"/>
    <w:rsid w:val="00EF08AA"/>
    <w:rsid w:val="00EF56A5"/>
    <w:rsid w:val="00F00E1D"/>
    <w:rsid w:val="00F11B11"/>
    <w:rsid w:val="00F21F2E"/>
    <w:rsid w:val="00F24FB4"/>
    <w:rsid w:val="00F35C9B"/>
    <w:rsid w:val="00F40DD3"/>
    <w:rsid w:val="00F50954"/>
    <w:rsid w:val="00F80A13"/>
    <w:rsid w:val="00F8453F"/>
    <w:rsid w:val="00F87974"/>
    <w:rsid w:val="00F974EA"/>
    <w:rsid w:val="00FA5B13"/>
    <w:rsid w:val="00FB1792"/>
    <w:rsid w:val="00FF1E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3622"/>
    <w:pPr>
      <w:spacing w:line="480" w:lineRule="auto"/>
    </w:pPr>
  </w:style>
  <w:style w:type="paragraph" w:styleId="Heading1">
    <w:name w:val="heading 1"/>
    <w:basedOn w:val="Normal"/>
    <w:next w:val="Normal"/>
    <w:link w:val="Heading1Char"/>
    <w:uiPriority w:val="9"/>
    <w:qFormat/>
    <w:rsid w:val="00C06D7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EB498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475AB9"/>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06D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6D7F"/>
  </w:style>
  <w:style w:type="paragraph" w:styleId="Footer">
    <w:name w:val="footer"/>
    <w:basedOn w:val="Normal"/>
    <w:link w:val="FooterChar"/>
    <w:uiPriority w:val="99"/>
    <w:unhideWhenUsed/>
    <w:rsid w:val="00C06D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6D7F"/>
  </w:style>
  <w:style w:type="paragraph" w:styleId="BodyText">
    <w:name w:val="Body Text"/>
    <w:basedOn w:val="Normal"/>
    <w:link w:val="BodyTextChar"/>
    <w:semiHidden/>
    <w:unhideWhenUsed/>
    <w:rsid w:val="00C06D7F"/>
    <w:pPr>
      <w:widowControl w:val="0"/>
      <w:autoSpaceDE w:val="0"/>
      <w:autoSpaceDN w:val="0"/>
      <w:adjustRightInd w:val="0"/>
      <w:spacing w:after="0" w:line="240" w:lineRule="auto"/>
    </w:pPr>
    <w:rPr>
      <w:rFonts w:ascii="Arial" w:eastAsia="Batang" w:hAnsi="Arial" w:cs="Arial"/>
      <w:sz w:val="24"/>
      <w:szCs w:val="24"/>
      <w:lang w:eastAsia="ko-KR"/>
    </w:rPr>
  </w:style>
  <w:style w:type="character" w:customStyle="1" w:styleId="BodyTextChar">
    <w:name w:val="Body Text Char"/>
    <w:basedOn w:val="DefaultParagraphFont"/>
    <w:link w:val="BodyText"/>
    <w:semiHidden/>
    <w:rsid w:val="00C06D7F"/>
    <w:rPr>
      <w:rFonts w:ascii="Arial" w:eastAsia="Batang" w:hAnsi="Arial" w:cs="Arial"/>
      <w:sz w:val="24"/>
      <w:szCs w:val="24"/>
      <w:lang w:eastAsia="ko-KR"/>
    </w:rPr>
  </w:style>
  <w:style w:type="paragraph" w:customStyle="1" w:styleId="Section">
    <w:name w:val="Section"/>
    <w:uiPriority w:val="99"/>
    <w:rsid w:val="00C06D7F"/>
    <w:pPr>
      <w:widowControl w:val="0"/>
      <w:autoSpaceDE w:val="0"/>
      <w:autoSpaceDN w:val="0"/>
      <w:adjustRightInd w:val="0"/>
      <w:spacing w:after="0" w:line="240" w:lineRule="auto"/>
      <w:outlineLvl w:val="0"/>
    </w:pPr>
    <w:rPr>
      <w:rFonts w:ascii="Arial" w:eastAsia="Batang" w:hAnsi="Arial" w:cs="Arial"/>
      <w:sz w:val="36"/>
      <w:szCs w:val="36"/>
      <w:lang w:eastAsia="ko-KR"/>
    </w:rPr>
  </w:style>
  <w:style w:type="character" w:customStyle="1" w:styleId="Heading1Char">
    <w:name w:val="Heading 1 Char"/>
    <w:basedOn w:val="DefaultParagraphFont"/>
    <w:link w:val="Heading1"/>
    <w:uiPriority w:val="9"/>
    <w:rsid w:val="00C06D7F"/>
    <w:rPr>
      <w:rFonts w:asciiTheme="majorHAnsi" w:eastAsiaTheme="majorEastAsia" w:hAnsiTheme="majorHAnsi" w:cstheme="majorBidi"/>
      <w:b/>
      <w:bCs/>
      <w:color w:val="365F91" w:themeColor="accent1" w:themeShade="BF"/>
      <w:sz w:val="28"/>
      <w:szCs w:val="28"/>
    </w:rPr>
  </w:style>
  <w:style w:type="paragraph" w:styleId="BalloonText">
    <w:name w:val="Balloon Text"/>
    <w:basedOn w:val="Normal"/>
    <w:link w:val="BalloonTextChar"/>
    <w:uiPriority w:val="99"/>
    <w:semiHidden/>
    <w:unhideWhenUsed/>
    <w:rsid w:val="00C06D7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06D7F"/>
    <w:rPr>
      <w:rFonts w:ascii="Tahoma" w:hAnsi="Tahoma" w:cs="Tahoma"/>
      <w:sz w:val="16"/>
      <w:szCs w:val="16"/>
    </w:rPr>
  </w:style>
  <w:style w:type="paragraph" w:styleId="NormalWeb">
    <w:name w:val="Normal (Web)"/>
    <w:basedOn w:val="Normal"/>
    <w:uiPriority w:val="99"/>
    <w:unhideWhenUsed/>
    <w:rsid w:val="008C024D"/>
    <w:pPr>
      <w:spacing w:before="100" w:beforeAutospacing="1" w:after="100" w:afterAutospacing="1" w:line="240" w:lineRule="auto"/>
    </w:pPr>
    <w:rPr>
      <w:rFonts w:ascii="Times New Roman" w:eastAsiaTheme="minorEastAsia" w:hAnsi="Times New Roman" w:cs="Times New Roman"/>
      <w:sz w:val="24"/>
      <w:szCs w:val="24"/>
    </w:rPr>
  </w:style>
  <w:style w:type="paragraph" w:styleId="Title">
    <w:name w:val="Title"/>
    <w:basedOn w:val="Normal"/>
    <w:next w:val="Normal"/>
    <w:link w:val="TitleChar"/>
    <w:uiPriority w:val="10"/>
    <w:qFormat/>
    <w:rsid w:val="00A43537"/>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43537"/>
    <w:rPr>
      <w:rFonts w:asciiTheme="majorHAnsi" w:eastAsiaTheme="majorEastAsia" w:hAnsiTheme="majorHAnsi" w:cstheme="majorBidi"/>
      <w:color w:val="17365D" w:themeColor="text2" w:themeShade="BF"/>
      <w:spacing w:val="5"/>
      <w:kern w:val="28"/>
      <w:sz w:val="52"/>
      <w:szCs w:val="52"/>
    </w:rPr>
  </w:style>
  <w:style w:type="paragraph" w:styleId="Caption">
    <w:name w:val="caption"/>
    <w:basedOn w:val="Normal"/>
    <w:next w:val="Normal"/>
    <w:uiPriority w:val="35"/>
    <w:unhideWhenUsed/>
    <w:qFormat/>
    <w:rsid w:val="00A43537"/>
    <w:pPr>
      <w:spacing w:line="240" w:lineRule="auto"/>
    </w:pPr>
    <w:rPr>
      <w:b/>
      <w:bCs/>
      <w:color w:val="4F81BD" w:themeColor="accent1"/>
      <w:sz w:val="18"/>
      <w:szCs w:val="18"/>
    </w:rPr>
  </w:style>
  <w:style w:type="character" w:styleId="PlaceholderText">
    <w:name w:val="Placeholder Text"/>
    <w:basedOn w:val="DefaultParagraphFont"/>
    <w:uiPriority w:val="99"/>
    <w:semiHidden/>
    <w:rsid w:val="00DC5AE7"/>
    <w:rPr>
      <w:color w:val="808080"/>
    </w:rPr>
  </w:style>
  <w:style w:type="paragraph" w:customStyle="1" w:styleId="Subsubsection">
    <w:name w:val="Subsubsection"/>
    <w:rsid w:val="00DC5AE7"/>
    <w:pPr>
      <w:widowControl w:val="0"/>
      <w:autoSpaceDE w:val="0"/>
      <w:autoSpaceDN w:val="0"/>
      <w:adjustRightInd w:val="0"/>
      <w:spacing w:after="0" w:line="240" w:lineRule="auto"/>
      <w:outlineLvl w:val="2"/>
    </w:pPr>
    <w:rPr>
      <w:rFonts w:ascii="Arial" w:eastAsia="Batang" w:hAnsi="Arial" w:cs="Arial"/>
      <w:sz w:val="28"/>
      <w:szCs w:val="28"/>
      <w:lang w:eastAsia="ko-KR"/>
    </w:rPr>
  </w:style>
  <w:style w:type="table" w:styleId="LightShading">
    <w:name w:val="Light Shading"/>
    <w:basedOn w:val="TableNormal"/>
    <w:uiPriority w:val="60"/>
    <w:rsid w:val="00DC5AE7"/>
    <w:pPr>
      <w:spacing w:after="0" w:line="240" w:lineRule="auto"/>
    </w:pPr>
    <w:rPr>
      <w:rFonts w:ascii="Times New Roman" w:eastAsia="MS Mincho" w:hAnsi="Times New Roman" w:cs="Times New Roman"/>
      <w:color w:val="000000" w:themeColor="text1" w:themeShade="BF"/>
      <w:sz w:val="20"/>
      <w:szCs w:val="20"/>
    </w:rPr>
    <w:tblPr>
      <w:tblStyleRowBandSize w:val="1"/>
      <w:tblStyleColBandSize w:val="1"/>
      <w:tblInd w:w="0" w:type="nil"/>
      <w:tblBorders>
        <w:top w:val="single" w:sz="8" w:space="0" w:color="000000" w:themeColor="text1"/>
        <w:bottom w:val="single" w:sz="8" w:space="0" w:color="000000" w:themeColor="text1"/>
      </w:tblBorders>
    </w:tblPr>
    <w:tblStylePr w:type="fir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FootnoteText">
    <w:name w:val="footnote text"/>
    <w:basedOn w:val="Normal"/>
    <w:link w:val="FootnoteTextChar"/>
    <w:uiPriority w:val="99"/>
    <w:semiHidden/>
    <w:unhideWhenUsed/>
    <w:rsid w:val="00773E7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73E70"/>
    <w:rPr>
      <w:sz w:val="20"/>
      <w:szCs w:val="20"/>
    </w:rPr>
  </w:style>
  <w:style w:type="character" w:styleId="FootnoteReference">
    <w:name w:val="footnote reference"/>
    <w:basedOn w:val="DefaultParagraphFont"/>
    <w:uiPriority w:val="99"/>
    <w:semiHidden/>
    <w:unhideWhenUsed/>
    <w:rsid w:val="00773E70"/>
    <w:rPr>
      <w:vertAlign w:val="superscript"/>
    </w:rPr>
  </w:style>
  <w:style w:type="paragraph" w:customStyle="1" w:styleId="Subsection">
    <w:name w:val="Subsection"/>
    <w:rsid w:val="00EB4989"/>
    <w:pPr>
      <w:widowControl w:val="0"/>
      <w:autoSpaceDE w:val="0"/>
      <w:autoSpaceDN w:val="0"/>
      <w:adjustRightInd w:val="0"/>
      <w:spacing w:after="0" w:line="240" w:lineRule="auto"/>
      <w:outlineLvl w:val="1"/>
    </w:pPr>
    <w:rPr>
      <w:rFonts w:ascii="Arial" w:eastAsia="Batang" w:hAnsi="Arial" w:cs="Arial"/>
      <w:sz w:val="32"/>
      <w:szCs w:val="32"/>
      <w:lang w:eastAsia="ko-KR"/>
    </w:rPr>
  </w:style>
  <w:style w:type="character" w:customStyle="1" w:styleId="Heading2Char">
    <w:name w:val="Heading 2 Char"/>
    <w:basedOn w:val="DefaultParagraphFont"/>
    <w:link w:val="Heading2"/>
    <w:uiPriority w:val="9"/>
    <w:rsid w:val="00EB4989"/>
    <w:rPr>
      <w:rFonts w:asciiTheme="majorHAnsi" w:eastAsiaTheme="majorEastAsia" w:hAnsiTheme="majorHAnsi" w:cstheme="majorBidi"/>
      <w:b/>
      <w:bCs/>
      <w:color w:val="4F81BD" w:themeColor="accent1"/>
      <w:sz w:val="26"/>
      <w:szCs w:val="26"/>
    </w:rPr>
  </w:style>
  <w:style w:type="paragraph" w:styleId="NoSpacing">
    <w:name w:val="No Spacing"/>
    <w:uiPriority w:val="1"/>
    <w:qFormat/>
    <w:rsid w:val="00AD3622"/>
    <w:pPr>
      <w:spacing w:after="0" w:line="240" w:lineRule="auto"/>
    </w:pPr>
  </w:style>
  <w:style w:type="character" w:styleId="CommentReference">
    <w:name w:val="annotation reference"/>
    <w:basedOn w:val="DefaultParagraphFont"/>
    <w:uiPriority w:val="99"/>
    <w:semiHidden/>
    <w:unhideWhenUsed/>
    <w:rsid w:val="002C609E"/>
    <w:rPr>
      <w:sz w:val="16"/>
      <w:szCs w:val="16"/>
    </w:rPr>
  </w:style>
  <w:style w:type="paragraph" w:styleId="CommentText">
    <w:name w:val="annotation text"/>
    <w:basedOn w:val="Normal"/>
    <w:link w:val="CommentTextChar"/>
    <w:uiPriority w:val="99"/>
    <w:semiHidden/>
    <w:unhideWhenUsed/>
    <w:rsid w:val="002C609E"/>
    <w:pPr>
      <w:spacing w:line="240" w:lineRule="auto"/>
    </w:pPr>
    <w:rPr>
      <w:sz w:val="20"/>
      <w:szCs w:val="20"/>
    </w:rPr>
  </w:style>
  <w:style w:type="character" w:customStyle="1" w:styleId="CommentTextChar">
    <w:name w:val="Comment Text Char"/>
    <w:basedOn w:val="DefaultParagraphFont"/>
    <w:link w:val="CommentText"/>
    <w:uiPriority w:val="99"/>
    <w:semiHidden/>
    <w:rsid w:val="002C609E"/>
    <w:rPr>
      <w:sz w:val="20"/>
      <w:szCs w:val="20"/>
    </w:rPr>
  </w:style>
  <w:style w:type="paragraph" w:styleId="CommentSubject">
    <w:name w:val="annotation subject"/>
    <w:basedOn w:val="CommentText"/>
    <w:next w:val="CommentText"/>
    <w:link w:val="CommentSubjectChar"/>
    <w:uiPriority w:val="99"/>
    <w:semiHidden/>
    <w:unhideWhenUsed/>
    <w:rsid w:val="002C609E"/>
    <w:rPr>
      <w:b/>
      <w:bCs/>
    </w:rPr>
  </w:style>
  <w:style w:type="character" w:customStyle="1" w:styleId="CommentSubjectChar">
    <w:name w:val="Comment Subject Char"/>
    <w:basedOn w:val="CommentTextChar"/>
    <w:link w:val="CommentSubject"/>
    <w:uiPriority w:val="99"/>
    <w:semiHidden/>
    <w:rsid w:val="002C609E"/>
    <w:rPr>
      <w:b/>
      <w:bCs/>
      <w:sz w:val="20"/>
      <w:szCs w:val="20"/>
    </w:rPr>
  </w:style>
  <w:style w:type="table" w:styleId="TableGrid">
    <w:name w:val="Table Grid"/>
    <w:basedOn w:val="TableNormal"/>
    <w:uiPriority w:val="59"/>
    <w:rsid w:val="00AC64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A26A84"/>
    <w:pPr>
      <w:spacing w:after="0" w:line="240" w:lineRule="auto"/>
    </w:pPr>
  </w:style>
  <w:style w:type="character" w:customStyle="1" w:styleId="Heading3Char">
    <w:name w:val="Heading 3 Char"/>
    <w:basedOn w:val="DefaultParagraphFont"/>
    <w:link w:val="Heading3"/>
    <w:uiPriority w:val="9"/>
    <w:rsid w:val="00475AB9"/>
    <w:rPr>
      <w:rFonts w:asciiTheme="majorHAnsi" w:eastAsiaTheme="majorEastAsia" w:hAnsiTheme="majorHAnsi" w:cstheme="majorBidi"/>
      <w:b/>
      <w:b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3622"/>
    <w:pPr>
      <w:spacing w:line="480" w:lineRule="auto"/>
    </w:pPr>
  </w:style>
  <w:style w:type="paragraph" w:styleId="Heading1">
    <w:name w:val="heading 1"/>
    <w:basedOn w:val="Normal"/>
    <w:next w:val="Normal"/>
    <w:link w:val="Heading1Char"/>
    <w:uiPriority w:val="9"/>
    <w:qFormat/>
    <w:rsid w:val="00C06D7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EB498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475AB9"/>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06D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6D7F"/>
  </w:style>
  <w:style w:type="paragraph" w:styleId="Footer">
    <w:name w:val="footer"/>
    <w:basedOn w:val="Normal"/>
    <w:link w:val="FooterChar"/>
    <w:uiPriority w:val="99"/>
    <w:unhideWhenUsed/>
    <w:rsid w:val="00C06D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6D7F"/>
  </w:style>
  <w:style w:type="paragraph" w:styleId="BodyText">
    <w:name w:val="Body Text"/>
    <w:basedOn w:val="Normal"/>
    <w:link w:val="BodyTextChar"/>
    <w:semiHidden/>
    <w:unhideWhenUsed/>
    <w:rsid w:val="00C06D7F"/>
    <w:pPr>
      <w:widowControl w:val="0"/>
      <w:autoSpaceDE w:val="0"/>
      <w:autoSpaceDN w:val="0"/>
      <w:adjustRightInd w:val="0"/>
      <w:spacing w:after="0" w:line="240" w:lineRule="auto"/>
    </w:pPr>
    <w:rPr>
      <w:rFonts w:ascii="Arial" w:eastAsia="Batang" w:hAnsi="Arial" w:cs="Arial"/>
      <w:sz w:val="24"/>
      <w:szCs w:val="24"/>
      <w:lang w:eastAsia="ko-KR"/>
    </w:rPr>
  </w:style>
  <w:style w:type="character" w:customStyle="1" w:styleId="BodyTextChar">
    <w:name w:val="Body Text Char"/>
    <w:basedOn w:val="DefaultParagraphFont"/>
    <w:link w:val="BodyText"/>
    <w:semiHidden/>
    <w:rsid w:val="00C06D7F"/>
    <w:rPr>
      <w:rFonts w:ascii="Arial" w:eastAsia="Batang" w:hAnsi="Arial" w:cs="Arial"/>
      <w:sz w:val="24"/>
      <w:szCs w:val="24"/>
      <w:lang w:eastAsia="ko-KR"/>
    </w:rPr>
  </w:style>
  <w:style w:type="paragraph" w:customStyle="1" w:styleId="Section">
    <w:name w:val="Section"/>
    <w:uiPriority w:val="99"/>
    <w:rsid w:val="00C06D7F"/>
    <w:pPr>
      <w:widowControl w:val="0"/>
      <w:autoSpaceDE w:val="0"/>
      <w:autoSpaceDN w:val="0"/>
      <w:adjustRightInd w:val="0"/>
      <w:spacing w:after="0" w:line="240" w:lineRule="auto"/>
      <w:outlineLvl w:val="0"/>
    </w:pPr>
    <w:rPr>
      <w:rFonts w:ascii="Arial" w:eastAsia="Batang" w:hAnsi="Arial" w:cs="Arial"/>
      <w:sz w:val="36"/>
      <w:szCs w:val="36"/>
      <w:lang w:eastAsia="ko-KR"/>
    </w:rPr>
  </w:style>
  <w:style w:type="character" w:customStyle="1" w:styleId="Heading1Char">
    <w:name w:val="Heading 1 Char"/>
    <w:basedOn w:val="DefaultParagraphFont"/>
    <w:link w:val="Heading1"/>
    <w:uiPriority w:val="9"/>
    <w:rsid w:val="00C06D7F"/>
    <w:rPr>
      <w:rFonts w:asciiTheme="majorHAnsi" w:eastAsiaTheme="majorEastAsia" w:hAnsiTheme="majorHAnsi" w:cstheme="majorBidi"/>
      <w:b/>
      <w:bCs/>
      <w:color w:val="365F91" w:themeColor="accent1" w:themeShade="BF"/>
      <w:sz w:val="28"/>
      <w:szCs w:val="28"/>
    </w:rPr>
  </w:style>
  <w:style w:type="paragraph" w:styleId="BalloonText">
    <w:name w:val="Balloon Text"/>
    <w:basedOn w:val="Normal"/>
    <w:link w:val="BalloonTextChar"/>
    <w:uiPriority w:val="99"/>
    <w:semiHidden/>
    <w:unhideWhenUsed/>
    <w:rsid w:val="00C06D7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06D7F"/>
    <w:rPr>
      <w:rFonts w:ascii="Tahoma" w:hAnsi="Tahoma" w:cs="Tahoma"/>
      <w:sz w:val="16"/>
      <w:szCs w:val="16"/>
    </w:rPr>
  </w:style>
  <w:style w:type="paragraph" w:styleId="NormalWeb">
    <w:name w:val="Normal (Web)"/>
    <w:basedOn w:val="Normal"/>
    <w:uiPriority w:val="99"/>
    <w:unhideWhenUsed/>
    <w:rsid w:val="008C024D"/>
    <w:pPr>
      <w:spacing w:before="100" w:beforeAutospacing="1" w:after="100" w:afterAutospacing="1" w:line="240" w:lineRule="auto"/>
    </w:pPr>
    <w:rPr>
      <w:rFonts w:ascii="Times New Roman" w:eastAsiaTheme="minorEastAsia" w:hAnsi="Times New Roman" w:cs="Times New Roman"/>
      <w:sz w:val="24"/>
      <w:szCs w:val="24"/>
    </w:rPr>
  </w:style>
  <w:style w:type="paragraph" w:styleId="Title">
    <w:name w:val="Title"/>
    <w:basedOn w:val="Normal"/>
    <w:next w:val="Normal"/>
    <w:link w:val="TitleChar"/>
    <w:uiPriority w:val="10"/>
    <w:qFormat/>
    <w:rsid w:val="00A43537"/>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43537"/>
    <w:rPr>
      <w:rFonts w:asciiTheme="majorHAnsi" w:eastAsiaTheme="majorEastAsia" w:hAnsiTheme="majorHAnsi" w:cstheme="majorBidi"/>
      <w:color w:val="17365D" w:themeColor="text2" w:themeShade="BF"/>
      <w:spacing w:val="5"/>
      <w:kern w:val="28"/>
      <w:sz w:val="52"/>
      <w:szCs w:val="52"/>
    </w:rPr>
  </w:style>
  <w:style w:type="paragraph" w:styleId="Caption">
    <w:name w:val="caption"/>
    <w:basedOn w:val="Normal"/>
    <w:next w:val="Normal"/>
    <w:uiPriority w:val="35"/>
    <w:unhideWhenUsed/>
    <w:qFormat/>
    <w:rsid w:val="00A43537"/>
    <w:pPr>
      <w:spacing w:line="240" w:lineRule="auto"/>
    </w:pPr>
    <w:rPr>
      <w:b/>
      <w:bCs/>
      <w:color w:val="4F81BD" w:themeColor="accent1"/>
      <w:sz w:val="18"/>
      <w:szCs w:val="18"/>
    </w:rPr>
  </w:style>
  <w:style w:type="character" w:styleId="PlaceholderText">
    <w:name w:val="Placeholder Text"/>
    <w:basedOn w:val="DefaultParagraphFont"/>
    <w:uiPriority w:val="99"/>
    <w:semiHidden/>
    <w:rsid w:val="00DC5AE7"/>
    <w:rPr>
      <w:color w:val="808080"/>
    </w:rPr>
  </w:style>
  <w:style w:type="paragraph" w:customStyle="1" w:styleId="Subsubsection">
    <w:name w:val="Subsubsection"/>
    <w:rsid w:val="00DC5AE7"/>
    <w:pPr>
      <w:widowControl w:val="0"/>
      <w:autoSpaceDE w:val="0"/>
      <w:autoSpaceDN w:val="0"/>
      <w:adjustRightInd w:val="0"/>
      <w:spacing w:after="0" w:line="240" w:lineRule="auto"/>
      <w:outlineLvl w:val="2"/>
    </w:pPr>
    <w:rPr>
      <w:rFonts w:ascii="Arial" w:eastAsia="Batang" w:hAnsi="Arial" w:cs="Arial"/>
      <w:sz w:val="28"/>
      <w:szCs w:val="28"/>
      <w:lang w:eastAsia="ko-KR"/>
    </w:rPr>
  </w:style>
  <w:style w:type="table" w:styleId="LightShading">
    <w:name w:val="Light Shading"/>
    <w:basedOn w:val="TableNormal"/>
    <w:uiPriority w:val="60"/>
    <w:rsid w:val="00DC5AE7"/>
    <w:pPr>
      <w:spacing w:after="0" w:line="240" w:lineRule="auto"/>
    </w:pPr>
    <w:rPr>
      <w:rFonts w:ascii="Times New Roman" w:eastAsia="MS Mincho" w:hAnsi="Times New Roman" w:cs="Times New Roman"/>
      <w:color w:val="000000" w:themeColor="text1" w:themeShade="BF"/>
      <w:sz w:val="20"/>
      <w:szCs w:val="20"/>
    </w:rPr>
    <w:tblPr>
      <w:tblStyleRowBandSize w:val="1"/>
      <w:tblStyleColBandSize w:val="1"/>
      <w:tblInd w:w="0" w:type="nil"/>
      <w:tblBorders>
        <w:top w:val="single" w:sz="8" w:space="0" w:color="000000" w:themeColor="text1"/>
        <w:bottom w:val="single" w:sz="8" w:space="0" w:color="000000" w:themeColor="text1"/>
      </w:tblBorders>
    </w:tblPr>
    <w:tblStylePr w:type="fir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FootnoteText">
    <w:name w:val="footnote text"/>
    <w:basedOn w:val="Normal"/>
    <w:link w:val="FootnoteTextChar"/>
    <w:uiPriority w:val="99"/>
    <w:semiHidden/>
    <w:unhideWhenUsed/>
    <w:rsid w:val="00773E7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73E70"/>
    <w:rPr>
      <w:sz w:val="20"/>
      <w:szCs w:val="20"/>
    </w:rPr>
  </w:style>
  <w:style w:type="character" w:styleId="FootnoteReference">
    <w:name w:val="footnote reference"/>
    <w:basedOn w:val="DefaultParagraphFont"/>
    <w:uiPriority w:val="99"/>
    <w:semiHidden/>
    <w:unhideWhenUsed/>
    <w:rsid w:val="00773E70"/>
    <w:rPr>
      <w:vertAlign w:val="superscript"/>
    </w:rPr>
  </w:style>
  <w:style w:type="paragraph" w:customStyle="1" w:styleId="Subsection">
    <w:name w:val="Subsection"/>
    <w:rsid w:val="00EB4989"/>
    <w:pPr>
      <w:widowControl w:val="0"/>
      <w:autoSpaceDE w:val="0"/>
      <w:autoSpaceDN w:val="0"/>
      <w:adjustRightInd w:val="0"/>
      <w:spacing w:after="0" w:line="240" w:lineRule="auto"/>
      <w:outlineLvl w:val="1"/>
    </w:pPr>
    <w:rPr>
      <w:rFonts w:ascii="Arial" w:eastAsia="Batang" w:hAnsi="Arial" w:cs="Arial"/>
      <w:sz w:val="32"/>
      <w:szCs w:val="32"/>
      <w:lang w:eastAsia="ko-KR"/>
    </w:rPr>
  </w:style>
  <w:style w:type="character" w:customStyle="1" w:styleId="Heading2Char">
    <w:name w:val="Heading 2 Char"/>
    <w:basedOn w:val="DefaultParagraphFont"/>
    <w:link w:val="Heading2"/>
    <w:uiPriority w:val="9"/>
    <w:rsid w:val="00EB4989"/>
    <w:rPr>
      <w:rFonts w:asciiTheme="majorHAnsi" w:eastAsiaTheme="majorEastAsia" w:hAnsiTheme="majorHAnsi" w:cstheme="majorBidi"/>
      <w:b/>
      <w:bCs/>
      <w:color w:val="4F81BD" w:themeColor="accent1"/>
      <w:sz w:val="26"/>
      <w:szCs w:val="26"/>
    </w:rPr>
  </w:style>
  <w:style w:type="paragraph" w:styleId="NoSpacing">
    <w:name w:val="No Spacing"/>
    <w:uiPriority w:val="1"/>
    <w:qFormat/>
    <w:rsid w:val="00AD3622"/>
    <w:pPr>
      <w:spacing w:after="0" w:line="240" w:lineRule="auto"/>
    </w:pPr>
  </w:style>
  <w:style w:type="character" w:styleId="CommentReference">
    <w:name w:val="annotation reference"/>
    <w:basedOn w:val="DefaultParagraphFont"/>
    <w:uiPriority w:val="99"/>
    <w:semiHidden/>
    <w:unhideWhenUsed/>
    <w:rsid w:val="002C609E"/>
    <w:rPr>
      <w:sz w:val="16"/>
      <w:szCs w:val="16"/>
    </w:rPr>
  </w:style>
  <w:style w:type="paragraph" w:styleId="CommentText">
    <w:name w:val="annotation text"/>
    <w:basedOn w:val="Normal"/>
    <w:link w:val="CommentTextChar"/>
    <w:uiPriority w:val="99"/>
    <w:semiHidden/>
    <w:unhideWhenUsed/>
    <w:rsid w:val="002C609E"/>
    <w:pPr>
      <w:spacing w:line="240" w:lineRule="auto"/>
    </w:pPr>
    <w:rPr>
      <w:sz w:val="20"/>
      <w:szCs w:val="20"/>
    </w:rPr>
  </w:style>
  <w:style w:type="character" w:customStyle="1" w:styleId="CommentTextChar">
    <w:name w:val="Comment Text Char"/>
    <w:basedOn w:val="DefaultParagraphFont"/>
    <w:link w:val="CommentText"/>
    <w:uiPriority w:val="99"/>
    <w:semiHidden/>
    <w:rsid w:val="002C609E"/>
    <w:rPr>
      <w:sz w:val="20"/>
      <w:szCs w:val="20"/>
    </w:rPr>
  </w:style>
  <w:style w:type="paragraph" w:styleId="CommentSubject">
    <w:name w:val="annotation subject"/>
    <w:basedOn w:val="CommentText"/>
    <w:next w:val="CommentText"/>
    <w:link w:val="CommentSubjectChar"/>
    <w:uiPriority w:val="99"/>
    <w:semiHidden/>
    <w:unhideWhenUsed/>
    <w:rsid w:val="002C609E"/>
    <w:rPr>
      <w:b/>
      <w:bCs/>
    </w:rPr>
  </w:style>
  <w:style w:type="character" w:customStyle="1" w:styleId="CommentSubjectChar">
    <w:name w:val="Comment Subject Char"/>
    <w:basedOn w:val="CommentTextChar"/>
    <w:link w:val="CommentSubject"/>
    <w:uiPriority w:val="99"/>
    <w:semiHidden/>
    <w:rsid w:val="002C609E"/>
    <w:rPr>
      <w:b/>
      <w:bCs/>
      <w:sz w:val="20"/>
      <w:szCs w:val="20"/>
    </w:rPr>
  </w:style>
  <w:style w:type="table" w:styleId="TableGrid">
    <w:name w:val="Table Grid"/>
    <w:basedOn w:val="TableNormal"/>
    <w:uiPriority w:val="59"/>
    <w:rsid w:val="00AC64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A26A84"/>
    <w:pPr>
      <w:spacing w:after="0" w:line="240" w:lineRule="auto"/>
    </w:pPr>
  </w:style>
  <w:style w:type="character" w:customStyle="1" w:styleId="Heading3Char">
    <w:name w:val="Heading 3 Char"/>
    <w:basedOn w:val="DefaultParagraphFont"/>
    <w:link w:val="Heading3"/>
    <w:uiPriority w:val="9"/>
    <w:rsid w:val="00475AB9"/>
    <w:rPr>
      <w:rFonts w:asciiTheme="majorHAnsi" w:eastAsiaTheme="majorEastAsia" w:hAnsiTheme="majorHAnsi" w:cstheme="majorBidi"/>
      <w:b/>
      <w:b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447163">
      <w:bodyDiv w:val="1"/>
      <w:marLeft w:val="0"/>
      <w:marRight w:val="0"/>
      <w:marTop w:val="0"/>
      <w:marBottom w:val="0"/>
      <w:divBdr>
        <w:top w:val="none" w:sz="0" w:space="0" w:color="auto"/>
        <w:left w:val="none" w:sz="0" w:space="0" w:color="auto"/>
        <w:bottom w:val="none" w:sz="0" w:space="0" w:color="auto"/>
        <w:right w:val="none" w:sz="0" w:space="0" w:color="auto"/>
      </w:divBdr>
    </w:div>
    <w:div w:id="34157209">
      <w:bodyDiv w:val="1"/>
      <w:marLeft w:val="0"/>
      <w:marRight w:val="0"/>
      <w:marTop w:val="0"/>
      <w:marBottom w:val="0"/>
      <w:divBdr>
        <w:top w:val="none" w:sz="0" w:space="0" w:color="auto"/>
        <w:left w:val="none" w:sz="0" w:space="0" w:color="auto"/>
        <w:bottom w:val="none" w:sz="0" w:space="0" w:color="auto"/>
        <w:right w:val="none" w:sz="0" w:space="0" w:color="auto"/>
      </w:divBdr>
    </w:div>
    <w:div w:id="106659776">
      <w:bodyDiv w:val="1"/>
      <w:marLeft w:val="0"/>
      <w:marRight w:val="0"/>
      <w:marTop w:val="0"/>
      <w:marBottom w:val="0"/>
      <w:divBdr>
        <w:top w:val="none" w:sz="0" w:space="0" w:color="auto"/>
        <w:left w:val="none" w:sz="0" w:space="0" w:color="auto"/>
        <w:bottom w:val="none" w:sz="0" w:space="0" w:color="auto"/>
        <w:right w:val="none" w:sz="0" w:space="0" w:color="auto"/>
      </w:divBdr>
    </w:div>
    <w:div w:id="127285911">
      <w:bodyDiv w:val="1"/>
      <w:marLeft w:val="0"/>
      <w:marRight w:val="0"/>
      <w:marTop w:val="0"/>
      <w:marBottom w:val="0"/>
      <w:divBdr>
        <w:top w:val="none" w:sz="0" w:space="0" w:color="auto"/>
        <w:left w:val="none" w:sz="0" w:space="0" w:color="auto"/>
        <w:bottom w:val="none" w:sz="0" w:space="0" w:color="auto"/>
        <w:right w:val="none" w:sz="0" w:space="0" w:color="auto"/>
      </w:divBdr>
    </w:div>
    <w:div w:id="161816262">
      <w:bodyDiv w:val="1"/>
      <w:marLeft w:val="0"/>
      <w:marRight w:val="0"/>
      <w:marTop w:val="0"/>
      <w:marBottom w:val="0"/>
      <w:divBdr>
        <w:top w:val="none" w:sz="0" w:space="0" w:color="auto"/>
        <w:left w:val="none" w:sz="0" w:space="0" w:color="auto"/>
        <w:bottom w:val="none" w:sz="0" w:space="0" w:color="auto"/>
        <w:right w:val="none" w:sz="0" w:space="0" w:color="auto"/>
      </w:divBdr>
    </w:div>
    <w:div w:id="162287418">
      <w:bodyDiv w:val="1"/>
      <w:marLeft w:val="0"/>
      <w:marRight w:val="0"/>
      <w:marTop w:val="0"/>
      <w:marBottom w:val="0"/>
      <w:divBdr>
        <w:top w:val="none" w:sz="0" w:space="0" w:color="auto"/>
        <w:left w:val="none" w:sz="0" w:space="0" w:color="auto"/>
        <w:bottom w:val="none" w:sz="0" w:space="0" w:color="auto"/>
        <w:right w:val="none" w:sz="0" w:space="0" w:color="auto"/>
      </w:divBdr>
    </w:div>
    <w:div w:id="212809681">
      <w:bodyDiv w:val="1"/>
      <w:marLeft w:val="0"/>
      <w:marRight w:val="0"/>
      <w:marTop w:val="0"/>
      <w:marBottom w:val="0"/>
      <w:divBdr>
        <w:top w:val="none" w:sz="0" w:space="0" w:color="auto"/>
        <w:left w:val="none" w:sz="0" w:space="0" w:color="auto"/>
        <w:bottom w:val="none" w:sz="0" w:space="0" w:color="auto"/>
        <w:right w:val="none" w:sz="0" w:space="0" w:color="auto"/>
      </w:divBdr>
    </w:div>
    <w:div w:id="235554880">
      <w:bodyDiv w:val="1"/>
      <w:marLeft w:val="0"/>
      <w:marRight w:val="0"/>
      <w:marTop w:val="0"/>
      <w:marBottom w:val="0"/>
      <w:divBdr>
        <w:top w:val="none" w:sz="0" w:space="0" w:color="auto"/>
        <w:left w:val="none" w:sz="0" w:space="0" w:color="auto"/>
        <w:bottom w:val="none" w:sz="0" w:space="0" w:color="auto"/>
        <w:right w:val="none" w:sz="0" w:space="0" w:color="auto"/>
      </w:divBdr>
    </w:div>
    <w:div w:id="252669872">
      <w:bodyDiv w:val="1"/>
      <w:marLeft w:val="0"/>
      <w:marRight w:val="0"/>
      <w:marTop w:val="0"/>
      <w:marBottom w:val="0"/>
      <w:divBdr>
        <w:top w:val="none" w:sz="0" w:space="0" w:color="auto"/>
        <w:left w:val="none" w:sz="0" w:space="0" w:color="auto"/>
        <w:bottom w:val="none" w:sz="0" w:space="0" w:color="auto"/>
        <w:right w:val="none" w:sz="0" w:space="0" w:color="auto"/>
      </w:divBdr>
    </w:div>
    <w:div w:id="257297109">
      <w:bodyDiv w:val="1"/>
      <w:marLeft w:val="0"/>
      <w:marRight w:val="0"/>
      <w:marTop w:val="0"/>
      <w:marBottom w:val="0"/>
      <w:divBdr>
        <w:top w:val="none" w:sz="0" w:space="0" w:color="auto"/>
        <w:left w:val="none" w:sz="0" w:space="0" w:color="auto"/>
        <w:bottom w:val="none" w:sz="0" w:space="0" w:color="auto"/>
        <w:right w:val="none" w:sz="0" w:space="0" w:color="auto"/>
      </w:divBdr>
    </w:div>
    <w:div w:id="267584969">
      <w:bodyDiv w:val="1"/>
      <w:marLeft w:val="0"/>
      <w:marRight w:val="0"/>
      <w:marTop w:val="0"/>
      <w:marBottom w:val="0"/>
      <w:divBdr>
        <w:top w:val="none" w:sz="0" w:space="0" w:color="auto"/>
        <w:left w:val="none" w:sz="0" w:space="0" w:color="auto"/>
        <w:bottom w:val="none" w:sz="0" w:space="0" w:color="auto"/>
        <w:right w:val="none" w:sz="0" w:space="0" w:color="auto"/>
      </w:divBdr>
    </w:div>
    <w:div w:id="301544506">
      <w:bodyDiv w:val="1"/>
      <w:marLeft w:val="0"/>
      <w:marRight w:val="0"/>
      <w:marTop w:val="0"/>
      <w:marBottom w:val="0"/>
      <w:divBdr>
        <w:top w:val="none" w:sz="0" w:space="0" w:color="auto"/>
        <w:left w:val="none" w:sz="0" w:space="0" w:color="auto"/>
        <w:bottom w:val="none" w:sz="0" w:space="0" w:color="auto"/>
        <w:right w:val="none" w:sz="0" w:space="0" w:color="auto"/>
      </w:divBdr>
    </w:div>
    <w:div w:id="388962442">
      <w:bodyDiv w:val="1"/>
      <w:marLeft w:val="0"/>
      <w:marRight w:val="0"/>
      <w:marTop w:val="0"/>
      <w:marBottom w:val="0"/>
      <w:divBdr>
        <w:top w:val="none" w:sz="0" w:space="0" w:color="auto"/>
        <w:left w:val="none" w:sz="0" w:space="0" w:color="auto"/>
        <w:bottom w:val="none" w:sz="0" w:space="0" w:color="auto"/>
        <w:right w:val="none" w:sz="0" w:space="0" w:color="auto"/>
      </w:divBdr>
    </w:div>
    <w:div w:id="419833030">
      <w:bodyDiv w:val="1"/>
      <w:marLeft w:val="0"/>
      <w:marRight w:val="0"/>
      <w:marTop w:val="0"/>
      <w:marBottom w:val="0"/>
      <w:divBdr>
        <w:top w:val="none" w:sz="0" w:space="0" w:color="auto"/>
        <w:left w:val="none" w:sz="0" w:space="0" w:color="auto"/>
        <w:bottom w:val="none" w:sz="0" w:space="0" w:color="auto"/>
        <w:right w:val="none" w:sz="0" w:space="0" w:color="auto"/>
      </w:divBdr>
    </w:div>
    <w:div w:id="432894109">
      <w:bodyDiv w:val="1"/>
      <w:marLeft w:val="0"/>
      <w:marRight w:val="0"/>
      <w:marTop w:val="0"/>
      <w:marBottom w:val="0"/>
      <w:divBdr>
        <w:top w:val="none" w:sz="0" w:space="0" w:color="auto"/>
        <w:left w:val="none" w:sz="0" w:space="0" w:color="auto"/>
        <w:bottom w:val="none" w:sz="0" w:space="0" w:color="auto"/>
        <w:right w:val="none" w:sz="0" w:space="0" w:color="auto"/>
      </w:divBdr>
    </w:div>
    <w:div w:id="544558536">
      <w:bodyDiv w:val="1"/>
      <w:marLeft w:val="0"/>
      <w:marRight w:val="0"/>
      <w:marTop w:val="0"/>
      <w:marBottom w:val="0"/>
      <w:divBdr>
        <w:top w:val="none" w:sz="0" w:space="0" w:color="auto"/>
        <w:left w:val="none" w:sz="0" w:space="0" w:color="auto"/>
        <w:bottom w:val="none" w:sz="0" w:space="0" w:color="auto"/>
        <w:right w:val="none" w:sz="0" w:space="0" w:color="auto"/>
      </w:divBdr>
    </w:div>
    <w:div w:id="550579637">
      <w:bodyDiv w:val="1"/>
      <w:marLeft w:val="0"/>
      <w:marRight w:val="0"/>
      <w:marTop w:val="0"/>
      <w:marBottom w:val="0"/>
      <w:divBdr>
        <w:top w:val="none" w:sz="0" w:space="0" w:color="auto"/>
        <w:left w:val="none" w:sz="0" w:space="0" w:color="auto"/>
        <w:bottom w:val="none" w:sz="0" w:space="0" w:color="auto"/>
        <w:right w:val="none" w:sz="0" w:space="0" w:color="auto"/>
      </w:divBdr>
      <w:divsChild>
        <w:div w:id="165247375">
          <w:marLeft w:val="0"/>
          <w:marRight w:val="0"/>
          <w:marTop w:val="0"/>
          <w:marBottom w:val="0"/>
          <w:divBdr>
            <w:top w:val="none" w:sz="0" w:space="0" w:color="auto"/>
            <w:left w:val="none" w:sz="0" w:space="0" w:color="auto"/>
            <w:bottom w:val="none" w:sz="0" w:space="0" w:color="auto"/>
            <w:right w:val="none" w:sz="0" w:space="0" w:color="auto"/>
          </w:divBdr>
        </w:div>
      </w:divsChild>
    </w:div>
    <w:div w:id="593048834">
      <w:bodyDiv w:val="1"/>
      <w:marLeft w:val="0"/>
      <w:marRight w:val="0"/>
      <w:marTop w:val="0"/>
      <w:marBottom w:val="0"/>
      <w:divBdr>
        <w:top w:val="none" w:sz="0" w:space="0" w:color="auto"/>
        <w:left w:val="none" w:sz="0" w:space="0" w:color="auto"/>
        <w:bottom w:val="none" w:sz="0" w:space="0" w:color="auto"/>
        <w:right w:val="none" w:sz="0" w:space="0" w:color="auto"/>
      </w:divBdr>
    </w:div>
    <w:div w:id="788398681">
      <w:bodyDiv w:val="1"/>
      <w:marLeft w:val="0"/>
      <w:marRight w:val="0"/>
      <w:marTop w:val="0"/>
      <w:marBottom w:val="0"/>
      <w:divBdr>
        <w:top w:val="none" w:sz="0" w:space="0" w:color="auto"/>
        <w:left w:val="none" w:sz="0" w:space="0" w:color="auto"/>
        <w:bottom w:val="none" w:sz="0" w:space="0" w:color="auto"/>
        <w:right w:val="none" w:sz="0" w:space="0" w:color="auto"/>
      </w:divBdr>
    </w:div>
    <w:div w:id="950673036">
      <w:bodyDiv w:val="1"/>
      <w:marLeft w:val="0"/>
      <w:marRight w:val="0"/>
      <w:marTop w:val="0"/>
      <w:marBottom w:val="0"/>
      <w:divBdr>
        <w:top w:val="none" w:sz="0" w:space="0" w:color="auto"/>
        <w:left w:val="none" w:sz="0" w:space="0" w:color="auto"/>
        <w:bottom w:val="none" w:sz="0" w:space="0" w:color="auto"/>
        <w:right w:val="none" w:sz="0" w:space="0" w:color="auto"/>
      </w:divBdr>
    </w:div>
    <w:div w:id="1054040573">
      <w:bodyDiv w:val="1"/>
      <w:marLeft w:val="0"/>
      <w:marRight w:val="0"/>
      <w:marTop w:val="0"/>
      <w:marBottom w:val="0"/>
      <w:divBdr>
        <w:top w:val="none" w:sz="0" w:space="0" w:color="auto"/>
        <w:left w:val="none" w:sz="0" w:space="0" w:color="auto"/>
        <w:bottom w:val="none" w:sz="0" w:space="0" w:color="auto"/>
        <w:right w:val="none" w:sz="0" w:space="0" w:color="auto"/>
      </w:divBdr>
    </w:div>
    <w:div w:id="1144661091">
      <w:bodyDiv w:val="1"/>
      <w:marLeft w:val="0"/>
      <w:marRight w:val="0"/>
      <w:marTop w:val="0"/>
      <w:marBottom w:val="0"/>
      <w:divBdr>
        <w:top w:val="none" w:sz="0" w:space="0" w:color="auto"/>
        <w:left w:val="none" w:sz="0" w:space="0" w:color="auto"/>
        <w:bottom w:val="none" w:sz="0" w:space="0" w:color="auto"/>
        <w:right w:val="none" w:sz="0" w:space="0" w:color="auto"/>
      </w:divBdr>
    </w:div>
    <w:div w:id="1149832164">
      <w:bodyDiv w:val="1"/>
      <w:marLeft w:val="0"/>
      <w:marRight w:val="0"/>
      <w:marTop w:val="0"/>
      <w:marBottom w:val="0"/>
      <w:divBdr>
        <w:top w:val="none" w:sz="0" w:space="0" w:color="auto"/>
        <w:left w:val="none" w:sz="0" w:space="0" w:color="auto"/>
        <w:bottom w:val="none" w:sz="0" w:space="0" w:color="auto"/>
        <w:right w:val="none" w:sz="0" w:space="0" w:color="auto"/>
      </w:divBdr>
    </w:div>
    <w:div w:id="1261372820">
      <w:bodyDiv w:val="1"/>
      <w:marLeft w:val="0"/>
      <w:marRight w:val="0"/>
      <w:marTop w:val="0"/>
      <w:marBottom w:val="0"/>
      <w:divBdr>
        <w:top w:val="none" w:sz="0" w:space="0" w:color="auto"/>
        <w:left w:val="none" w:sz="0" w:space="0" w:color="auto"/>
        <w:bottom w:val="none" w:sz="0" w:space="0" w:color="auto"/>
        <w:right w:val="none" w:sz="0" w:space="0" w:color="auto"/>
      </w:divBdr>
    </w:div>
    <w:div w:id="1298341325">
      <w:bodyDiv w:val="1"/>
      <w:marLeft w:val="0"/>
      <w:marRight w:val="0"/>
      <w:marTop w:val="0"/>
      <w:marBottom w:val="0"/>
      <w:divBdr>
        <w:top w:val="none" w:sz="0" w:space="0" w:color="auto"/>
        <w:left w:val="none" w:sz="0" w:space="0" w:color="auto"/>
        <w:bottom w:val="none" w:sz="0" w:space="0" w:color="auto"/>
        <w:right w:val="none" w:sz="0" w:space="0" w:color="auto"/>
      </w:divBdr>
    </w:div>
    <w:div w:id="1522205025">
      <w:bodyDiv w:val="1"/>
      <w:marLeft w:val="0"/>
      <w:marRight w:val="0"/>
      <w:marTop w:val="0"/>
      <w:marBottom w:val="0"/>
      <w:divBdr>
        <w:top w:val="none" w:sz="0" w:space="0" w:color="auto"/>
        <w:left w:val="none" w:sz="0" w:space="0" w:color="auto"/>
        <w:bottom w:val="none" w:sz="0" w:space="0" w:color="auto"/>
        <w:right w:val="none" w:sz="0" w:space="0" w:color="auto"/>
      </w:divBdr>
    </w:div>
    <w:div w:id="1631324107">
      <w:bodyDiv w:val="1"/>
      <w:marLeft w:val="0"/>
      <w:marRight w:val="0"/>
      <w:marTop w:val="0"/>
      <w:marBottom w:val="0"/>
      <w:divBdr>
        <w:top w:val="none" w:sz="0" w:space="0" w:color="auto"/>
        <w:left w:val="none" w:sz="0" w:space="0" w:color="auto"/>
        <w:bottom w:val="none" w:sz="0" w:space="0" w:color="auto"/>
        <w:right w:val="none" w:sz="0" w:space="0" w:color="auto"/>
      </w:divBdr>
    </w:div>
    <w:div w:id="1643198116">
      <w:bodyDiv w:val="1"/>
      <w:marLeft w:val="0"/>
      <w:marRight w:val="0"/>
      <w:marTop w:val="0"/>
      <w:marBottom w:val="0"/>
      <w:divBdr>
        <w:top w:val="none" w:sz="0" w:space="0" w:color="auto"/>
        <w:left w:val="none" w:sz="0" w:space="0" w:color="auto"/>
        <w:bottom w:val="none" w:sz="0" w:space="0" w:color="auto"/>
        <w:right w:val="none" w:sz="0" w:space="0" w:color="auto"/>
      </w:divBdr>
    </w:div>
    <w:div w:id="1717310739">
      <w:bodyDiv w:val="1"/>
      <w:marLeft w:val="0"/>
      <w:marRight w:val="0"/>
      <w:marTop w:val="0"/>
      <w:marBottom w:val="0"/>
      <w:divBdr>
        <w:top w:val="none" w:sz="0" w:space="0" w:color="auto"/>
        <w:left w:val="none" w:sz="0" w:space="0" w:color="auto"/>
        <w:bottom w:val="none" w:sz="0" w:space="0" w:color="auto"/>
        <w:right w:val="none" w:sz="0" w:space="0" w:color="auto"/>
      </w:divBdr>
    </w:div>
    <w:div w:id="1759449260">
      <w:bodyDiv w:val="1"/>
      <w:marLeft w:val="0"/>
      <w:marRight w:val="0"/>
      <w:marTop w:val="0"/>
      <w:marBottom w:val="0"/>
      <w:divBdr>
        <w:top w:val="none" w:sz="0" w:space="0" w:color="auto"/>
        <w:left w:val="none" w:sz="0" w:space="0" w:color="auto"/>
        <w:bottom w:val="none" w:sz="0" w:space="0" w:color="auto"/>
        <w:right w:val="none" w:sz="0" w:space="0" w:color="auto"/>
      </w:divBdr>
    </w:div>
    <w:div w:id="1766924803">
      <w:bodyDiv w:val="1"/>
      <w:marLeft w:val="0"/>
      <w:marRight w:val="0"/>
      <w:marTop w:val="0"/>
      <w:marBottom w:val="0"/>
      <w:divBdr>
        <w:top w:val="none" w:sz="0" w:space="0" w:color="auto"/>
        <w:left w:val="none" w:sz="0" w:space="0" w:color="auto"/>
        <w:bottom w:val="none" w:sz="0" w:space="0" w:color="auto"/>
        <w:right w:val="none" w:sz="0" w:space="0" w:color="auto"/>
      </w:divBdr>
    </w:div>
    <w:div w:id="1858082208">
      <w:bodyDiv w:val="1"/>
      <w:marLeft w:val="0"/>
      <w:marRight w:val="0"/>
      <w:marTop w:val="0"/>
      <w:marBottom w:val="0"/>
      <w:divBdr>
        <w:top w:val="none" w:sz="0" w:space="0" w:color="auto"/>
        <w:left w:val="none" w:sz="0" w:space="0" w:color="auto"/>
        <w:bottom w:val="none" w:sz="0" w:space="0" w:color="auto"/>
        <w:right w:val="none" w:sz="0" w:space="0" w:color="auto"/>
      </w:divBdr>
    </w:div>
    <w:div w:id="1869171825">
      <w:bodyDiv w:val="1"/>
      <w:marLeft w:val="0"/>
      <w:marRight w:val="0"/>
      <w:marTop w:val="0"/>
      <w:marBottom w:val="0"/>
      <w:divBdr>
        <w:top w:val="none" w:sz="0" w:space="0" w:color="auto"/>
        <w:left w:val="none" w:sz="0" w:space="0" w:color="auto"/>
        <w:bottom w:val="none" w:sz="0" w:space="0" w:color="auto"/>
        <w:right w:val="none" w:sz="0" w:space="0" w:color="auto"/>
      </w:divBdr>
    </w:div>
    <w:div w:id="1873880009">
      <w:bodyDiv w:val="1"/>
      <w:marLeft w:val="0"/>
      <w:marRight w:val="0"/>
      <w:marTop w:val="0"/>
      <w:marBottom w:val="0"/>
      <w:divBdr>
        <w:top w:val="none" w:sz="0" w:space="0" w:color="auto"/>
        <w:left w:val="none" w:sz="0" w:space="0" w:color="auto"/>
        <w:bottom w:val="none" w:sz="0" w:space="0" w:color="auto"/>
        <w:right w:val="none" w:sz="0" w:space="0" w:color="auto"/>
      </w:divBdr>
      <w:divsChild>
        <w:div w:id="410083514">
          <w:marLeft w:val="0"/>
          <w:marRight w:val="0"/>
          <w:marTop w:val="0"/>
          <w:marBottom w:val="0"/>
          <w:divBdr>
            <w:top w:val="none" w:sz="0" w:space="0" w:color="auto"/>
            <w:left w:val="none" w:sz="0" w:space="0" w:color="auto"/>
            <w:bottom w:val="none" w:sz="0" w:space="0" w:color="auto"/>
            <w:right w:val="none" w:sz="0" w:space="0" w:color="auto"/>
          </w:divBdr>
        </w:div>
      </w:divsChild>
    </w:div>
    <w:div w:id="1963030178">
      <w:bodyDiv w:val="1"/>
      <w:marLeft w:val="0"/>
      <w:marRight w:val="0"/>
      <w:marTop w:val="0"/>
      <w:marBottom w:val="0"/>
      <w:divBdr>
        <w:top w:val="none" w:sz="0" w:space="0" w:color="auto"/>
        <w:left w:val="none" w:sz="0" w:space="0" w:color="auto"/>
        <w:bottom w:val="none" w:sz="0" w:space="0" w:color="auto"/>
        <w:right w:val="none" w:sz="0" w:space="0" w:color="auto"/>
      </w:divBdr>
    </w:div>
    <w:div w:id="2061705094">
      <w:bodyDiv w:val="1"/>
      <w:marLeft w:val="0"/>
      <w:marRight w:val="0"/>
      <w:marTop w:val="0"/>
      <w:marBottom w:val="0"/>
      <w:divBdr>
        <w:top w:val="none" w:sz="0" w:space="0" w:color="auto"/>
        <w:left w:val="none" w:sz="0" w:space="0" w:color="auto"/>
        <w:bottom w:val="none" w:sz="0" w:space="0" w:color="auto"/>
        <w:right w:val="none" w:sz="0" w:space="0" w:color="auto"/>
      </w:divBdr>
    </w:div>
    <w:div w:id="20710036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wmf"/><Relationship Id="rId18" Type="http://schemas.openxmlformats.org/officeDocument/2006/relationships/oleObject" Target="embeddings/oleObject5.bin"/><Relationship Id="rId26" Type="http://schemas.openxmlformats.org/officeDocument/2006/relationships/oleObject" Target="embeddings/oleObject9.bin"/><Relationship Id="rId39" Type="http://schemas.openxmlformats.org/officeDocument/2006/relationships/image" Target="media/image16.wmf"/><Relationship Id="rId3" Type="http://schemas.openxmlformats.org/officeDocument/2006/relationships/styles" Target="styles.xml"/><Relationship Id="rId21" Type="http://schemas.openxmlformats.org/officeDocument/2006/relationships/image" Target="media/image7.wmf"/><Relationship Id="rId34" Type="http://schemas.openxmlformats.org/officeDocument/2006/relationships/oleObject" Target="embeddings/oleObject13.bin"/><Relationship Id="rId42" Type="http://schemas.openxmlformats.org/officeDocument/2006/relationships/image" Target="media/image18.png"/><Relationship Id="rId47" Type="http://schemas.openxmlformats.org/officeDocument/2006/relationships/footer" Target="footer2.xml"/><Relationship Id="rId50"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oleObject" Target="embeddings/oleObject2.bin"/><Relationship Id="rId17" Type="http://schemas.openxmlformats.org/officeDocument/2006/relationships/image" Target="media/image5.wmf"/><Relationship Id="rId25" Type="http://schemas.openxmlformats.org/officeDocument/2006/relationships/image" Target="media/image9.wmf"/><Relationship Id="rId33" Type="http://schemas.openxmlformats.org/officeDocument/2006/relationships/image" Target="media/image13.wmf"/><Relationship Id="rId38" Type="http://schemas.openxmlformats.org/officeDocument/2006/relationships/oleObject" Target="embeddings/oleObject15.bin"/><Relationship Id="rId46"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oleObject" Target="embeddings/oleObject4.bin"/><Relationship Id="rId20" Type="http://schemas.openxmlformats.org/officeDocument/2006/relationships/oleObject" Target="embeddings/oleObject6.bin"/><Relationship Id="rId29" Type="http://schemas.openxmlformats.org/officeDocument/2006/relationships/image" Target="media/image11.wmf"/><Relationship Id="rId41" Type="http://schemas.openxmlformats.org/officeDocument/2006/relationships/image" Target="media/image17.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wmf"/><Relationship Id="rId24" Type="http://schemas.openxmlformats.org/officeDocument/2006/relationships/oleObject" Target="embeddings/oleObject8.bin"/><Relationship Id="rId32" Type="http://schemas.openxmlformats.org/officeDocument/2006/relationships/oleObject" Target="embeddings/oleObject12.bin"/><Relationship Id="rId37" Type="http://schemas.openxmlformats.org/officeDocument/2006/relationships/image" Target="media/image15.wmf"/><Relationship Id="rId40" Type="http://schemas.openxmlformats.org/officeDocument/2006/relationships/oleObject" Target="embeddings/oleObject16.bin"/><Relationship Id="rId45"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image" Target="media/image4.wmf"/><Relationship Id="rId23" Type="http://schemas.openxmlformats.org/officeDocument/2006/relationships/image" Target="media/image8.wmf"/><Relationship Id="rId28" Type="http://schemas.openxmlformats.org/officeDocument/2006/relationships/oleObject" Target="embeddings/oleObject10.bin"/><Relationship Id="rId36" Type="http://schemas.openxmlformats.org/officeDocument/2006/relationships/oleObject" Target="embeddings/oleObject14.bin"/><Relationship Id="rId49" Type="http://schemas.openxmlformats.org/officeDocument/2006/relationships/footer" Target="footer3.xml"/><Relationship Id="rId10" Type="http://schemas.openxmlformats.org/officeDocument/2006/relationships/oleObject" Target="embeddings/oleObject1.bin"/><Relationship Id="rId19" Type="http://schemas.openxmlformats.org/officeDocument/2006/relationships/image" Target="media/image6.wmf"/><Relationship Id="rId31" Type="http://schemas.openxmlformats.org/officeDocument/2006/relationships/image" Target="media/image12.wmf"/><Relationship Id="rId44"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oleObject" Target="embeddings/oleObject3.bin"/><Relationship Id="rId22" Type="http://schemas.openxmlformats.org/officeDocument/2006/relationships/oleObject" Target="embeddings/oleObject7.bin"/><Relationship Id="rId27" Type="http://schemas.openxmlformats.org/officeDocument/2006/relationships/image" Target="media/image10.wmf"/><Relationship Id="rId30" Type="http://schemas.openxmlformats.org/officeDocument/2006/relationships/oleObject" Target="embeddings/oleObject11.bin"/><Relationship Id="rId35" Type="http://schemas.openxmlformats.org/officeDocument/2006/relationships/image" Target="media/image14.wmf"/><Relationship Id="rId43" Type="http://schemas.openxmlformats.org/officeDocument/2006/relationships/image" Target="media/image19.png"/><Relationship Id="rId48" Type="http://schemas.openxmlformats.org/officeDocument/2006/relationships/header" Target="header3.xml"/><Relationship Id="rId8" Type="http://schemas.openxmlformats.org/officeDocument/2006/relationships/endnotes" Target="endnotes.xml"/><Relationship Id="rId51"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isl xmlns:xsi="http://www.w3.org/2001/XMLSchema-instance" xmlns:xsd="http://www.w3.org/2001/XMLSchema" xmlns="http://www.boldonjames.com/2008/01/sie/internal/label" sislVersion="0" policy="a10f9ac0-5937-4b4f-b459-96aedd9ed2c5">
  <element uid="id_classification_euconfidential" value=""/>
  <element uid="cefbaa69-3bfa-4b56-8d22-6839cb7b06d0" value=""/>
</sisl>
</file>

<file path=customXml/item2.xml><?xml version="1.0" encoding="utf-8"?>
<b:Sources xmlns:b="http://schemas.openxmlformats.org/officeDocument/2006/bibliography" xmlns="http://schemas.openxmlformats.org/officeDocument/2006/bibliography" SelectedStyle="\MLASeventhEditionOfficeOnline.xsl" StyleName="MLA Seventh Edition"/>
</file>

<file path=customXml/itemProps1.xml><?xml version="1.0" encoding="utf-8"?>
<ds:datastoreItem xmlns:ds="http://schemas.openxmlformats.org/officeDocument/2006/customXml" ds:itemID="{4986EAF9-9F8A-41C5-9A5D-7EC3C96DA14C}">
  <ds:schemaRefs>
    <ds:schemaRef ds:uri="http://www.w3.org/2001/XMLSchema"/>
    <ds:schemaRef ds:uri="http://www.boldonjames.com/2008/01/sie/internal/label"/>
  </ds:schemaRefs>
</ds:datastoreItem>
</file>

<file path=customXml/itemProps2.xml><?xml version="1.0" encoding="utf-8"?>
<ds:datastoreItem xmlns:ds="http://schemas.openxmlformats.org/officeDocument/2006/customXml" ds:itemID="{D127578D-0815-4EA9-BF3E-8AB69E9AAA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29</Pages>
  <Words>14950</Words>
  <Characters>85217</Characters>
  <Application>Microsoft Office Word</Application>
  <DocSecurity>0</DocSecurity>
  <Lines>710</Lines>
  <Paragraphs>199</Paragraphs>
  <ScaleCrop>false</ScaleCrop>
  <Company/>
  <LinksUpToDate>false</LinksUpToDate>
  <CharactersWithSpaces>99968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2018-02-21T22:01:00Z</dcterms:created>
  <dcterms:modified xsi:type="dcterms:W3CDTF">2018-02-21T22:01:00Z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2dbf0e14-04a7-40b4-919f-d45f9ddfb139</vt:lpwstr>
  </property>
  <property fmtid="{D5CDD505-2E9C-101B-9397-08002B2CF9AE}" pid="3" name="bjDocumentLabelXML">
    <vt:lpwstr>&lt;?xml version="1.0" encoding="us-ascii"?&gt;&lt;sisl xmlns:xsi="http://www.w3.org/2001/XMLSchema-instance" xmlns:xsd="http://www.w3.org/2001/XMLSchema" sislVersion="0" policy="a10f9ac0-5937-4b4f-b459-96aedd9ed2c5" xmlns="http://www.boldonjames.com/2008/01/sie/i</vt:lpwstr>
  </property>
  <property fmtid="{D5CDD505-2E9C-101B-9397-08002B2CF9AE}" pid="4" name="bjDocumentLabelXML-0">
    <vt:lpwstr>nternal/label"&gt;&lt;element uid="id_classification_euconfidential" value="" /&gt;&lt;element uid="cefbaa69-3bfa-4b56-8d22-6839cb7b06d0" value="" /&gt;&lt;/sisl&gt;</vt:lpwstr>
  </property>
  <property fmtid="{D5CDD505-2E9C-101B-9397-08002B2CF9AE}" pid="5" name="bjDocumentSecurityLabel">
    <vt:lpwstr>Proprietary</vt:lpwstr>
  </property>
  <property fmtid="{D5CDD505-2E9C-101B-9397-08002B2CF9AE}" pid="6" name="MerckMetadataExchange">
    <vt:lpwstr>!$MRK@Proprietary-Footer-Left</vt:lpwstr>
  </property>
</Properties>
</file>