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EA5" w:rsidRPr="007F48E8" w:rsidRDefault="00DD4EF6" w:rsidP="007F48E8">
      <w:pPr>
        <w:spacing w:after="0"/>
        <w:rPr>
          <w:rFonts w:cs="Arial"/>
          <w:b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>Additional file 1</w:t>
      </w:r>
      <w:r w:rsidR="001B3A63" w:rsidRPr="007F48E8">
        <w:rPr>
          <w:rFonts w:cs="Arial"/>
          <w:b/>
          <w:sz w:val="24"/>
          <w:szCs w:val="24"/>
        </w:rPr>
        <w:t xml:space="preserve"> </w:t>
      </w:r>
      <w:r w:rsidR="007A6EA5" w:rsidRPr="007F48E8">
        <w:rPr>
          <w:rFonts w:cs="Arial"/>
          <w:b/>
          <w:sz w:val="24"/>
          <w:szCs w:val="24"/>
        </w:rPr>
        <w:t>– search strategies.</w:t>
      </w:r>
      <w:proofErr w:type="gramEnd"/>
    </w:p>
    <w:p w:rsidR="007F48E8" w:rsidRPr="007F48E8" w:rsidRDefault="00232A8E" w:rsidP="007F48E8">
      <w:pPr>
        <w:spacing w:after="0"/>
        <w:rPr>
          <w:rFonts w:cs="Arial"/>
          <w:sz w:val="24"/>
          <w:szCs w:val="24"/>
        </w:rPr>
      </w:pPr>
      <w:r w:rsidRPr="007F48E8">
        <w:rPr>
          <w:rFonts w:cs="Arial"/>
          <w:sz w:val="24"/>
          <w:szCs w:val="24"/>
        </w:rPr>
        <w:t xml:space="preserve">Database searches were carried out in </w:t>
      </w:r>
      <w:r w:rsidR="00A01B79" w:rsidRPr="007F48E8">
        <w:rPr>
          <w:rFonts w:cs="Arial"/>
          <w:sz w:val="24"/>
          <w:szCs w:val="24"/>
        </w:rPr>
        <w:t>Medline</w:t>
      </w:r>
      <w:r w:rsidR="007F48E8" w:rsidRPr="007F48E8">
        <w:rPr>
          <w:rFonts w:cs="Arial"/>
          <w:sz w:val="24"/>
          <w:szCs w:val="24"/>
          <w:vertAlign w:val="superscript"/>
        </w:rPr>
        <w:t>®</w:t>
      </w:r>
      <w:r w:rsidR="00A01B79" w:rsidRPr="007F48E8">
        <w:rPr>
          <w:rFonts w:cs="Arial"/>
          <w:sz w:val="24"/>
          <w:szCs w:val="24"/>
        </w:rPr>
        <w:t xml:space="preserve"> and Embase</w:t>
      </w:r>
      <w:r w:rsidR="007F48E8" w:rsidRPr="007F48E8">
        <w:rPr>
          <w:rFonts w:cs="Arial"/>
          <w:sz w:val="24"/>
          <w:szCs w:val="24"/>
          <w:vertAlign w:val="superscript"/>
        </w:rPr>
        <w:t>®</w:t>
      </w:r>
      <w:r w:rsidR="00A01B79" w:rsidRPr="007F48E8">
        <w:rPr>
          <w:rFonts w:cs="Arial"/>
          <w:sz w:val="24"/>
          <w:szCs w:val="24"/>
        </w:rPr>
        <w:t xml:space="preserve"> using </w:t>
      </w:r>
      <w:r w:rsidRPr="007F48E8">
        <w:rPr>
          <w:rFonts w:cs="Arial"/>
          <w:sz w:val="24"/>
          <w:szCs w:val="24"/>
        </w:rPr>
        <w:t>PubMed</w:t>
      </w:r>
      <w:r w:rsidR="007F48E8" w:rsidRPr="007F48E8">
        <w:rPr>
          <w:rFonts w:cs="Arial"/>
          <w:sz w:val="24"/>
          <w:szCs w:val="24"/>
          <w:vertAlign w:val="superscript"/>
        </w:rPr>
        <w:t>®</w:t>
      </w:r>
      <w:r w:rsidRPr="007F48E8">
        <w:rPr>
          <w:rFonts w:cs="Arial"/>
          <w:sz w:val="24"/>
          <w:szCs w:val="24"/>
        </w:rPr>
        <w:t xml:space="preserve"> and ProQuest</w:t>
      </w:r>
      <w:r w:rsidR="00A01B79" w:rsidRPr="007F48E8">
        <w:rPr>
          <w:rFonts w:cs="Arial"/>
          <w:sz w:val="24"/>
          <w:szCs w:val="24"/>
        </w:rPr>
        <w:t xml:space="preserve"> Dialog</w:t>
      </w:r>
      <w:r w:rsidR="007F48E8" w:rsidRPr="007F48E8">
        <w:rPr>
          <w:rFonts w:cs="Arial"/>
          <w:sz w:val="24"/>
          <w:szCs w:val="24"/>
        </w:rPr>
        <w:t>™ search tools,</w:t>
      </w:r>
      <w:r w:rsidR="00A01B79" w:rsidRPr="007F48E8">
        <w:rPr>
          <w:rFonts w:cs="Arial"/>
          <w:sz w:val="24"/>
          <w:szCs w:val="24"/>
        </w:rPr>
        <w:t xml:space="preserve"> respectively</w:t>
      </w:r>
      <w:r w:rsidR="007F48E8" w:rsidRPr="007F48E8">
        <w:rPr>
          <w:rFonts w:cs="Arial"/>
          <w:sz w:val="24"/>
          <w:szCs w:val="24"/>
        </w:rPr>
        <w:t>.</w:t>
      </w:r>
    </w:p>
    <w:p w:rsidR="007F48E8" w:rsidRPr="007F48E8" w:rsidRDefault="007F48E8" w:rsidP="007F48E8">
      <w:pPr>
        <w:spacing w:after="0"/>
        <w:rPr>
          <w:rFonts w:cs="Arial"/>
          <w:sz w:val="24"/>
          <w:szCs w:val="24"/>
        </w:rPr>
      </w:pPr>
    </w:p>
    <w:p w:rsidR="00232A8E" w:rsidRPr="007F48E8" w:rsidRDefault="00A01B79" w:rsidP="007F48E8">
      <w:pPr>
        <w:spacing w:after="0"/>
        <w:rPr>
          <w:rFonts w:cs="Arial"/>
          <w:sz w:val="24"/>
          <w:szCs w:val="24"/>
        </w:rPr>
      </w:pPr>
      <w:r w:rsidRPr="007F48E8">
        <w:rPr>
          <w:rFonts w:cs="Arial"/>
          <w:sz w:val="24"/>
          <w:szCs w:val="24"/>
        </w:rPr>
        <w:t>Search terms used in Pub</w:t>
      </w:r>
      <w:r w:rsidR="007F48E8" w:rsidRPr="007F48E8">
        <w:rPr>
          <w:rFonts w:cs="Arial"/>
          <w:sz w:val="24"/>
          <w:szCs w:val="24"/>
        </w:rPr>
        <w:t>M</w:t>
      </w:r>
      <w:r w:rsidRPr="007F48E8">
        <w:rPr>
          <w:rFonts w:cs="Arial"/>
          <w:sz w:val="24"/>
          <w:szCs w:val="24"/>
        </w:rPr>
        <w:t>ed</w:t>
      </w:r>
      <w:r w:rsidR="007F48E8" w:rsidRPr="007F48E8">
        <w:rPr>
          <w:rFonts w:cs="Arial"/>
          <w:sz w:val="24"/>
          <w:szCs w:val="24"/>
          <w:vertAlign w:val="superscript"/>
        </w:rPr>
        <w:t>®</w:t>
      </w:r>
      <w:r w:rsidR="00232A8E" w:rsidRPr="007F48E8">
        <w:rPr>
          <w:rFonts w:cs="Arial"/>
          <w:sz w:val="24"/>
          <w:szCs w:val="24"/>
        </w:rPr>
        <w:t xml:space="preserve"> were</w:t>
      </w:r>
      <w:r w:rsidR="007F48E8" w:rsidRPr="007F48E8">
        <w:rPr>
          <w:rFonts w:cs="Arial"/>
          <w:sz w:val="24"/>
          <w:szCs w:val="24"/>
        </w:rPr>
        <w:t>:</w:t>
      </w:r>
      <w:r w:rsidR="00232A8E" w:rsidRPr="007F48E8">
        <w:rPr>
          <w:rFonts w:cs="Arial"/>
          <w:sz w:val="24"/>
          <w:szCs w:val="24"/>
        </w:rPr>
        <w:t xml:space="preserve"> </w:t>
      </w:r>
      <w:r w:rsidR="001E0AE1" w:rsidRPr="007F48E8">
        <w:rPr>
          <w:rFonts w:cs="Arial"/>
          <w:sz w:val="24"/>
          <w:szCs w:val="24"/>
        </w:rPr>
        <w:t>Atypical Mycobacterium Infections; Atypical Mycobacterium Infection; Battey Bacillus; Disseminated Atypical Mycobacteriosis; death; deaths; death rate; death rates; Disseminated Atypical Mycobacterioses; Disseminated Atypical Mycobacteriosis; Familial Atypical Mycobacterioses; Familial Atypical Mycobacteriosis; Familial Disseminated Atypical Mycobacteriosis; Familial Disseminated Atypical Mycobacterioses; fatality; fatal outcome; fatal outcomes; Mycobacterium avium Complex; MAIC; mortality; mortalities; Mycobacterium avium</w:t>
      </w:r>
      <w:r w:rsidR="00FE0CF7">
        <w:rPr>
          <w:rFonts w:cs="Arial"/>
          <w:sz w:val="24"/>
          <w:szCs w:val="24"/>
        </w:rPr>
        <w:noBreakHyphen/>
      </w:r>
      <w:r w:rsidR="001E0AE1" w:rsidRPr="007F48E8">
        <w:rPr>
          <w:rFonts w:cs="Arial"/>
          <w:sz w:val="24"/>
          <w:szCs w:val="24"/>
        </w:rPr>
        <w:t>intracellulare Complex; Mycobacterium avium-intracellulare; Mycobacterium intracellulare; Mycobacterium avium-intracellulare Infection; Mycobacterium avium</w:t>
      </w:r>
      <w:r w:rsidR="00FE0CF7">
        <w:rPr>
          <w:rFonts w:cs="Arial"/>
          <w:sz w:val="24"/>
          <w:szCs w:val="24"/>
        </w:rPr>
        <w:noBreakHyphen/>
      </w:r>
      <w:r w:rsidR="001E0AE1" w:rsidRPr="007F48E8">
        <w:rPr>
          <w:rFonts w:cs="Arial"/>
          <w:sz w:val="24"/>
          <w:szCs w:val="24"/>
        </w:rPr>
        <w:t xml:space="preserve">intracellulare Infection; Mycobacterium avium-intracellulare Infections; Mycobacterium avium intracellulare Infection; Mycobacterium avium intracellulare Infections; Mycobacterium Avium Complex lung disease; Mycobacterium infections; Mycobacterium intracellulare; Nontuberculous; nontuberculous mycobacterial; Nontuberculous Mycobacterium Infection; Nontuberculous Mycobacterium Infections; Non-tuberculous Mycobacterium Infection; Non-tuberculous Mycobacterium Infections; survival; survival analysis; survival rate; survival rates; survivorship. </w:t>
      </w:r>
      <w:r w:rsidR="00232A8E" w:rsidRPr="007F48E8">
        <w:rPr>
          <w:rFonts w:cs="Arial"/>
          <w:sz w:val="24"/>
          <w:szCs w:val="24"/>
        </w:rPr>
        <w:t>These searches were combined and any case reports excluded.</w:t>
      </w:r>
    </w:p>
    <w:p w:rsidR="007F48E8" w:rsidRPr="007F48E8" w:rsidRDefault="007F48E8" w:rsidP="007F48E8">
      <w:pPr>
        <w:spacing w:after="0"/>
        <w:rPr>
          <w:rFonts w:cs="Arial"/>
          <w:sz w:val="24"/>
          <w:szCs w:val="24"/>
        </w:rPr>
      </w:pPr>
    </w:p>
    <w:p w:rsidR="00232A8E" w:rsidRDefault="00232A8E" w:rsidP="007F48E8">
      <w:pPr>
        <w:spacing w:after="0"/>
        <w:rPr>
          <w:rFonts w:cs="Arial"/>
          <w:sz w:val="24"/>
          <w:szCs w:val="24"/>
        </w:rPr>
      </w:pPr>
      <w:r w:rsidRPr="007F48E8">
        <w:rPr>
          <w:rFonts w:cs="Arial"/>
          <w:sz w:val="24"/>
          <w:szCs w:val="24"/>
        </w:rPr>
        <w:t xml:space="preserve">The </w:t>
      </w:r>
      <w:r w:rsidR="00A01B79" w:rsidRPr="007F48E8">
        <w:rPr>
          <w:rFonts w:cs="Arial"/>
          <w:sz w:val="24"/>
          <w:szCs w:val="24"/>
        </w:rPr>
        <w:t>Embase</w:t>
      </w:r>
      <w:r w:rsidR="007F48E8" w:rsidRPr="007F48E8">
        <w:rPr>
          <w:rFonts w:cs="Arial"/>
          <w:sz w:val="24"/>
          <w:szCs w:val="24"/>
          <w:vertAlign w:val="superscript"/>
        </w:rPr>
        <w:t>®</w:t>
      </w:r>
      <w:r w:rsidRPr="007F48E8">
        <w:rPr>
          <w:rFonts w:cs="Arial"/>
          <w:sz w:val="24"/>
          <w:szCs w:val="24"/>
        </w:rPr>
        <w:t xml:space="preserve"> search used the following terms: </w:t>
      </w:r>
      <w:r w:rsidR="00EE228D" w:rsidRPr="007F48E8">
        <w:rPr>
          <w:rFonts w:cs="Arial"/>
          <w:sz w:val="24"/>
          <w:szCs w:val="24"/>
        </w:rPr>
        <w:t xml:space="preserve">Atypical Mycobacterium Infection; Atypical Mycobacterium Infections; Battey Bacillus; death; deaths; death rate; death rates; Disseminated Atypical Mycobacterioses; Disseminated Atypical </w:t>
      </w:r>
      <w:r w:rsidR="00EE228D" w:rsidRPr="007F48E8">
        <w:rPr>
          <w:rFonts w:cs="Arial"/>
          <w:sz w:val="24"/>
          <w:szCs w:val="24"/>
        </w:rPr>
        <w:lastRenderedPageBreak/>
        <w:t>Mycobacteriosis; Familial Atypical Mycobacterioses; Familial Atypical Mycobacteriosis; fatality; fatalities; fatality rate; fatality rates; fatal outcome, fatal outcomes; mortality; mortalities; M avium-intracellulare; MAIC; Mycobacterium avium complex; Mycobacterium Avium Complex lung disease; Mycobacterium avium</w:t>
      </w:r>
      <w:r w:rsidR="00FE0CF7">
        <w:rPr>
          <w:rFonts w:cs="Arial"/>
          <w:sz w:val="24"/>
          <w:szCs w:val="24"/>
        </w:rPr>
        <w:noBreakHyphen/>
      </w:r>
      <w:r w:rsidR="00EE228D" w:rsidRPr="007F48E8">
        <w:rPr>
          <w:rFonts w:cs="Arial"/>
          <w:sz w:val="24"/>
          <w:szCs w:val="24"/>
        </w:rPr>
        <w:t>intracellulare Complex; Mycobacterium avium intracellulare Infection; Mycobacterium avium-intracellulare Infection; Mycobacterium avium-intracellulare; Mycobacterium infections; Mycobacterium avium-intracellulare Infections; Mycobacterium intracellulare; Nontuberculous; Nontuberculous mycobacteria; nontuberculous mycobacterial; Nontuberculous Mycobacterium infection; Nontuberculous Mycobacterium infections; Non-tuberculous mycobacterium infection; Non</w:t>
      </w:r>
      <w:r w:rsidR="00EE228D" w:rsidRPr="007F48E8">
        <w:rPr>
          <w:rFonts w:cs="Arial"/>
          <w:sz w:val="24"/>
          <w:szCs w:val="24"/>
        </w:rPr>
        <w:noBreakHyphen/>
        <w:t xml:space="preserve">tuberculous mycobacterium infection; survival; survival analysis; survival rate; survival rates; survival time; survivorship. </w:t>
      </w:r>
      <w:r w:rsidRPr="007F48E8">
        <w:rPr>
          <w:rFonts w:cs="Arial"/>
          <w:sz w:val="24"/>
          <w:szCs w:val="24"/>
        </w:rPr>
        <w:t>The</w:t>
      </w:r>
      <w:r w:rsidR="00EE228D" w:rsidRPr="007F48E8">
        <w:rPr>
          <w:rFonts w:cs="Arial"/>
          <w:sz w:val="24"/>
          <w:szCs w:val="24"/>
        </w:rPr>
        <w:t>se</w:t>
      </w:r>
      <w:r w:rsidRPr="007F48E8">
        <w:rPr>
          <w:rFonts w:cs="Arial"/>
          <w:sz w:val="24"/>
          <w:szCs w:val="24"/>
        </w:rPr>
        <w:t xml:space="preserve"> </w:t>
      </w:r>
      <w:r w:rsidR="00A01B79" w:rsidRPr="007F48E8">
        <w:rPr>
          <w:rFonts w:cs="Arial"/>
          <w:sz w:val="24"/>
          <w:szCs w:val="24"/>
        </w:rPr>
        <w:t>search terms were combined, and case</w:t>
      </w:r>
      <w:r w:rsidRPr="007F48E8">
        <w:rPr>
          <w:rFonts w:cs="Arial"/>
          <w:sz w:val="24"/>
          <w:szCs w:val="24"/>
        </w:rPr>
        <w:t xml:space="preserve"> studies and animal studies were excluded. Excluded document types were conference abstracts, newspaper articles, notes, congresses, news, biography, conference reviews, errata and lectures.</w:t>
      </w:r>
    </w:p>
    <w:p w:rsidR="00590404" w:rsidRDefault="0058118C">
      <w:pPr>
        <w:spacing w:line="259" w:lineRule="auto"/>
        <w:rPr>
          <w:rFonts w:cs="Arial"/>
          <w:sz w:val="24"/>
          <w:szCs w:val="24"/>
        </w:rPr>
        <w:sectPr w:rsidR="00590404" w:rsidSect="00590404">
          <w:headerReference w:type="default" r:id="rId8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>
        <w:rPr>
          <w:rFonts w:cs="Arial"/>
          <w:sz w:val="24"/>
          <w:szCs w:val="24"/>
        </w:rPr>
        <w:br w:type="page"/>
      </w:r>
    </w:p>
    <w:p w:rsidR="0058118C" w:rsidRPr="007F48E8" w:rsidRDefault="0058118C" w:rsidP="007F48E8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Table </w:t>
      </w:r>
      <w:r w:rsidR="00DD4EF6">
        <w:rPr>
          <w:rFonts w:cs="Arial"/>
          <w:sz w:val="24"/>
          <w:szCs w:val="24"/>
        </w:rPr>
        <w:t>S</w:t>
      </w:r>
      <w:bookmarkStart w:id="0" w:name="_GoBack"/>
      <w:bookmarkEnd w:id="0"/>
      <w:r>
        <w:rPr>
          <w:rFonts w:cs="Arial"/>
          <w:sz w:val="24"/>
          <w:szCs w:val="24"/>
        </w:rPr>
        <w:t xml:space="preserve">1: </w:t>
      </w:r>
      <w:r w:rsidR="00233BCC">
        <w:rPr>
          <w:rFonts w:cs="Arial"/>
          <w:sz w:val="24"/>
          <w:szCs w:val="24"/>
        </w:rPr>
        <w:t>Summary of five-year mortality in studies by region</w:t>
      </w:r>
    </w:p>
    <w:tbl>
      <w:tblPr>
        <w:tblStyle w:val="TableGrid"/>
        <w:tblW w:w="1307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65"/>
        <w:gridCol w:w="3883"/>
        <w:gridCol w:w="1927"/>
        <w:gridCol w:w="1927"/>
        <w:gridCol w:w="1927"/>
      </w:tblGrid>
      <w:tr w:rsidR="00590404" w:rsidTr="00590404"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:rsidR="00590404" w:rsidRPr="0058118C" w:rsidRDefault="00590404" w:rsidP="007F48E8">
            <w:pPr>
              <w:rPr>
                <w:rFonts w:cs="Arial"/>
                <w:b/>
                <w:sz w:val="24"/>
                <w:szCs w:val="24"/>
              </w:rPr>
            </w:pPr>
            <w:r w:rsidRPr="0058118C">
              <w:rPr>
                <w:rFonts w:cs="Arial"/>
                <w:b/>
                <w:sz w:val="24"/>
                <w:szCs w:val="24"/>
              </w:rPr>
              <w:t>Region</w:t>
            </w:r>
          </w:p>
        </w:tc>
        <w:tc>
          <w:tcPr>
            <w:tcW w:w="1565" w:type="dxa"/>
            <w:tcBorders>
              <w:top w:val="single" w:sz="8" w:space="0" w:color="auto"/>
              <w:bottom w:val="single" w:sz="8" w:space="0" w:color="auto"/>
            </w:tcBorders>
          </w:tcPr>
          <w:p w:rsidR="00590404" w:rsidRPr="0058118C" w:rsidRDefault="00590404" w:rsidP="0058118C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Number of </w:t>
            </w:r>
            <w:r>
              <w:rPr>
                <w:rFonts w:cs="Arial"/>
                <w:b/>
                <w:sz w:val="24"/>
                <w:szCs w:val="24"/>
              </w:rPr>
              <w:br/>
              <w:t>data sets</w:t>
            </w:r>
          </w:p>
        </w:tc>
        <w:tc>
          <w:tcPr>
            <w:tcW w:w="3883" w:type="dxa"/>
            <w:tcBorders>
              <w:top w:val="single" w:sz="8" w:space="0" w:color="auto"/>
              <w:bottom w:val="single" w:sz="8" w:space="0" w:color="auto"/>
            </w:tcBorders>
          </w:tcPr>
          <w:p w:rsidR="00590404" w:rsidRPr="0058118C" w:rsidRDefault="00590404" w:rsidP="0058118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8118C">
              <w:rPr>
                <w:rFonts w:cs="Arial"/>
                <w:b/>
                <w:sz w:val="24"/>
                <w:szCs w:val="24"/>
              </w:rPr>
              <w:t>Mean five-year mortality (%) (95% CI)</w:t>
            </w:r>
          </w:p>
        </w:tc>
        <w:tc>
          <w:tcPr>
            <w:tcW w:w="1927" w:type="dxa"/>
            <w:tcBorders>
              <w:top w:val="single" w:sz="8" w:space="0" w:color="auto"/>
              <w:bottom w:val="single" w:sz="8" w:space="0" w:color="auto"/>
            </w:tcBorders>
          </w:tcPr>
          <w:p w:rsidR="00590404" w:rsidRPr="0058118C" w:rsidRDefault="00590404" w:rsidP="0058118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8118C">
              <w:rPr>
                <w:rFonts w:cs="Arial"/>
                <w:b/>
                <w:sz w:val="24"/>
                <w:szCs w:val="24"/>
              </w:rPr>
              <w:t>I</w:t>
            </w:r>
            <w:r w:rsidRPr="0058118C">
              <w:rPr>
                <w:rFonts w:cs="Arial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27" w:type="dxa"/>
            <w:tcBorders>
              <w:top w:val="single" w:sz="8" w:space="0" w:color="auto"/>
              <w:bottom w:val="single" w:sz="8" w:space="0" w:color="auto"/>
            </w:tcBorders>
          </w:tcPr>
          <w:p w:rsidR="00590404" w:rsidRPr="0058118C" w:rsidRDefault="00590404" w:rsidP="00233BC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8118C">
              <w:rPr>
                <w:rFonts w:cs="Arial"/>
                <w:b/>
                <w:sz w:val="24"/>
                <w:szCs w:val="24"/>
              </w:rPr>
              <w:t>Q</w:t>
            </w:r>
            <w:r>
              <w:rPr>
                <w:rFonts w:cs="Arial"/>
                <w:b/>
                <w:sz w:val="24"/>
                <w:szCs w:val="24"/>
              </w:rPr>
              <w:t>-</w:t>
            </w:r>
            <w:r w:rsidRPr="0058118C">
              <w:rPr>
                <w:rFonts w:cs="Arial"/>
                <w:b/>
                <w:sz w:val="24"/>
                <w:szCs w:val="24"/>
              </w:rPr>
              <w:t>statistic</w:t>
            </w:r>
          </w:p>
        </w:tc>
        <w:tc>
          <w:tcPr>
            <w:tcW w:w="1927" w:type="dxa"/>
            <w:tcBorders>
              <w:top w:val="single" w:sz="8" w:space="0" w:color="auto"/>
              <w:bottom w:val="single" w:sz="8" w:space="0" w:color="auto"/>
            </w:tcBorders>
          </w:tcPr>
          <w:p w:rsidR="00590404" w:rsidRPr="0058118C" w:rsidRDefault="00590404" w:rsidP="0058118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8118C">
              <w:rPr>
                <w:rFonts w:cs="Arial"/>
                <w:b/>
                <w:sz w:val="24"/>
                <w:szCs w:val="24"/>
              </w:rPr>
              <w:t>Degrees of freedom</w:t>
            </w:r>
          </w:p>
        </w:tc>
      </w:tr>
      <w:tr w:rsidR="00590404" w:rsidTr="00590404">
        <w:tc>
          <w:tcPr>
            <w:tcW w:w="1843" w:type="dxa"/>
            <w:tcBorders>
              <w:top w:val="single" w:sz="8" w:space="0" w:color="auto"/>
            </w:tcBorders>
          </w:tcPr>
          <w:p w:rsidR="00590404" w:rsidRDefault="00590404" w:rsidP="007F48E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Europe</w:t>
            </w:r>
          </w:p>
        </w:tc>
        <w:tc>
          <w:tcPr>
            <w:tcW w:w="1565" w:type="dxa"/>
            <w:tcBorders>
              <w:top w:val="single" w:sz="8" w:space="0" w:color="auto"/>
            </w:tcBorders>
          </w:tcPr>
          <w:p w:rsidR="00590404" w:rsidRDefault="00590404" w:rsidP="00C506F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3883" w:type="dxa"/>
            <w:tcBorders>
              <w:top w:val="single" w:sz="8" w:space="0" w:color="auto"/>
            </w:tcBorders>
          </w:tcPr>
          <w:p w:rsidR="00590404" w:rsidRDefault="00590404" w:rsidP="0059040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35% (27–43%)</w:t>
            </w:r>
          </w:p>
        </w:tc>
        <w:tc>
          <w:tcPr>
            <w:tcW w:w="1927" w:type="dxa"/>
            <w:tcBorders>
              <w:top w:val="single" w:sz="8" w:space="0" w:color="auto"/>
            </w:tcBorders>
          </w:tcPr>
          <w:p w:rsidR="00590404" w:rsidRDefault="00590404" w:rsidP="0059040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62%</w:t>
            </w:r>
          </w:p>
        </w:tc>
        <w:tc>
          <w:tcPr>
            <w:tcW w:w="1927" w:type="dxa"/>
            <w:tcBorders>
              <w:top w:val="single" w:sz="8" w:space="0" w:color="auto"/>
            </w:tcBorders>
          </w:tcPr>
          <w:p w:rsidR="00590404" w:rsidRDefault="00590404" w:rsidP="0059040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10.55</w:t>
            </w:r>
          </w:p>
        </w:tc>
        <w:tc>
          <w:tcPr>
            <w:tcW w:w="1927" w:type="dxa"/>
            <w:tcBorders>
              <w:top w:val="single" w:sz="8" w:space="0" w:color="auto"/>
            </w:tcBorders>
          </w:tcPr>
          <w:p w:rsidR="00590404" w:rsidRDefault="00590404" w:rsidP="003736A5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</w:tr>
      <w:tr w:rsidR="00590404" w:rsidTr="00590404">
        <w:tc>
          <w:tcPr>
            <w:tcW w:w="1843" w:type="dxa"/>
          </w:tcPr>
          <w:p w:rsidR="00590404" w:rsidRDefault="00590404" w:rsidP="007F48E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North America</w:t>
            </w:r>
          </w:p>
        </w:tc>
        <w:tc>
          <w:tcPr>
            <w:tcW w:w="1565" w:type="dxa"/>
          </w:tcPr>
          <w:p w:rsidR="00590404" w:rsidRDefault="00590404" w:rsidP="00C506F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3883" w:type="dxa"/>
          </w:tcPr>
          <w:p w:rsidR="00590404" w:rsidRDefault="00590404" w:rsidP="0059040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33% (32–35%)</w:t>
            </w:r>
          </w:p>
        </w:tc>
        <w:tc>
          <w:tcPr>
            <w:tcW w:w="1927" w:type="dxa"/>
          </w:tcPr>
          <w:p w:rsidR="00590404" w:rsidRDefault="00590404" w:rsidP="0059040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0%</w:t>
            </w:r>
          </w:p>
        </w:tc>
        <w:tc>
          <w:tcPr>
            <w:tcW w:w="1927" w:type="dxa"/>
          </w:tcPr>
          <w:p w:rsidR="00590404" w:rsidRDefault="00590404" w:rsidP="0059040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0.98</w:t>
            </w:r>
          </w:p>
        </w:tc>
        <w:tc>
          <w:tcPr>
            <w:tcW w:w="1927" w:type="dxa"/>
          </w:tcPr>
          <w:p w:rsidR="00590404" w:rsidRDefault="00590404" w:rsidP="003736A5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</w:tr>
      <w:tr w:rsidR="00590404" w:rsidTr="00590404">
        <w:tc>
          <w:tcPr>
            <w:tcW w:w="1843" w:type="dxa"/>
            <w:tcBorders>
              <w:bottom w:val="single" w:sz="4" w:space="0" w:color="auto"/>
            </w:tcBorders>
          </w:tcPr>
          <w:p w:rsidR="00590404" w:rsidRDefault="00590404" w:rsidP="007F48E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Asia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590404" w:rsidRDefault="00590404" w:rsidP="00C506F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590404" w:rsidRDefault="00590404" w:rsidP="0059040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19% (14–23%)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590404" w:rsidRDefault="00590404" w:rsidP="0059040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87%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590404" w:rsidRDefault="00590404" w:rsidP="0059040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54.82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590404" w:rsidRDefault="00590404" w:rsidP="003736A5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</w:t>
            </w:r>
          </w:p>
        </w:tc>
      </w:tr>
    </w:tbl>
    <w:p w:rsidR="00A95547" w:rsidRDefault="00A95547" w:rsidP="007F48E8">
      <w:pPr>
        <w:spacing w:after="0"/>
        <w:rPr>
          <w:rFonts w:cs="Arial"/>
          <w:sz w:val="24"/>
          <w:szCs w:val="24"/>
        </w:rPr>
      </w:pPr>
    </w:p>
    <w:p w:rsidR="003143AB" w:rsidRDefault="0058118C" w:rsidP="007F48E8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CI, confidence interval.</w:t>
      </w:r>
    </w:p>
    <w:p w:rsidR="003143AB" w:rsidRDefault="003143AB">
      <w:pPr>
        <w:spacing w:line="259" w:lineRule="auto"/>
        <w:rPr>
          <w:rFonts w:cs="Arial"/>
          <w:sz w:val="24"/>
          <w:szCs w:val="24"/>
        </w:rPr>
      </w:pPr>
    </w:p>
    <w:sectPr w:rsidR="003143AB" w:rsidSect="00590404">
      <w:pgSz w:w="16838" w:h="11906" w:orient="landscape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358" w:rsidRDefault="00A61358" w:rsidP="001B3A63">
      <w:pPr>
        <w:spacing w:after="0" w:line="240" w:lineRule="auto"/>
      </w:pPr>
      <w:r>
        <w:separator/>
      </w:r>
    </w:p>
  </w:endnote>
  <w:endnote w:type="continuationSeparator" w:id="0">
    <w:p w:rsidR="00A61358" w:rsidRDefault="00A61358" w:rsidP="001B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358" w:rsidRDefault="00A61358" w:rsidP="001B3A63">
      <w:pPr>
        <w:spacing w:after="0" w:line="240" w:lineRule="auto"/>
      </w:pPr>
      <w:r>
        <w:separator/>
      </w:r>
    </w:p>
  </w:footnote>
  <w:footnote w:type="continuationSeparator" w:id="0">
    <w:p w:rsidR="00A61358" w:rsidRDefault="00A61358" w:rsidP="001B3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63" w:rsidRPr="0051073F" w:rsidRDefault="008E1219" w:rsidP="001B3A63">
    <w:pPr>
      <w:pStyle w:val="Header"/>
      <w:rPr>
        <w:rFonts w:cs="Arial"/>
        <w:b/>
        <w:szCs w:val="20"/>
      </w:rPr>
    </w:pPr>
    <w:r>
      <w:rPr>
        <w:rFonts w:cs="Arial"/>
        <w:b/>
        <w:szCs w:val="20"/>
      </w:rPr>
      <w:t>High m</w:t>
    </w:r>
    <w:r w:rsidR="001B3A63" w:rsidRPr="0051073F">
      <w:rPr>
        <w:rFonts w:cs="Arial"/>
        <w:b/>
        <w:szCs w:val="20"/>
      </w:rPr>
      <w:t xml:space="preserve">ortality of patients with </w:t>
    </w:r>
    <w:r w:rsidR="001B3A63" w:rsidRPr="0051073F">
      <w:rPr>
        <w:rFonts w:cs="Arial"/>
        <w:b/>
        <w:i/>
        <w:szCs w:val="20"/>
      </w:rPr>
      <w:t>Mycobacterium avium-intracellulare</w:t>
    </w:r>
    <w:r w:rsidR="001B3A63" w:rsidRPr="0051073F">
      <w:rPr>
        <w:rFonts w:cs="Arial"/>
        <w:b/>
        <w:szCs w:val="20"/>
      </w:rPr>
      <w:t xml:space="preserve"> complex lung disease</w:t>
    </w:r>
    <w:r w:rsidR="00590404">
      <w:rPr>
        <w:rFonts w:cs="Arial"/>
        <w:b/>
        <w:szCs w:val="20"/>
      </w:rPr>
      <w:t xml:space="preserve">: </w:t>
    </w:r>
    <w:r w:rsidR="005B1A48">
      <w:rPr>
        <w:rFonts w:cs="Arial"/>
        <w:b/>
        <w:szCs w:val="20"/>
      </w:rPr>
      <w:t xml:space="preserve">a </w:t>
    </w:r>
    <w:r w:rsidR="001B3A63" w:rsidRPr="0051073F">
      <w:rPr>
        <w:rFonts w:cs="Arial"/>
        <w:b/>
        <w:szCs w:val="20"/>
      </w:rPr>
      <w:t xml:space="preserve">systematic review </w:t>
    </w:r>
    <w:r w:rsidR="006254FE">
      <w:rPr>
        <w:rFonts w:cs="Arial"/>
        <w:b/>
        <w:szCs w:val="20"/>
      </w:rPr>
      <w:t xml:space="preserve">16 April </w:t>
    </w:r>
    <w:r w:rsidR="00590404">
      <w:rPr>
        <w:rFonts w:cs="Arial"/>
        <w:b/>
        <w:szCs w:val="20"/>
      </w:rPr>
      <w:t>201</w:t>
    </w:r>
    <w:r w:rsidR="00862A28">
      <w:rPr>
        <w:rFonts w:cs="Arial"/>
        <w:b/>
        <w:szCs w:val="20"/>
      </w:rPr>
      <w:t>8</w:t>
    </w:r>
  </w:p>
  <w:p w:rsidR="001B3A63" w:rsidRPr="0051073F" w:rsidRDefault="001B3A63" w:rsidP="001B3A63">
    <w:pPr>
      <w:pStyle w:val="Header"/>
      <w:rPr>
        <w:szCs w:val="20"/>
      </w:rPr>
    </w:pPr>
    <w:r>
      <w:rPr>
        <w:rFonts w:cs="Arial"/>
        <w:szCs w:val="20"/>
      </w:rPr>
      <w:t>Diel R, Lipman M, Hoefsloot W</w:t>
    </w:r>
  </w:p>
  <w:p w:rsidR="001B3A63" w:rsidRDefault="001B3A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"/>
  </w:docVars>
  <w:rsids>
    <w:rsidRoot w:val="00232A8E"/>
    <w:rsid w:val="000A5CFA"/>
    <w:rsid w:val="000A7A15"/>
    <w:rsid w:val="000B461E"/>
    <w:rsid w:val="000D3434"/>
    <w:rsid w:val="00160E3B"/>
    <w:rsid w:val="001B3A63"/>
    <w:rsid w:val="001E0AE1"/>
    <w:rsid w:val="00202C9F"/>
    <w:rsid w:val="00232A8E"/>
    <w:rsid w:val="00233BCC"/>
    <w:rsid w:val="002F3541"/>
    <w:rsid w:val="003143AB"/>
    <w:rsid w:val="003736A5"/>
    <w:rsid w:val="004329AB"/>
    <w:rsid w:val="0058112C"/>
    <w:rsid w:val="0058118C"/>
    <w:rsid w:val="00590404"/>
    <w:rsid w:val="005A7514"/>
    <w:rsid w:val="005B1A48"/>
    <w:rsid w:val="006254FE"/>
    <w:rsid w:val="006E20BC"/>
    <w:rsid w:val="007071A1"/>
    <w:rsid w:val="0075411E"/>
    <w:rsid w:val="007A6EA5"/>
    <w:rsid w:val="007F48E8"/>
    <w:rsid w:val="008225F9"/>
    <w:rsid w:val="008609FB"/>
    <w:rsid w:val="00862A28"/>
    <w:rsid w:val="008E1219"/>
    <w:rsid w:val="00902962"/>
    <w:rsid w:val="0093364B"/>
    <w:rsid w:val="009A5061"/>
    <w:rsid w:val="00A01B79"/>
    <w:rsid w:val="00A37682"/>
    <w:rsid w:val="00A51684"/>
    <w:rsid w:val="00A61358"/>
    <w:rsid w:val="00A9329F"/>
    <w:rsid w:val="00A95547"/>
    <w:rsid w:val="00B15932"/>
    <w:rsid w:val="00C506FB"/>
    <w:rsid w:val="00CC14D9"/>
    <w:rsid w:val="00CD7FC9"/>
    <w:rsid w:val="00CE4A84"/>
    <w:rsid w:val="00D32363"/>
    <w:rsid w:val="00D57C0A"/>
    <w:rsid w:val="00DD4EF6"/>
    <w:rsid w:val="00EE228D"/>
    <w:rsid w:val="00FC1153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A8E"/>
    <w:pPr>
      <w:spacing w:line="48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3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A63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B3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A63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581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904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A8E"/>
    <w:pPr>
      <w:spacing w:line="48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3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A63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B3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A63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581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90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6B977-CF47-4AE8-9FB6-0EBAAEB23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326</Words>
  <Characters>2828</Characters>
  <Application>Microsoft Office Word</Application>
  <DocSecurity>0</DocSecurity>
  <Lines>72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Healthcare Communications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Lamb</dc:creator>
  <cp:keywords/>
  <dc:description/>
  <cp:lastModifiedBy>GSABORDO</cp:lastModifiedBy>
  <cp:revision>12</cp:revision>
  <cp:lastPrinted>2017-09-20T08:56:00Z</cp:lastPrinted>
  <dcterms:created xsi:type="dcterms:W3CDTF">2017-09-19T16:06:00Z</dcterms:created>
  <dcterms:modified xsi:type="dcterms:W3CDTF">2018-04-28T13:07:00Z</dcterms:modified>
</cp:coreProperties>
</file>