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AC1" w:rsidRPr="00B15D0C" w:rsidRDefault="000A1589" w:rsidP="00B15D0C">
      <w:pPr>
        <w:spacing w:line="480" w:lineRule="auto"/>
        <w:jc w:val="center"/>
        <w:rPr>
          <w:rFonts w:ascii="Times New Roman" w:hAnsi="Times New Roman" w:cs="Times New Roman"/>
          <w:b/>
          <w:sz w:val="28"/>
        </w:rPr>
      </w:pPr>
      <w:r w:rsidRPr="00B15D0C">
        <w:rPr>
          <w:rFonts w:ascii="Times New Roman" w:hAnsi="Times New Roman" w:cs="Times New Roman"/>
          <w:b/>
          <w:sz w:val="28"/>
        </w:rPr>
        <w:t>Supplementary Material</w:t>
      </w:r>
    </w:p>
    <w:p w:rsidR="000A1589" w:rsidRPr="000A1589" w:rsidRDefault="009B490C" w:rsidP="00B15D0C">
      <w:pPr>
        <w:pStyle w:val="Caption"/>
        <w:keepNext/>
        <w:spacing w:after="0" w:line="480" w:lineRule="auto"/>
        <w:rPr>
          <w:rFonts w:ascii="Arial Narrow" w:hAnsi="Arial Narrow" w:cs="Times New Roman"/>
          <w:b/>
          <w:i w:val="0"/>
          <w:color w:val="auto"/>
          <w:sz w:val="24"/>
          <w:szCs w:val="24"/>
        </w:rPr>
      </w:pPr>
      <w:r>
        <w:rPr>
          <w:rFonts w:ascii="Arial Narrow" w:hAnsi="Arial Narrow" w:cs="Times New Roman"/>
          <w:b/>
          <w:i w:val="0"/>
          <w:color w:val="auto"/>
          <w:sz w:val="24"/>
          <w:szCs w:val="24"/>
        </w:rPr>
        <w:t xml:space="preserve">Supplementary </w:t>
      </w:r>
      <w:r w:rsidR="000A1589" w:rsidRPr="000A1589">
        <w:rPr>
          <w:rFonts w:ascii="Arial Narrow" w:hAnsi="Arial Narrow" w:cs="Times New Roman"/>
          <w:b/>
          <w:i w:val="0"/>
          <w:color w:val="auto"/>
          <w:sz w:val="24"/>
          <w:szCs w:val="24"/>
        </w:rPr>
        <w:t xml:space="preserve">Table </w:t>
      </w:r>
      <w:r w:rsidR="000A1589" w:rsidRPr="000A1589">
        <w:rPr>
          <w:rFonts w:ascii="Arial Narrow" w:hAnsi="Arial Narrow" w:cs="Times New Roman"/>
          <w:b/>
          <w:i w:val="0"/>
          <w:color w:val="auto"/>
          <w:sz w:val="24"/>
          <w:szCs w:val="24"/>
        </w:rPr>
        <w:fldChar w:fldCharType="begin"/>
      </w:r>
      <w:r w:rsidR="000A1589" w:rsidRPr="000A1589">
        <w:rPr>
          <w:rFonts w:ascii="Arial Narrow" w:hAnsi="Arial Narrow" w:cs="Times New Roman"/>
          <w:b/>
          <w:i w:val="0"/>
          <w:color w:val="auto"/>
          <w:sz w:val="24"/>
          <w:szCs w:val="24"/>
        </w:rPr>
        <w:instrText xml:space="preserve"> SEQ Table \* ARABIC </w:instrText>
      </w:r>
      <w:r w:rsidR="000A1589" w:rsidRPr="000A1589">
        <w:rPr>
          <w:rFonts w:ascii="Arial Narrow" w:hAnsi="Arial Narrow" w:cs="Times New Roman"/>
          <w:b/>
          <w:i w:val="0"/>
          <w:color w:val="auto"/>
          <w:sz w:val="24"/>
          <w:szCs w:val="24"/>
        </w:rPr>
        <w:fldChar w:fldCharType="separate"/>
      </w:r>
      <w:r w:rsidR="009E7282">
        <w:rPr>
          <w:rFonts w:ascii="Arial Narrow" w:hAnsi="Arial Narrow" w:cs="Times New Roman"/>
          <w:b/>
          <w:i w:val="0"/>
          <w:noProof/>
          <w:color w:val="auto"/>
          <w:sz w:val="24"/>
          <w:szCs w:val="24"/>
        </w:rPr>
        <w:t>1</w:t>
      </w:r>
      <w:r w:rsidR="000A1589" w:rsidRPr="000A1589">
        <w:rPr>
          <w:rFonts w:ascii="Arial Narrow" w:hAnsi="Arial Narrow" w:cs="Times New Roman"/>
          <w:b/>
          <w:i w:val="0"/>
          <w:color w:val="auto"/>
          <w:sz w:val="24"/>
          <w:szCs w:val="24"/>
        </w:rPr>
        <w:fldChar w:fldCharType="end"/>
      </w:r>
      <w:r w:rsidR="000A1589" w:rsidRPr="000A1589">
        <w:rPr>
          <w:rFonts w:ascii="Arial Narrow" w:hAnsi="Arial Narrow" w:cs="Times New Roman"/>
          <w:b/>
          <w:i w:val="0"/>
          <w:color w:val="auto"/>
          <w:sz w:val="24"/>
          <w:szCs w:val="24"/>
        </w:rPr>
        <w:t xml:space="preserve"> Serum LPB concentration according to patient group (µg/ml)</w:t>
      </w:r>
    </w:p>
    <w:tbl>
      <w:tblPr>
        <w:tblStyle w:val="PlainTable2"/>
        <w:tblW w:w="9634" w:type="dxa"/>
        <w:tblLayout w:type="fixed"/>
        <w:tblLook w:val="04A0" w:firstRow="1" w:lastRow="0" w:firstColumn="1" w:lastColumn="0" w:noHBand="0" w:noVBand="1"/>
      </w:tblPr>
      <w:tblGrid>
        <w:gridCol w:w="1812"/>
        <w:gridCol w:w="1789"/>
        <w:gridCol w:w="1789"/>
        <w:gridCol w:w="1789"/>
        <w:gridCol w:w="1790"/>
        <w:gridCol w:w="665"/>
      </w:tblGrid>
      <w:tr w:rsidR="000A1589" w:rsidRPr="002F6951" w:rsidTr="00B15D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noWrap/>
            <w:hideMark/>
          </w:tcPr>
          <w:p w:rsidR="000A1589" w:rsidRPr="002F6951" w:rsidRDefault="000A1589" w:rsidP="00B15D0C">
            <w:pPr>
              <w:pStyle w:val="Tables2"/>
              <w:spacing w:line="480" w:lineRule="auto"/>
              <w:rPr>
                <w:lang w:eastAsia="en-ZA"/>
              </w:rPr>
            </w:pPr>
            <w:r w:rsidRPr="002F6951">
              <w:rPr>
                <w:lang w:eastAsia="en-ZA"/>
              </w:rPr>
              <w:t> </w:t>
            </w:r>
          </w:p>
        </w:tc>
        <w:tc>
          <w:tcPr>
            <w:tcW w:w="1789" w:type="dxa"/>
            <w:noWrap/>
            <w:hideMark/>
          </w:tcPr>
          <w:p w:rsidR="000A1589" w:rsidRPr="002D7D9C" w:rsidRDefault="000A1589" w:rsidP="00B15D0C">
            <w:pPr>
              <w:pStyle w:val="Tables2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eastAsia="en-ZA"/>
              </w:rPr>
            </w:pPr>
            <w:r w:rsidRPr="002D7D9C">
              <w:rPr>
                <w:lang w:eastAsia="en-ZA"/>
              </w:rPr>
              <w:t>Co-infected</w:t>
            </w:r>
          </w:p>
        </w:tc>
        <w:tc>
          <w:tcPr>
            <w:tcW w:w="1789" w:type="dxa"/>
            <w:noWrap/>
            <w:hideMark/>
          </w:tcPr>
          <w:p w:rsidR="000A1589" w:rsidRPr="002D7D9C" w:rsidRDefault="000A1589" w:rsidP="00B15D0C">
            <w:pPr>
              <w:pStyle w:val="Tables2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eastAsia="en-ZA"/>
              </w:rPr>
            </w:pPr>
            <w:r w:rsidRPr="002D7D9C">
              <w:rPr>
                <w:lang w:eastAsia="en-ZA"/>
              </w:rPr>
              <w:t>HBV mono</w:t>
            </w:r>
          </w:p>
        </w:tc>
        <w:tc>
          <w:tcPr>
            <w:tcW w:w="1789" w:type="dxa"/>
            <w:noWrap/>
            <w:hideMark/>
          </w:tcPr>
          <w:p w:rsidR="000A1589" w:rsidRPr="002D7D9C" w:rsidRDefault="000A1589" w:rsidP="00B15D0C">
            <w:pPr>
              <w:pStyle w:val="Tables2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eastAsia="en-ZA"/>
              </w:rPr>
            </w:pPr>
            <w:r w:rsidRPr="002D7D9C">
              <w:rPr>
                <w:lang w:eastAsia="en-ZA"/>
              </w:rPr>
              <w:t>HIV mono</w:t>
            </w:r>
          </w:p>
        </w:tc>
        <w:tc>
          <w:tcPr>
            <w:tcW w:w="1790" w:type="dxa"/>
            <w:noWrap/>
            <w:hideMark/>
          </w:tcPr>
          <w:p w:rsidR="000A1589" w:rsidRPr="002D7D9C" w:rsidRDefault="000A1589" w:rsidP="00B15D0C">
            <w:pPr>
              <w:pStyle w:val="Tables2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eastAsia="en-ZA"/>
              </w:rPr>
            </w:pPr>
            <w:r w:rsidRPr="002D7D9C">
              <w:rPr>
                <w:lang w:eastAsia="en-ZA"/>
              </w:rPr>
              <w:t>Control</w:t>
            </w:r>
          </w:p>
        </w:tc>
        <w:tc>
          <w:tcPr>
            <w:tcW w:w="665" w:type="dxa"/>
          </w:tcPr>
          <w:p w:rsidR="000A1589" w:rsidRPr="002D7D9C" w:rsidRDefault="000A1589" w:rsidP="00B15D0C">
            <w:pPr>
              <w:pStyle w:val="Tables2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eastAsia="en-ZA"/>
              </w:rPr>
            </w:pPr>
            <w:r>
              <w:rPr>
                <w:lang w:eastAsia="en-ZA"/>
              </w:rPr>
              <w:t>p</w:t>
            </w:r>
          </w:p>
        </w:tc>
      </w:tr>
      <w:tr w:rsidR="000A1589" w:rsidRPr="002F6951" w:rsidTr="00B15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noWrap/>
            <w:hideMark/>
          </w:tcPr>
          <w:p w:rsidR="000A1589" w:rsidRPr="002F6951" w:rsidRDefault="000A1589" w:rsidP="00B15D0C">
            <w:pPr>
              <w:pStyle w:val="Tables2"/>
              <w:spacing w:line="480" w:lineRule="auto"/>
              <w:rPr>
                <w:lang w:eastAsia="en-ZA"/>
              </w:rPr>
            </w:pPr>
            <w:r w:rsidRPr="002F6951">
              <w:rPr>
                <w:lang w:eastAsia="en-ZA"/>
              </w:rPr>
              <w:t>n</w:t>
            </w:r>
          </w:p>
        </w:tc>
        <w:tc>
          <w:tcPr>
            <w:tcW w:w="1789" w:type="dxa"/>
            <w:noWrap/>
            <w:hideMark/>
          </w:tcPr>
          <w:p w:rsidR="000A1589" w:rsidRPr="002F6951" w:rsidRDefault="000A1589" w:rsidP="00B15D0C">
            <w:pPr>
              <w:pStyle w:val="Tables2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ZA"/>
              </w:rPr>
            </w:pPr>
            <w:r w:rsidRPr="002F6951">
              <w:rPr>
                <w:lang w:eastAsia="en-ZA"/>
              </w:rPr>
              <w:t>42</w:t>
            </w:r>
          </w:p>
        </w:tc>
        <w:tc>
          <w:tcPr>
            <w:tcW w:w="1789" w:type="dxa"/>
            <w:noWrap/>
            <w:hideMark/>
          </w:tcPr>
          <w:p w:rsidR="000A1589" w:rsidRPr="002F6951" w:rsidRDefault="000A1589" w:rsidP="00B15D0C">
            <w:pPr>
              <w:pStyle w:val="Tables2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ZA"/>
              </w:rPr>
            </w:pPr>
            <w:r w:rsidRPr="002F6951">
              <w:rPr>
                <w:lang w:eastAsia="en-ZA"/>
              </w:rPr>
              <w:t>38</w:t>
            </w:r>
          </w:p>
        </w:tc>
        <w:tc>
          <w:tcPr>
            <w:tcW w:w="1789" w:type="dxa"/>
            <w:noWrap/>
            <w:hideMark/>
          </w:tcPr>
          <w:p w:rsidR="000A1589" w:rsidRPr="002F6951" w:rsidRDefault="000A1589" w:rsidP="00B15D0C">
            <w:pPr>
              <w:pStyle w:val="Tables2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ZA"/>
              </w:rPr>
            </w:pPr>
            <w:r w:rsidRPr="002F6951">
              <w:rPr>
                <w:lang w:eastAsia="en-ZA"/>
              </w:rPr>
              <w:t>38</w:t>
            </w:r>
          </w:p>
        </w:tc>
        <w:tc>
          <w:tcPr>
            <w:tcW w:w="1790" w:type="dxa"/>
            <w:noWrap/>
            <w:hideMark/>
          </w:tcPr>
          <w:p w:rsidR="000A1589" w:rsidRPr="002F6951" w:rsidRDefault="000A1589" w:rsidP="00B15D0C">
            <w:pPr>
              <w:pStyle w:val="Tables2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ZA"/>
              </w:rPr>
            </w:pPr>
            <w:r w:rsidRPr="002F6951">
              <w:rPr>
                <w:lang w:eastAsia="en-ZA"/>
              </w:rPr>
              <w:t>37</w:t>
            </w:r>
          </w:p>
        </w:tc>
        <w:tc>
          <w:tcPr>
            <w:tcW w:w="665" w:type="dxa"/>
          </w:tcPr>
          <w:p w:rsidR="000A1589" w:rsidRPr="002F6951" w:rsidRDefault="000A1589" w:rsidP="00B15D0C">
            <w:pPr>
              <w:pStyle w:val="Tables2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ZA"/>
              </w:rPr>
            </w:pPr>
          </w:p>
        </w:tc>
      </w:tr>
      <w:tr w:rsidR="000A1589" w:rsidRPr="002F6951" w:rsidTr="00B15D0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noWrap/>
            <w:hideMark/>
          </w:tcPr>
          <w:p w:rsidR="000A1589" w:rsidRPr="002F6951" w:rsidRDefault="000A1589" w:rsidP="00B15D0C">
            <w:pPr>
              <w:pStyle w:val="Tables2"/>
              <w:spacing w:line="480" w:lineRule="auto"/>
              <w:rPr>
                <w:lang w:eastAsia="en-ZA"/>
              </w:rPr>
            </w:pPr>
            <w:r w:rsidRPr="002F6951">
              <w:rPr>
                <w:lang w:eastAsia="en-ZA"/>
              </w:rPr>
              <w:t>Median (IQR)</w:t>
            </w:r>
          </w:p>
        </w:tc>
        <w:tc>
          <w:tcPr>
            <w:tcW w:w="1789" w:type="dxa"/>
            <w:noWrap/>
            <w:hideMark/>
          </w:tcPr>
          <w:p w:rsidR="000A1589" w:rsidRPr="002F6951" w:rsidRDefault="000A1589" w:rsidP="00B15D0C">
            <w:pPr>
              <w:pStyle w:val="Tables2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ZA"/>
              </w:rPr>
            </w:pPr>
            <w:r w:rsidRPr="002F6951">
              <w:rPr>
                <w:lang w:eastAsia="en-ZA"/>
              </w:rPr>
              <w:t>12.4 (10.2-15.6)</w:t>
            </w:r>
          </w:p>
        </w:tc>
        <w:tc>
          <w:tcPr>
            <w:tcW w:w="1789" w:type="dxa"/>
            <w:noWrap/>
            <w:hideMark/>
          </w:tcPr>
          <w:p w:rsidR="000A1589" w:rsidRPr="002F6951" w:rsidRDefault="000A1589" w:rsidP="00B15D0C">
            <w:pPr>
              <w:pStyle w:val="Tables2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ZA"/>
              </w:rPr>
            </w:pPr>
            <w:r w:rsidRPr="002F6951">
              <w:rPr>
                <w:lang w:eastAsia="en-ZA"/>
              </w:rPr>
              <w:t>10.8 (8.4-13.4)</w:t>
            </w:r>
          </w:p>
        </w:tc>
        <w:tc>
          <w:tcPr>
            <w:tcW w:w="1789" w:type="dxa"/>
            <w:noWrap/>
            <w:hideMark/>
          </w:tcPr>
          <w:p w:rsidR="000A1589" w:rsidRPr="002F6951" w:rsidRDefault="000A1589" w:rsidP="00B15D0C">
            <w:pPr>
              <w:pStyle w:val="Tables2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ZA"/>
              </w:rPr>
            </w:pPr>
            <w:r w:rsidRPr="002F6951">
              <w:rPr>
                <w:lang w:eastAsia="en-ZA"/>
              </w:rPr>
              <w:t>9.9 (7.8-16.0)</w:t>
            </w:r>
          </w:p>
        </w:tc>
        <w:tc>
          <w:tcPr>
            <w:tcW w:w="1790" w:type="dxa"/>
            <w:noWrap/>
            <w:hideMark/>
          </w:tcPr>
          <w:p w:rsidR="000A1589" w:rsidRPr="002F6951" w:rsidRDefault="000A1589" w:rsidP="00B15D0C">
            <w:pPr>
              <w:pStyle w:val="Tables2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ZA"/>
              </w:rPr>
            </w:pPr>
            <w:r w:rsidRPr="002F6951">
              <w:rPr>
                <w:lang w:eastAsia="en-ZA"/>
              </w:rPr>
              <w:t>9.6 (8.2-13.3)</w:t>
            </w:r>
          </w:p>
        </w:tc>
        <w:tc>
          <w:tcPr>
            <w:tcW w:w="665" w:type="dxa"/>
          </w:tcPr>
          <w:p w:rsidR="000A1589" w:rsidRPr="002F6951" w:rsidRDefault="000A1589" w:rsidP="00B15D0C">
            <w:pPr>
              <w:pStyle w:val="Tables2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ZA"/>
              </w:rPr>
            </w:pPr>
            <w:r>
              <w:rPr>
                <w:lang w:eastAsia="en-ZA"/>
              </w:rPr>
              <w:t>0.1</w:t>
            </w:r>
          </w:p>
        </w:tc>
      </w:tr>
    </w:tbl>
    <w:p w:rsidR="000A1589" w:rsidRDefault="000A1589" w:rsidP="00B15D0C">
      <w:pPr>
        <w:spacing w:line="480" w:lineRule="auto"/>
      </w:pPr>
    </w:p>
    <w:p w:rsidR="00B15D0C" w:rsidRDefault="00B15D0C" w:rsidP="00B15D0C">
      <w:pPr>
        <w:spacing w:line="480" w:lineRule="auto"/>
      </w:pPr>
    </w:p>
    <w:p w:rsidR="009B490C" w:rsidRPr="000B5EF6" w:rsidRDefault="009B490C" w:rsidP="00B15D0C">
      <w:pPr>
        <w:pStyle w:val="Caption"/>
        <w:keepNext/>
        <w:spacing w:line="480" w:lineRule="auto"/>
        <w:rPr>
          <w:rFonts w:ascii="Arial Narrow" w:hAnsi="Arial Narrow"/>
          <w:b/>
          <w:i w:val="0"/>
          <w:color w:val="auto"/>
          <w:sz w:val="24"/>
        </w:rPr>
      </w:pPr>
      <w:r>
        <w:rPr>
          <w:rFonts w:ascii="Arial Narrow" w:hAnsi="Arial Narrow"/>
          <w:b/>
          <w:i w:val="0"/>
          <w:color w:val="auto"/>
          <w:sz w:val="24"/>
        </w:rPr>
        <w:t xml:space="preserve">Supplementary </w:t>
      </w:r>
      <w:r w:rsidRPr="000B5EF6">
        <w:rPr>
          <w:rFonts w:ascii="Arial Narrow" w:hAnsi="Arial Narrow"/>
          <w:b/>
          <w:i w:val="0"/>
          <w:color w:val="auto"/>
          <w:sz w:val="24"/>
        </w:rPr>
        <w:t xml:space="preserve">Table </w:t>
      </w:r>
      <w:r w:rsidRPr="000B5EF6">
        <w:rPr>
          <w:rFonts w:ascii="Arial Narrow" w:hAnsi="Arial Narrow"/>
          <w:b/>
          <w:i w:val="0"/>
          <w:color w:val="auto"/>
          <w:sz w:val="24"/>
        </w:rPr>
        <w:fldChar w:fldCharType="begin"/>
      </w:r>
      <w:r w:rsidRPr="000B5EF6">
        <w:rPr>
          <w:rFonts w:ascii="Arial Narrow" w:hAnsi="Arial Narrow"/>
          <w:b/>
          <w:i w:val="0"/>
          <w:color w:val="auto"/>
          <w:sz w:val="24"/>
        </w:rPr>
        <w:instrText xml:space="preserve"> SEQ Table \* ARABIC </w:instrText>
      </w:r>
      <w:r w:rsidRPr="000B5EF6">
        <w:rPr>
          <w:rFonts w:ascii="Arial Narrow" w:hAnsi="Arial Narrow"/>
          <w:b/>
          <w:i w:val="0"/>
          <w:color w:val="auto"/>
          <w:sz w:val="24"/>
        </w:rPr>
        <w:fldChar w:fldCharType="separate"/>
      </w:r>
      <w:r w:rsidR="009E7282">
        <w:rPr>
          <w:rFonts w:ascii="Arial Narrow" w:hAnsi="Arial Narrow"/>
          <w:b/>
          <w:i w:val="0"/>
          <w:noProof/>
          <w:color w:val="auto"/>
          <w:sz w:val="24"/>
        </w:rPr>
        <w:t>2</w:t>
      </w:r>
      <w:r w:rsidRPr="000B5EF6">
        <w:rPr>
          <w:rFonts w:ascii="Arial Narrow" w:hAnsi="Arial Narrow"/>
          <w:b/>
          <w:i w:val="0"/>
          <w:color w:val="auto"/>
          <w:sz w:val="24"/>
        </w:rPr>
        <w:fldChar w:fldCharType="end"/>
      </w:r>
      <w:r w:rsidRPr="000B5EF6">
        <w:rPr>
          <w:rFonts w:ascii="Arial Narrow" w:hAnsi="Arial Narrow"/>
          <w:b/>
          <w:i w:val="0"/>
          <w:color w:val="auto"/>
          <w:sz w:val="24"/>
        </w:rPr>
        <w:t>: Proportions of fibrosis scores according to the HBV genotype</w:t>
      </w:r>
      <w:r>
        <w:rPr>
          <w:rFonts w:ascii="Arial Narrow" w:hAnsi="Arial Narrow"/>
          <w:b/>
          <w:i w:val="0"/>
          <w:color w:val="auto"/>
          <w:sz w:val="24"/>
        </w:rPr>
        <w:t>.</w:t>
      </w:r>
    </w:p>
    <w:tbl>
      <w:tblPr>
        <w:tblStyle w:val="PlainTable2"/>
        <w:tblW w:w="7386" w:type="dxa"/>
        <w:tblLayout w:type="fixed"/>
        <w:tblLook w:val="04A0" w:firstRow="1" w:lastRow="0" w:firstColumn="1" w:lastColumn="0" w:noHBand="0" w:noVBand="1"/>
      </w:tblPr>
      <w:tblGrid>
        <w:gridCol w:w="2293"/>
        <w:gridCol w:w="1697"/>
        <w:gridCol w:w="1698"/>
        <w:gridCol w:w="1698"/>
      </w:tblGrid>
      <w:tr w:rsidR="009B490C" w:rsidRPr="000B5EF6" w:rsidTr="00B15D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3" w:type="dxa"/>
            <w:noWrap/>
            <w:hideMark/>
          </w:tcPr>
          <w:p w:rsidR="009B490C" w:rsidRPr="000B5EF6" w:rsidRDefault="009B490C" w:rsidP="00B15D0C">
            <w:pPr>
              <w:spacing w:before="80" w:after="80" w:line="48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697" w:type="dxa"/>
            <w:noWrap/>
            <w:hideMark/>
          </w:tcPr>
          <w:p w:rsidR="009B490C" w:rsidRPr="000B5EF6" w:rsidRDefault="009B490C" w:rsidP="00B15D0C">
            <w:pPr>
              <w:spacing w:before="80" w:after="8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</w:rPr>
            </w:pPr>
            <w:r w:rsidRPr="000B5EF6">
              <w:rPr>
                <w:rFonts w:ascii="Times New Roman" w:eastAsia="Calibri" w:hAnsi="Times New Roman" w:cs="Times New Roman"/>
                <w:sz w:val="20"/>
              </w:rPr>
              <w:t>&lt;7.0 kPa</w:t>
            </w:r>
          </w:p>
        </w:tc>
        <w:tc>
          <w:tcPr>
            <w:tcW w:w="1698" w:type="dxa"/>
            <w:noWrap/>
            <w:hideMark/>
          </w:tcPr>
          <w:p w:rsidR="009B490C" w:rsidRPr="000B5EF6" w:rsidRDefault="009B490C" w:rsidP="00B15D0C">
            <w:pPr>
              <w:spacing w:before="80" w:after="8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</w:rPr>
            </w:pPr>
            <w:r w:rsidRPr="000B5EF6">
              <w:rPr>
                <w:rFonts w:ascii="Times New Roman" w:eastAsia="Calibri" w:hAnsi="Times New Roman" w:cs="Times New Roman"/>
                <w:sz w:val="20"/>
              </w:rPr>
              <w:t>7-13 kPa</w:t>
            </w:r>
          </w:p>
        </w:tc>
        <w:tc>
          <w:tcPr>
            <w:tcW w:w="1698" w:type="dxa"/>
            <w:noWrap/>
            <w:hideMark/>
          </w:tcPr>
          <w:p w:rsidR="009B490C" w:rsidRPr="000B5EF6" w:rsidRDefault="009B490C" w:rsidP="00B15D0C">
            <w:pPr>
              <w:spacing w:before="80" w:after="8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</w:rPr>
            </w:pPr>
            <w:r w:rsidRPr="000B5EF6">
              <w:rPr>
                <w:rFonts w:ascii="Times New Roman" w:eastAsia="Calibri" w:hAnsi="Times New Roman" w:cs="Times New Roman"/>
                <w:sz w:val="20"/>
              </w:rPr>
              <w:t>&gt;13 kPa</w:t>
            </w:r>
          </w:p>
        </w:tc>
      </w:tr>
      <w:tr w:rsidR="009B490C" w:rsidRPr="000B5EF6" w:rsidTr="00B15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3" w:type="dxa"/>
            <w:noWrap/>
            <w:hideMark/>
          </w:tcPr>
          <w:p w:rsidR="009B490C" w:rsidRPr="000B5EF6" w:rsidRDefault="009B490C" w:rsidP="00B15D0C">
            <w:pPr>
              <w:spacing w:before="80" w:after="80" w:line="480" w:lineRule="auto"/>
              <w:rPr>
                <w:rFonts w:ascii="Times New Roman" w:eastAsia="Calibri" w:hAnsi="Times New Roman" w:cs="Times New Roman"/>
                <w:sz w:val="20"/>
              </w:rPr>
            </w:pPr>
            <w:r w:rsidRPr="000B5EF6">
              <w:rPr>
                <w:rFonts w:ascii="Times New Roman" w:eastAsia="Calibri" w:hAnsi="Times New Roman" w:cs="Times New Roman"/>
                <w:sz w:val="20"/>
              </w:rPr>
              <w:t>Genotype A, n=21</w:t>
            </w:r>
          </w:p>
        </w:tc>
        <w:tc>
          <w:tcPr>
            <w:tcW w:w="1697" w:type="dxa"/>
            <w:noWrap/>
            <w:hideMark/>
          </w:tcPr>
          <w:p w:rsidR="009B490C" w:rsidRPr="000B5EF6" w:rsidRDefault="009B490C" w:rsidP="00B15D0C">
            <w:pPr>
              <w:spacing w:before="80" w:after="8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  <w:r w:rsidRPr="000B5EF6">
              <w:rPr>
                <w:rFonts w:ascii="Times New Roman" w:eastAsia="Calibri" w:hAnsi="Times New Roman" w:cs="Times New Roman"/>
                <w:sz w:val="20"/>
              </w:rPr>
              <w:t>7 (33%)</w:t>
            </w:r>
          </w:p>
        </w:tc>
        <w:tc>
          <w:tcPr>
            <w:tcW w:w="1698" w:type="dxa"/>
            <w:noWrap/>
            <w:hideMark/>
          </w:tcPr>
          <w:p w:rsidR="009B490C" w:rsidRPr="000B5EF6" w:rsidRDefault="009B490C" w:rsidP="00B15D0C">
            <w:pPr>
              <w:spacing w:before="80" w:after="8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  <w:r w:rsidRPr="000B5EF6">
              <w:rPr>
                <w:rFonts w:ascii="Times New Roman" w:eastAsia="Calibri" w:hAnsi="Times New Roman" w:cs="Times New Roman"/>
                <w:sz w:val="20"/>
              </w:rPr>
              <w:t>9 (43%)</w:t>
            </w:r>
          </w:p>
        </w:tc>
        <w:tc>
          <w:tcPr>
            <w:tcW w:w="1698" w:type="dxa"/>
            <w:noWrap/>
            <w:hideMark/>
          </w:tcPr>
          <w:p w:rsidR="009B490C" w:rsidRPr="000B5EF6" w:rsidRDefault="009B490C" w:rsidP="00B15D0C">
            <w:pPr>
              <w:spacing w:before="80" w:after="8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  <w:r w:rsidRPr="000B5EF6">
              <w:rPr>
                <w:rFonts w:ascii="Times New Roman" w:eastAsia="Calibri" w:hAnsi="Times New Roman" w:cs="Times New Roman"/>
                <w:sz w:val="20"/>
              </w:rPr>
              <w:t>5 (24%)</w:t>
            </w:r>
          </w:p>
        </w:tc>
      </w:tr>
      <w:tr w:rsidR="009B490C" w:rsidRPr="000B5EF6" w:rsidTr="00B15D0C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3" w:type="dxa"/>
            <w:noWrap/>
            <w:hideMark/>
          </w:tcPr>
          <w:p w:rsidR="009B490C" w:rsidRPr="000B5EF6" w:rsidRDefault="009B490C" w:rsidP="00B15D0C">
            <w:pPr>
              <w:spacing w:before="80" w:after="80" w:line="480" w:lineRule="auto"/>
              <w:rPr>
                <w:rFonts w:ascii="Times New Roman" w:eastAsia="Calibri" w:hAnsi="Times New Roman" w:cs="Times New Roman"/>
                <w:sz w:val="20"/>
              </w:rPr>
            </w:pPr>
            <w:r w:rsidRPr="000B5EF6">
              <w:rPr>
                <w:rFonts w:ascii="Times New Roman" w:eastAsia="Calibri" w:hAnsi="Times New Roman" w:cs="Times New Roman"/>
                <w:sz w:val="20"/>
              </w:rPr>
              <w:t>Genotype D, n=11</w:t>
            </w:r>
          </w:p>
        </w:tc>
        <w:tc>
          <w:tcPr>
            <w:tcW w:w="1697" w:type="dxa"/>
            <w:noWrap/>
            <w:hideMark/>
          </w:tcPr>
          <w:p w:rsidR="009B490C" w:rsidRPr="000B5EF6" w:rsidRDefault="009B490C" w:rsidP="00B15D0C">
            <w:pPr>
              <w:spacing w:before="80" w:after="8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  <w:r w:rsidRPr="000B5EF6">
              <w:rPr>
                <w:rFonts w:ascii="Times New Roman" w:eastAsia="Calibri" w:hAnsi="Times New Roman" w:cs="Times New Roman"/>
                <w:sz w:val="20"/>
              </w:rPr>
              <w:t>7 (64%)</w:t>
            </w:r>
          </w:p>
        </w:tc>
        <w:tc>
          <w:tcPr>
            <w:tcW w:w="1698" w:type="dxa"/>
            <w:noWrap/>
            <w:hideMark/>
          </w:tcPr>
          <w:p w:rsidR="009B490C" w:rsidRPr="000B5EF6" w:rsidRDefault="009B490C" w:rsidP="00B15D0C">
            <w:pPr>
              <w:spacing w:before="80" w:after="8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  <w:r w:rsidRPr="000B5EF6">
              <w:rPr>
                <w:rFonts w:ascii="Times New Roman" w:eastAsia="Calibri" w:hAnsi="Times New Roman" w:cs="Times New Roman"/>
                <w:sz w:val="20"/>
              </w:rPr>
              <w:t>3 (27%)</w:t>
            </w:r>
          </w:p>
        </w:tc>
        <w:tc>
          <w:tcPr>
            <w:tcW w:w="1698" w:type="dxa"/>
            <w:noWrap/>
            <w:hideMark/>
          </w:tcPr>
          <w:p w:rsidR="009B490C" w:rsidRPr="000B5EF6" w:rsidRDefault="009B490C" w:rsidP="00B15D0C">
            <w:pPr>
              <w:spacing w:before="80" w:after="8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  <w:r w:rsidRPr="000B5EF6">
              <w:rPr>
                <w:rFonts w:ascii="Times New Roman" w:eastAsia="Calibri" w:hAnsi="Times New Roman" w:cs="Times New Roman"/>
                <w:sz w:val="20"/>
              </w:rPr>
              <w:t>1 (9%)</w:t>
            </w:r>
          </w:p>
        </w:tc>
      </w:tr>
      <w:tr w:rsidR="009B490C" w:rsidRPr="000B5EF6" w:rsidTr="00B15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3" w:type="dxa"/>
            <w:noWrap/>
            <w:hideMark/>
          </w:tcPr>
          <w:p w:rsidR="009B490C" w:rsidRPr="000B5EF6" w:rsidRDefault="009B490C" w:rsidP="00B15D0C">
            <w:pPr>
              <w:spacing w:before="80" w:after="80" w:line="480" w:lineRule="auto"/>
              <w:rPr>
                <w:rFonts w:ascii="Times New Roman" w:eastAsia="Calibri" w:hAnsi="Times New Roman" w:cs="Times New Roman"/>
                <w:sz w:val="20"/>
              </w:rPr>
            </w:pPr>
            <w:r w:rsidRPr="000B5EF6">
              <w:rPr>
                <w:rFonts w:ascii="Times New Roman" w:eastAsia="Calibri" w:hAnsi="Times New Roman" w:cs="Times New Roman"/>
                <w:sz w:val="20"/>
              </w:rPr>
              <w:t>Genotype E, n=4</w:t>
            </w:r>
          </w:p>
        </w:tc>
        <w:tc>
          <w:tcPr>
            <w:tcW w:w="1697" w:type="dxa"/>
            <w:noWrap/>
            <w:hideMark/>
          </w:tcPr>
          <w:p w:rsidR="009B490C" w:rsidRPr="000B5EF6" w:rsidRDefault="009B490C" w:rsidP="00B15D0C">
            <w:pPr>
              <w:spacing w:before="80" w:after="8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  <w:r w:rsidRPr="000B5EF6">
              <w:rPr>
                <w:rFonts w:ascii="Times New Roman" w:eastAsia="Calibri" w:hAnsi="Times New Roman" w:cs="Times New Roman"/>
                <w:sz w:val="20"/>
              </w:rPr>
              <w:t>2 (50%)</w:t>
            </w:r>
          </w:p>
        </w:tc>
        <w:tc>
          <w:tcPr>
            <w:tcW w:w="1698" w:type="dxa"/>
            <w:noWrap/>
            <w:hideMark/>
          </w:tcPr>
          <w:p w:rsidR="009B490C" w:rsidRPr="000B5EF6" w:rsidRDefault="009B490C" w:rsidP="00B15D0C">
            <w:pPr>
              <w:spacing w:before="80" w:after="8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  <w:r w:rsidRPr="000B5EF6">
              <w:rPr>
                <w:rFonts w:ascii="Times New Roman" w:eastAsia="Calibri" w:hAnsi="Times New Roman" w:cs="Times New Roman"/>
                <w:sz w:val="20"/>
              </w:rPr>
              <w:t>2 (50%)</w:t>
            </w:r>
          </w:p>
        </w:tc>
        <w:tc>
          <w:tcPr>
            <w:tcW w:w="1698" w:type="dxa"/>
            <w:noWrap/>
            <w:hideMark/>
          </w:tcPr>
          <w:p w:rsidR="009B490C" w:rsidRPr="000B5EF6" w:rsidRDefault="009B490C" w:rsidP="00B15D0C">
            <w:pPr>
              <w:spacing w:before="80" w:after="8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  <w:r w:rsidRPr="000B5EF6">
              <w:rPr>
                <w:rFonts w:ascii="Times New Roman" w:eastAsia="Calibri" w:hAnsi="Times New Roman" w:cs="Times New Roman"/>
                <w:sz w:val="20"/>
              </w:rPr>
              <w:t>0</w:t>
            </w:r>
          </w:p>
        </w:tc>
      </w:tr>
    </w:tbl>
    <w:p w:rsidR="000B5EF6" w:rsidRDefault="000B5EF6" w:rsidP="00B15D0C">
      <w:pPr>
        <w:spacing w:line="480" w:lineRule="auto"/>
      </w:pPr>
    </w:p>
    <w:p w:rsidR="00D0678B" w:rsidRDefault="009B490C" w:rsidP="00B15D0C">
      <w:pPr>
        <w:spacing w:line="480" w:lineRule="auto"/>
        <w:sectPr w:rsidR="00D0678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br w:type="page"/>
      </w:r>
    </w:p>
    <w:p w:rsidR="00D0678B" w:rsidRPr="00A77AE6" w:rsidRDefault="00D0678B" w:rsidP="00D0678B">
      <w:pPr>
        <w:pStyle w:val="Caption"/>
        <w:keepNext/>
        <w:spacing w:after="120" w:line="480" w:lineRule="auto"/>
        <w:rPr>
          <w:rFonts w:ascii="Arial Narrow" w:hAnsi="Arial Narrow"/>
          <w:i w:val="0"/>
          <w:color w:val="auto"/>
          <w:sz w:val="24"/>
          <w:szCs w:val="24"/>
        </w:rPr>
      </w:pPr>
      <w:r>
        <w:rPr>
          <w:rFonts w:ascii="Arial Narrow" w:hAnsi="Arial Narrow"/>
          <w:b/>
          <w:i w:val="0"/>
          <w:color w:val="auto"/>
          <w:sz w:val="24"/>
          <w:szCs w:val="24"/>
        </w:rPr>
        <w:lastRenderedPageBreak/>
        <w:t xml:space="preserve">Supplementary </w:t>
      </w:r>
      <w:r w:rsidRPr="00A77AE6">
        <w:rPr>
          <w:rFonts w:ascii="Arial Narrow" w:hAnsi="Arial Narrow"/>
          <w:b/>
          <w:i w:val="0"/>
          <w:color w:val="auto"/>
          <w:sz w:val="24"/>
          <w:szCs w:val="24"/>
        </w:rPr>
        <w:t xml:space="preserve">Table </w:t>
      </w:r>
      <w:r w:rsidRPr="00A77AE6">
        <w:rPr>
          <w:rFonts w:ascii="Arial Narrow" w:hAnsi="Arial Narrow"/>
          <w:b/>
          <w:i w:val="0"/>
          <w:color w:val="auto"/>
          <w:sz w:val="24"/>
          <w:szCs w:val="24"/>
        </w:rPr>
        <w:fldChar w:fldCharType="begin"/>
      </w:r>
      <w:r w:rsidRPr="00A77AE6">
        <w:rPr>
          <w:rFonts w:ascii="Arial Narrow" w:hAnsi="Arial Narrow"/>
          <w:b/>
          <w:i w:val="0"/>
          <w:color w:val="auto"/>
          <w:sz w:val="24"/>
          <w:szCs w:val="24"/>
        </w:rPr>
        <w:instrText xml:space="preserve"> SEQ Table \* ARABIC </w:instrText>
      </w:r>
      <w:r w:rsidRPr="00A77AE6">
        <w:rPr>
          <w:rFonts w:ascii="Arial Narrow" w:hAnsi="Arial Narrow"/>
          <w:b/>
          <w:i w:val="0"/>
          <w:color w:val="auto"/>
          <w:sz w:val="24"/>
          <w:szCs w:val="24"/>
        </w:rPr>
        <w:fldChar w:fldCharType="separate"/>
      </w:r>
      <w:r w:rsidR="009E7282">
        <w:rPr>
          <w:rFonts w:ascii="Arial Narrow" w:hAnsi="Arial Narrow"/>
          <w:b/>
          <w:i w:val="0"/>
          <w:noProof/>
          <w:color w:val="auto"/>
          <w:sz w:val="24"/>
          <w:szCs w:val="24"/>
        </w:rPr>
        <w:t>3</w:t>
      </w:r>
      <w:r w:rsidRPr="00A77AE6">
        <w:rPr>
          <w:rFonts w:ascii="Arial Narrow" w:hAnsi="Arial Narrow"/>
          <w:b/>
          <w:i w:val="0"/>
          <w:color w:val="auto"/>
          <w:sz w:val="24"/>
          <w:szCs w:val="24"/>
        </w:rPr>
        <w:fldChar w:fldCharType="end"/>
      </w:r>
      <w:r w:rsidRPr="00A77AE6">
        <w:rPr>
          <w:rFonts w:ascii="Arial Narrow" w:hAnsi="Arial Narrow"/>
          <w:b/>
          <w:i w:val="0"/>
          <w:color w:val="auto"/>
          <w:sz w:val="24"/>
          <w:szCs w:val="24"/>
        </w:rPr>
        <w:t xml:space="preserve"> Multiple correlation analysis of all patients ungrouped</w:t>
      </w:r>
      <w:r>
        <w:rPr>
          <w:rFonts w:ascii="Arial Narrow" w:hAnsi="Arial Narrow"/>
          <w:b/>
          <w:i w:val="0"/>
          <w:color w:val="auto"/>
          <w:sz w:val="24"/>
          <w:szCs w:val="24"/>
        </w:rPr>
        <w:t xml:space="preserve">. </w:t>
      </w:r>
      <w:r>
        <w:rPr>
          <w:rFonts w:ascii="Arial Narrow" w:hAnsi="Arial Narrow"/>
          <w:i w:val="0"/>
          <w:color w:val="auto"/>
          <w:sz w:val="24"/>
          <w:szCs w:val="24"/>
        </w:rPr>
        <w:t>Statistically significant correlations appear in red font.</w:t>
      </w:r>
    </w:p>
    <w:p w:rsidR="00D0678B" w:rsidRDefault="00D0678B" w:rsidP="00D0678B">
      <w:pPr>
        <w:spacing w:line="480" w:lineRule="auto"/>
      </w:pPr>
      <w:r w:rsidRPr="00A77AE6">
        <w:rPr>
          <w:noProof/>
          <w:lang w:eastAsia="en-ZA"/>
        </w:rPr>
        <w:drawing>
          <wp:inline distT="0" distB="0" distL="0" distR="0" wp14:anchorId="730E2B9E" wp14:editId="01AC50CD">
            <wp:extent cx="8863330" cy="2563907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56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78B" w:rsidRDefault="00D0678B" w:rsidP="00B15D0C">
      <w:pPr>
        <w:spacing w:line="480" w:lineRule="auto"/>
        <w:sectPr w:rsidR="00D0678B" w:rsidSect="00D0678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9D5785" w:rsidRDefault="009D5785" w:rsidP="00B15D0C">
      <w:pPr>
        <w:spacing w:line="480" w:lineRule="auto"/>
      </w:pPr>
      <w:r>
        <w:rPr>
          <w:noProof/>
          <w:lang w:eastAsia="en-ZA"/>
        </w:rPr>
        <w:lastRenderedPageBreak/>
        <w:drawing>
          <wp:inline distT="0" distB="0" distL="0" distR="0" wp14:anchorId="19916341">
            <wp:extent cx="5023485" cy="3408045"/>
            <wp:effectExtent l="0" t="0" r="5715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485" cy="3408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5785" w:rsidRPr="009D5785" w:rsidRDefault="00F41E7A" w:rsidP="00F41E7A">
      <w:pPr>
        <w:spacing w:after="200" w:line="480" w:lineRule="auto"/>
        <w:jc w:val="both"/>
        <w:rPr>
          <w:rFonts w:ascii="Arial Narrow" w:hAnsi="Arial Narrow"/>
          <w:sz w:val="24"/>
          <w:szCs w:val="24"/>
        </w:rPr>
      </w:pPr>
      <w:r w:rsidRPr="00F41E7A">
        <w:rPr>
          <w:rFonts w:ascii="Arial Narrow" w:hAnsi="Arial Narrow"/>
          <w:b/>
          <w:sz w:val="24"/>
          <w:szCs w:val="24"/>
        </w:rPr>
        <w:t>Supplementary Figure 1:</w:t>
      </w:r>
      <w:r w:rsidR="009D5785" w:rsidRPr="009D5785">
        <w:rPr>
          <w:rFonts w:ascii="Arial Narrow" w:hAnsi="Arial Narrow"/>
          <w:sz w:val="24"/>
          <w:szCs w:val="24"/>
        </w:rPr>
        <w:t xml:space="preserve"> Gating strategy for Immune Activation panel. Plot A shows the singlet population gating while Plot B represents the SSC against FSC plot indicating the position of the singlet cells of the lymphocyte population. Plot C shows the lymphocyte population as shown by less complexity (SS) and intense staining for CD45-KO in a plot of side scatter against CD45-KO. Plot D shows the CD3+ population (Gate G) as gated from Gate F shown in Plot C. Using colour precedence and back gating, Plot D also shows the non-lymphocyte population (red colour) that is included within gate F based on use of complexity (SS INT) and staining for CD45. Picture E shows the CD4+ in the blue colour (gate H) and the CD8+ lymphocytes in the magenta colour (gate I). Plot F shows the CD8+ population staining for CD38-PE and HLA-DR-APC gated from gate I.</w:t>
      </w:r>
      <w:r>
        <w:rPr>
          <w:rFonts w:ascii="Arial Narrow" w:hAnsi="Arial Narrow"/>
          <w:sz w:val="24"/>
          <w:szCs w:val="24"/>
        </w:rPr>
        <w:t xml:space="preserve"> The gate placement </w:t>
      </w:r>
      <w:proofErr w:type="gramStart"/>
      <w:r>
        <w:rPr>
          <w:rFonts w:ascii="Arial Narrow" w:hAnsi="Arial Narrow"/>
          <w:sz w:val="24"/>
          <w:szCs w:val="24"/>
        </w:rPr>
        <w:t>was based</w:t>
      </w:r>
      <w:proofErr w:type="gramEnd"/>
      <w:r>
        <w:rPr>
          <w:rFonts w:ascii="Arial Narrow" w:hAnsi="Arial Narrow"/>
          <w:sz w:val="24"/>
          <w:szCs w:val="24"/>
        </w:rPr>
        <w:t xml:space="preserve"> on defined fluorescence minus one (FMO) settings.</w:t>
      </w:r>
      <w:bookmarkStart w:id="0" w:name="_GoBack"/>
      <w:bookmarkEnd w:id="0"/>
    </w:p>
    <w:p w:rsidR="009D5785" w:rsidRDefault="009D5785">
      <w:r>
        <w:br w:type="page"/>
      </w:r>
    </w:p>
    <w:p w:rsidR="009B490C" w:rsidRDefault="009B490C" w:rsidP="00B15D0C">
      <w:pPr>
        <w:spacing w:line="480" w:lineRule="auto"/>
      </w:pPr>
    </w:p>
    <w:p w:rsidR="000B5EF6" w:rsidRDefault="000B5EF6" w:rsidP="00B15D0C">
      <w:pPr>
        <w:spacing w:line="480" w:lineRule="auto"/>
      </w:pPr>
    </w:p>
    <w:p w:rsidR="007C6EE9" w:rsidRDefault="007C6EE9" w:rsidP="00B15D0C">
      <w:pPr>
        <w:keepNext/>
        <w:spacing w:after="120" w:line="480" w:lineRule="auto"/>
      </w:pPr>
      <w:r>
        <w:rPr>
          <w:noProof/>
          <w:lang w:eastAsia="en-ZA"/>
        </w:rPr>
        <w:drawing>
          <wp:inline distT="0" distB="0" distL="0" distR="0">
            <wp:extent cx="5731510" cy="42989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-infected_Scatterplot of CD8andviralloa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EE9" w:rsidRPr="007C6EE9" w:rsidRDefault="009B490C" w:rsidP="00B15D0C">
      <w:pPr>
        <w:pStyle w:val="Caption"/>
        <w:spacing w:line="480" w:lineRule="auto"/>
        <w:jc w:val="both"/>
        <w:rPr>
          <w:rFonts w:ascii="Arial Narrow" w:hAnsi="Arial Narrow" w:cs="Times New Roman"/>
          <w:i w:val="0"/>
          <w:color w:val="auto"/>
          <w:sz w:val="24"/>
          <w:szCs w:val="24"/>
        </w:rPr>
      </w:pPr>
      <w:r>
        <w:rPr>
          <w:rFonts w:ascii="Arial Narrow" w:hAnsi="Arial Narrow" w:cs="Times New Roman"/>
          <w:b/>
          <w:i w:val="0"/>
          <w:color w:val="auto"/>
          <w:sz w:val="24"/>
          <w:szCs w:val="24"/>
        </w:rPr>
        <w:t xml:space="preserve">Supplementary </w:t>
      </w:r>
      <w:r w:rsidR="007C6EE9" w:rsidRPr="007C6EE9">
        <w:rPr>
          <w:rFonts w:ascii="Arial Narrow" w:hAnsi="Arial Narrow" w:cs="Times New Roman"/>
          <w:b/>
          <w:i w:val="0"/>
          <w:color w:val="auto"/>
          <w:sz w:val="24"/>
          <w:szCs w:val="24"/>
        </w:rPr>
        <w:t xml:space="preserve">Figure </w:t>
      </w:r>
      <w:r w:rsidR="007C6EE9" w:rsidRPr="007C6EE9">
        <w:rPr>
          <w:rFonts w:ascii="Arial Narrow" w:hAnsi="Arial Narrow" w:cs="Times New Roman"/>
          <w:b/>
          <w:i w:val="0"/>
          <w:color w:val="auto"/>
          <w:sz w:val="24"/>
          <w:szCs w:val="24"/>
        </w:rPr>
        <w:fldChar w:fldCharType="begin"/>
      </w:r>
      <w:r w:rsidR="007C6EE9" w:rsidRPr="007C6EE9">
        <w:rPr>
          <w:rFonts w:ascii="Arial Narrow" w:hAnsi="Arial Narrow" w:cs="Times New Roman"/>
          <w:b/>
          <w:i w:val="0"/>
          <w:color w:val="auto"/>
          <w:sz w:val="24"/>
          <w:szCs w:val="24"/>
        </w:rPr>
        <w:instrText xml:space="preserve"> SEQ Figure \* ARABIC </w:instrText>
      </w:r>
      <w:r w:rsidR="007C6EE9" w:rsidRPr="007C6EE9">
        <w:rPr>
          <w:rFonts w:ascii="Arial Narrow" w:hAnsi="Arial Narrow" w:cs="Times New Roman"/>
          <w:b/>
          <w:i w:val="0"/>
          <w:color w:val="auto"/>
          <w:sz w:val="24"/>
          <w:szCs w:val="24"/>
        </w:rPr>
        <w:fldChar w:fldCharType="separate"/>
      </w:r>
      <w:r w:rsidR="009E7282">
        <w:rPr>
          <w:rFonts w:ascii="Arial Narrow" w:hAnsi="Arial Narrow" w:cs="Times New Roman"/>
          <w:b/>
          <w:i w:val="0"/>
          <w:noProof/>
          <w:color w:val="auto"/>
          <w:sz w:val="24"/>
          <w:szCs w:val="24"/>
        </w:rPr>
        <w:t>1</w:t>
      </w:r>
      <w:r w:rsidR="007C6EE9" w:rsidRPr="007C6EE9">
        <w:rPr>
          <w:rFonts w:ascii="Arial Narrow" w:hAnsi="Arial Narrow" w:cs="Times New Roman"/>
          <w:b/>
          <w:i w:val="0"/>
          <w:color w:val="auto"/>
          <w:sz w:val="24"/>
          <w:szCs w:val="24"/>
        </w:rPr>
        <w:fldChar w:fldCharType="end"/>
      </w:r>
      <w:r w:rsidR="007C6EE9" w:rsidRPr="007C6EE9">
        <w:rPr>
          <w:rFonts w:ascii="Arial Narrow" w:hAnsi="Arial Narrow" w:cs="Times New Roman"/>
          <w:b/>
          <w:i w:val="0"/>
          <w:color w:val="auto"/>
          <w:sz w:val="24"/>
          <w:szCs w:val="24"/>
        </w:rPr>
        <w:t xml:space="preserve"> Scatter plot of </w:t>
      </w:r>
      <w:proofErr w:type="gramStart"/>
      <w:r w:rsidR="007C6EE9" w:rsidRPr="007C6EE9">
        <w:rPr>
          <w:rFonts w:ascii="Arial Narrow" w:hAnsi="Arial Narrow" w:cs="Times New Roman"/>
          <w:b/>
          <w:i w:val="0"/>
          <w:color w:val="auto"/>
          <w:sz w:val="24"/>
          <w:szCs w:val="24"/>
        </w:rPr>
        <w:t>%</w:t>
      </w:r>
      <w:proofErr w:type="gramEnd"/>
      <w:r w:rsidR="007C6EE9" w:rsidRPr="007C6EE9">
        <w:rPr>
          <w:rFonts w:ascii="Arial Narrow" w:hAnsi="Arial Narrow" w:cs="Times New Roman"/>
          <w:b/>
          <w:i w:val="0"/>
          <w:color w:val="auto"/>
          <w:sz w:val="24"/>
          <w:szCs w:val="24"/>
        </w:rPr>
        <w:t xml:space="preserve"> CD8/CD38+/HLA-DR+ in the co-infected group</w:t>
      </w:r>
      <w:r w:rsidR="007C6EE9" w:rsidRPr="007C6EE9">
        <w:rPr>
          <w:rFonts w:ascii="Arial Narrow" w:hAnsi="Arial Narrow" w:cs="Times New Roman"/>
          <w:i w:val="0"/>
          <w:color w:val="auto"/>
          <w:sz w:val="24"/>
          <w:szCs w:val="24"/>
        </w:rPr>
        <w:t xml:space="preserve">. The plot only includes HBV/HIV co-infected patients. All patients with undetectable HIV viral load </w:t>
      </w:r>
      <w:proofErr w:type="gramStart"/>
      <w:r w:rsidR="007C6EE9" w:rsidRPr="007C6EE9">
        <w:rPr>
          <w:rFonts w:ascii="Arial Narrow" w:hAnsi="Arial Narrow" w:cs="Times New Roman"/>
          <w:i w:val="0"/>
          <w:color w:val="auto"/>
          <w:sz w:val="24"/>
          <w:szCs w:val="24"/>
        </w:rPr>
        <w:t>are assigned</w:t>
      </w:r>
      <w:proofErr w:type="gramEnd"/>
      <w:r w:rsidR="007C6EE9" w:rsidRPr="007C6EE9">
        <w:rPr>
          <w:rFonts w:ascii="Arial Narrow" w:hAnsi="Arial Narrow" w:cs="Times New Roman"/>
          <w:i w:val="0"/>
          <w:color w:val="auto"/>
          <w:sz w:val="24"/>
          <w:szCs w:val="24"/>
        </w:rPr>
        <w:t xml:space="preserve"> values of zero and appear on the y-axis as dots corresponding with the percentage expression CD8/CD38+/HLA-DR. </w:t>
      </w:r>
    </w:p>
    <w:p w:rsidR="007C6EE9" w:rsidRDefault="007C6EE9" w:rsidP="00B15D0C">
      <w:pPr>
        <w:spacing w:line="480" w:lineRule="auto"/>
      </w:pPr>
    </w:p>
    <w:p w:rsidR="007C6EE9" w:rsidRDefault="007C6EE9" w:rsidP="00B15D0C">
      <w:pPr>
        <w:spacing w:line="480" w:lineRule="auto"/>
      </w:pPr>
    </w:p>
    <w:p w:rsidR="00A77AE6" w:rsidRDefault="00A77AE6" w:rsidP="00B15D0C">
      <w:pPr>
        <w:spacing w:line="480" w:lineRule="auto"/>
        <w:sectPr w:rsidR="00A77AE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0B5EF6" w:rsidRPr="000B5EF6" w:rsidRDefault="000B5EF6" w:rsidP="00B15D0C">
      <w:pPr>
        <w:pStyle w:val="Caption"/>
        <w:spacing w:line="480" w:lineRule="auto"/>
        <w:rPr>
          <w:rFonts w:ascii="Arial Narrow" w:hAnsi="Arial Narrow"/>
          <w:b/>
          <w:sz w:val="24"/>
        </w:rPr>
      </w:pPr>
      <w:r w:rsidRPr="000B5EF6">
        <w:rPr>
          <w:rFonts w:ascii="Arial Narrow" w:hAnsi="Arial Narrow"/>
          <w:b/>
          <w:sz w:val="24"/>
        </w:rPr>
        <w:object w:dxaOrig="7427" w:dyaOrig="40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4.05pt;height:201.05pt" o:ole="">
            <v:imagedata r:id="rId8" o:title=""/>
          </v:shape>
          <o:OLEObject Type="Embed" ProgID="Prism5.Document" ShapeID="_x0000_i1025" DrawAspect="Content" ObjectID="_1582543991" r:id="rId9"/>
        </w:object>
      </w:r>
    </w:p>
    <w:p w:rsidR="000A1589" w:rsidRDefault="009B490C" w:rsidP="00D0678B">
      <w:pPr>
        <w:pStyle w:val="Caption"/>
        <w:keepNext/>
        <w:spacing w:line="480" w:lineRule="auto"/>
        <w:jc w:val="both"/>
      </w:pPr>
      <w:r>
        <w:rPr>
          <w:rFonts w:ascii="Arial Narrow" w:hAnsi="Arial Narrow"/>
          <w:b/>
          <w:i w:val="0"/>
          <w:color w:val="auto"/>
          <w:sz w:val="24"/>
        </w:rPr>
        <w:t xml:space="preserve">Supplementary </w:t>
      </w:r>
      <w:r w:rsidR="000B5EF6" w:rsidRPr="000B5EF6">
        <w:rPr>
          <w:rFonts w:ascii="Arial Narrow" w:hAnsi="Arial Narrow"/>
          <w:b/>
          <w:i w:val="0"/>
          <w:color w:val="auto"/>
          <w:sz w:val="24"/>
        </w:rPr>
        <w:t xml:space="preserve">Figure </w:t>
      </w:r>
      <w:r w:rsidR="00D0678B">
        <w:rPr>
          <w:rFonts w:ascii="Arial Narrow" w:hAnsi="Arial Narrow"/>
          <w:b/>
          <w:i w:val="0"/>
          <w:color w:val="auto"/>
          <w:sz w:val="24"/>
        </w:rPr>
        <w:t>2</w:t>
      </w:r>
      <w:r w:rsidR="000B5EF6" w:rsidRPr="000B5EF6">
        <w:rPr>
          <w:rFonts w:ascii="Arial Narrow" w:hAnsi="Arial Narrow"/>
          <w:b/>
          <w:i w:val="0"/>
          <w:color w:val="auto"/>
          <w:sz w:val="24"/>
        </w:rPr>
        <w:t xml:space="preserve"> Frequency of HBV genotypes according to HBV and HIV infection status</w:t>
      </w:r>
      <w:r w:rsidR="000B5EF6" w:rsidRPr="000B5EF6">
        <w:rPr>
          <w:rFonts w:ascii="Arial Narrow" w:hAnsi="Arial Narrow"/>
          <w:i w:val="0"/>
          <w:color w:val="auto"/>
          <w:sz w:val="24"/>
        </w:rPr>
        <w:t xml:space="preserve">. Among the </w:t>
      </w:r>
      <w:r w:rsidR="000B5EF6">
        <w:rPr>
          <w:rFonts w:ascii="Arial Narrow" w:hAnsi="Arial Narrow"/>
          <w:i w:val="0"/>
          <w:color w:val="auto"/>
          <w:sz w:val="24"/>
        </w:rPr>
        <w:t>13</w:t>
      </w:r>
      <w:r w:rsidR="000B5EF6" w:rsidRPr="000B5EF6">
        <w:rPr>
          <w:rFonts w:ascii="Arial Narrow" w:hAnsi="Arial Narrow"/>
          <w:i w:val="0"/>
          <w:color w:val="auto"/>
          <w:sz w:val="24"/>
        </w:rPr>
        <w:t xml:space="preserve"> co-infected </w:t>
      </w:r>
      <w:r w:rsidR="000B5EF6">
        <w:rPr>
          <w:rFonts w:ascii="Arial Narrow" w:hAnsi="Arial Narrow"/>
          <w:i w:val="0"/>
          <w:color w:val="auto"/>
          <w:sz w:val="24"/>
        </w:rPr>
        <w:t>patients whose HBV was</w:t>
      </w:r>
      <w:r w:rsidR="000B5EF6" w:rsidRPr="000B5EF6">
        <w:rPr>
          <w:rFonts w:ascii="Arial Narrow" w:hAnsi="Arial Narrow"/>
          <w:i w:val="0"/>
          <w:color w:val="auto"/>
          <w:sz w:val="24"/>
        </w:rPr>
        <w:t xml:space="preserve"> successfully sequenced, </w:t>
      </w:r>
      <w:proofErr w:type="gramStart"/>
      <w:r w:rsidR="000B5EF6">
        <w:rPr>
          <w:rFonts w:ascii="Arial Narrow" w:hAnsi="Arial Narrow"/>
          <w:i w:val="0"/>
          <w:color w:val="auto"/>
          <w:sz w:val="24"/>
        </w:rPr>
        <w:t>8</w:t>
      </w:r>
      <w:proofErr w:type="gramEnd"/>
      <w:r w:rsidR="000B5EF6" w:rsidRPr="000B5EF6">
        <w:rPr>
          <w:rFonts w:ascii="Arial Narrow" w:hAnsi="Arial Narrow"/>
          <w:i w:val="0"/>
          <w:color w:val="auto"/>
          <w:sz w:val="24"/>
        </w:rPr>
        <w:t xml:space="preserve"> (62%) were infected with HBV genotype A, </w:t>
      </w:r>
      <w:r w:rsidR="000B5EF6">
        <w:rPr>
          <w:rFonts w:ascii="Arial Narrow" w:hAnsi="Arial Narrow"/>
          <w:i w:val="0"/>
          <w:color w:val="auto"/>
          <w:sz w:val="24"/>
        </w:rPr>
        <w:t>3</w:t>
      </w:r>
      <w:r w:rsidR="000B5EF6" w:rsidRPr="000B5EF6">
        <w:rPr>
          <w:rFonts w:ascii="Arial Narrow" w:hAnsi="Arial Narrow"/>
          <w:i w:val="0"/>
          <w:color w:val="auto"/>
          <w:sz w:val="24"/>
        </w:rPr>
        <w:t xml:space="preserve"> (23%) with D and </w:t>
      </w:r>
      <w:r w:rsidR="000B5EF6">
        <w:rPr>
          <w:rFonts w:ascii="Arial Narrow" w:hAnsi="Arial Narrow"/>
          <w:i w:val="0"/>
          <w:color w:val="auto"/>
          <w:sz w:val="24"/>
        </w:rPr>
        <w:t>2</w:t>
      </w:r>
      <w:r w:rsidR="000B5EF6" w:rsidRPr="000B5EF6">
        <w:rPr>
          <w:rFonts w:ascii="Arial Narrow" w:hAnsi="Arial Narrow"/>
          <w:i w:val="0"/>
          <w:color w:val="auto"/>
          <w:sz w:val="24"/>
        </w:rPr>
        <w:t xml:space="preserve"> had HBV genotype E (15%). </w:t>
      </w:r>
      <w:r w:rsidR="000B5EF6">
        <w:rPr>
          <w:rFonts w:ascii="Arial Narrow" w:hAnsi="Arial Narrow"/>
          <w:i w:val="0"/>
          <w:color w:val="auto"/>
          <w:sz w:val="24"/>
        </w:rPr>
        <w:t>T</w:t>
      </w:r>
      <w:r w:rsidR="000B5EF6" w:rsidRPr="000B5EF6">
        <w:rPr>
          <w:rFonts w:ascii="Arial Narrow" w:hAnsi="Arial Narrow"/>
          <w:i w:val="0"/>
          <w:color w:val="auto"/>
          <w:sz w:val="24"/>
        </w:rPr>
        <w:t xml:space="preserve">he distribution of genotypes among the HBV mono-infected </w:t>
      </w:r>
      <w:r w:rsidR="000B5EF6">
        <w:rPr>
          <w:rFonts w:ascii="Arial Narrow" w:hAnsi="Arial Narrow"/>
          <w:i w:val="0"/>
          <w:color w:val="auto"/>
          <w:sz w:val="24"/>
        </w:rPr>
        <w:t>patients</w:t>
      </w:r>
      <w:r w:rsidR="000B5EF6" w:rsidRPr="000B5EF6">
        <w:rPr>
          <w:rFonts w:ascii="Arial Narrow" w:hAnsi="Arial Narrow"/>
          <w:i w:val="0"/>
          <w:color w:val="auto"/>
          <w:sz w:val="24"/>
        </w:rPr>
        <w:t xml:space="preserve"> was- 16/29 (55%) A, 11/29 (38%) D and 2/29 (7%) E</w:t>
      </w:r>
      <w:r w:rsidR="000B5EF6" w:rsidRPr="000B5EF6">
        <w:rPr>
          <w:rFonts w:ascii="Arial Narrow" w:hAnsi="Arial Narrow"/>
          <w:b/>
          <w:i w:val="0"/>
          <w:color w:val="auto"/>
          <w:sz w:val="24"/>
        </w:rPr>
        <w:t xml:space="preserve">. </w:t>
      </w:r>
      <w:r w:rsidR="000B5EF6" w:rsidRPr="000B5EF6">
        <w:rPr>
          <w:rFonts w:ascii="Arial Narrow" w:hAnsi="Arial Narrow"/>
          <w:i w:val="0"/>
          <w:color w:val="auto"/>
          <w:sz w:val="24"/>
        </w:rPr>
        <w:t>The red columns represent HBV genotype A, green is for genotype D and the blue corresponds to genotype E. Genotyping was frequently more successful in the HBV mono-infected group compared to the co-infected group</w:t>
      </w:r>
      <w:r w:rsidR="000B5EF6">
        <w:rPr>
          <w:rFonts w:ascii="Arial Narrow" w:hAnsi="Arial Narrow"/>
          <w:i w:val="0"/>
          <w:color w:val="auto"/>
          <w:sz w:val="24"/>
        </w:rPr>
        <w:t>.</w:t>
      </w:r>
    </w:p>
    <w:sectPr w:rsidR="000A1589" w:rsidSect="00D067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589"/>
    <w:rsid w:val="000A1589"/>
    <w:rsid w:val="000B5EF6"/>
    <w:rsid w:val="001A2976"/>
    <w:rsid w:val="0070531D"/>
    <w:rsid w:val="007C6EE9"/>
    <w:rsid w:val="00843A6F"/>
    <w:rsid w:val="009B490C"/>
    <w:rsid w:val="009D5785"/>
    <w:rsid w:val="009E7282"/>
    <w:rsid w:val="00A77AE6"/>
    <w:rsid w:val="00B15D0C"/>
    <w:rsid w:val="00B40EF9"/>
    <w:rsid w:val="00D0678B"/>
    <w:rsid w:val="00EA2203"/>
    <w:rsid w:val="00F23AC1"/>
    <w:rsid w:val="00F41E7A"/>
    <w:rsid w:val="00F9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7211B"/>
  <w15:chartTrackingRefBased/>
  <w15:docId w15:val="{58364F68-A4C8-4735-A579-0F9D2F89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uiPriority w:val="40"/>
    <w:rsid w:val="000A158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s2">
    <w:name w:val="Tables 2"/>
    <w:basedOn w:val="Normal"/>
    <w:next w:val="Normal"/>
    <w:link w:val="Tables2Char"/>
    <w:qFormat/>
    <w:rsid w:val="000A1589"/>
    <w:pPr>
      <w:spacing w:before="80" w:after="80" w:line="240" w:lineRule="auto"/>
    </w:pPr>
    <w:rPr>
      <w:rFonts w:ascii="Times New Roman" w:hAnsi="Times New Roman"/>
      <w:sz w:val="20"/>
    </w:rPr>
  </w:style>
  <w:style w:type="character" w:customStyle="1" w:styleId="Tables2Char">
    <w:name w:val="Tables 2 Char"/>
    <w:basedOn w:val="DefaultParagraphFont"/>
    <w:link w:val="Tables2"/>
    <w:rsid w:val="000A1589"/>
    <w:rPr>
      <w:rFonts w:ascii="Times New Roman" w:hAnsi="Times New Roman"/>
      <w:sz w:val="20"/>
    </w:rPr>
  </w:style>
  <w:style w:type="paragraph" w:styleId="Caption">
    <w:name w:val="caption"/>
    <w:basedOn w:val="Normal"/>
    <w:next w:val="Normal"/>
    <w:uiPriority w:val="35"/>
    <w:unhideWhenUsed/>
    <w:qFormat/>
    <w:rsid w:val="000A158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TableGridLight11">
    <w:name w:val="Table Grid Light11"/>
    <w:basedOn w:val="TableNormal"/>
    <w:uiPriority w:val="40"/>
    <w:rsid w:val="000B5EF6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PlainTable2">
    <w:name w:val="Plain Table 2"/>
    <w:basedOn w:val="TableNormal"/>
    <w:uiPriority w:val="42"/>
    <w:rsid w:val="00B15D0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1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6E700-CF44-4E9F-B3E9-214A1190B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Stellenbosch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Maponga, TG, Dr &lt;tongai@sun.ac.za&gt;</dc:creator>
  <cp:keywords/>
  <dc:description/>
  <cp:lastModifiedBy>Maponga, TG, Dr &lt;tongai@sun.ac.za&gt;</cp:lastModifiedBy>
  <cp:revision>2</cp:revision>
  <cp:lastPrinted>2017-08-29T14:05:00Z</cp:lastPrinted>
  <dcterms:created xsi:type="dcterms:W3CDTF">2018-03-14T12:46:00Z</dcterms:created>
  <dcterms:modified xsi:type="dcterms:W3CDTF">2018-03-14T12:46:00Z</dcterms:modified>
</cp:coreProperties>
</file>