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D4F64" w14:textId="6FBDDC24" w:rsidR="00386130" w:rsidRDefault="002E17D4" w:rsidP="00386130">
      <w:pPr>
        <w:spacing w:line="480" w:lineRule="auto"/>
        <w:jc w:val="left"/>
        <w:rPr>
          <w:rFonts w:ascii="Times New Roman" w:eastAsia="MS Mincho" w:hAnsi="Times New Roman" w:cs="Times New Roman"/>
          <w:b/>
          <w:sz w:val="24"/>
          <w:lang w:val="en-GB"/>
        </w:rPr>
      </w:pPr>
      <w:r>
        <w:rPr>
          <w:rFonts w:ascii="Times New Roman" w:eastAsia="MS Mincho" w:hAnsi="Times New Roman" w:cs="Times New Roman"/>
          <w:b/>
          <w:sz w:val="24"/>
          <w:lang w:val="en-GB"/>
        </w:rPr>
        <w:t xml:space="preserve">Table </w:t>
      </w:r>
      <w:r w:rsidR="00E22930">
        <w:rPr>
          <w:rFonts w:ascii="Times New Roman" w:eastAsia="MS Mincho" w:hAnsi="Times New Roman" w:cs="Times New Roman"/>
          <w:b/>
          <w:sz w:val="24"/>
          <w:lang w:val="en-GB"/>
        </w:rPr>
        <w:t>S</w:t>
      </w:r>
      <w:bookmarkStart w:id="0" w:name="_GoBack"/>
      <w:bookmarkEnd w:id="0"/>
      <w:r w:rsidR="00F530F4">
        <w:rPr>
          <w:rFonts w:ascii="Times New Roman" w:eastAsia="MS Mincho" w:hAnsi="Times New Roman" w:cs="Times New Roman"/>
          <w:b/>
          <w:sz w:val="24"/>
          <w:lang w:val="en-GB"/>
        </w:rPr>
        <w:t>3</w:t>
      </w:r>
      <w:r w:rsidR="00386130">
        <w:rPr>
          <w:rFonts w:ascii="Times New Roman" w:eastAsia="MS Mincho" w:hAnsi="Times New Roman" w:cs="Times New Roman"/>
          <w:b/>
          <w:sz w:val="24"/>
          <w:lang w:val="en-GB"/>
        </w:rPr>
        <w:t xml:space="preserve">. </w:t>
      </w:r>
      <w:r w:rsidR="00F530F4">
        <w:rPr>
          <w:rFonts w:ascii="Times New Roman" w:eastAsia="MS Mincho" w:hAnsi="Times New Roman" w:cs="Times New Roman"/>
          <w:b/>
          <w:sz w:val="24"/>
          <w:lang w:val="en-GB"/>
        </w:rPr>
        <w:t>Prevalence of other extrahepatic manifestations of chronic HCV infection</w:t>
      </w:r>
    </w:p>
    <w:tbl>
      <w:tblPr>
        <w:tblStyle w:val="TableGrid"/>
        <w:tblW w:w="115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701"/>
        <w:gridCol w:w="1417"/>
        <w:gridCol w:w="1418"/>
        <w:gridCol w:w="236"/>
        <w:gridCol w:w="1417"/>
        <w:gridCol w:w="1418"/>
      </w:tblGrid>
      <w:tr w:rsidR="000A044C" w:rsidRPr="00EF2D4E" w14:paraId="3462D564" w14:textId="77777777" w:rsidTr="000A044C">
        <w:trPr>
          <w:trHeight w:val="341"/>
        </w:trPr>
        <w:tc>
          <w:tcPr>
            <w:tcW w:w="3969" w:type="dxa"/>
            <w:vMerge w:val="restart"/>
            <w:vAlign w:val="center"/>
          </w:tcPr>
          <w:p w14:paraId="6A0B7EFA" w14:textId="77777777" w:rsidR="00EF2D4E" w:rsidRPr="00EF2D4E" w:rsidRDefault="00EF2D4E" w:rsidP="000A044C">
            <w:pPr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Diseases</w:t>
            </w:r>
          </w:p>
        </w:tc>
        <w:tc>
          <w:tcPr>
            <w:tcW w:w="1701" w:type="dxa"/>
            <w:vMerge w:val="restart"/>
            <w:vAlign w:val="center"/>
          </w:tcPr>
          <w:p w14:paraId="561319E1" w14:textId="77777777" w:rsidR="00EF2D4E" w:rsidRPr="00EF2D4E" w:rsidRDefault="00EF2D4E" w:rsidP="00EF2D4E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ICD-10 code</w:t>
            </w:r>
          </w:p>
        </w:tc>
        <w:tc>
          <w:tcPr>
            <w:tcW w:w="2835" w:type="dxa"/>
            <w:gridSpan w:val="2"/>
            <w:vAlign w:val="center"/>
          </w:tcPr>
          <w:p w14:paraId="35D4BD82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</w:rPr>
              <w:t>Chronic HCV patients</w:t>
            </w:r>
          </w:p>
          <w:p w14:paraId="3D76E5DD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</w:rPr>
              <w:t>(n=128,967)</w:t>
            </w:r>
          </w:p>
        </w:tc>
        <w:tc>
          <w:tcPr>
            <w:tcW w:w="236" w:type="dxa"/>
            <w:tcBorders>
              <w:bottom w:val="nil"/>
            </w:tcBorders>
          </w:tcPr>
          <w:p w14:paraId="155D2D9F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2ABFA8A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</w:rPr>
              <w:t>Non-HCV patients</w:t>
            </w:r>
          </w:p>
          <w:p w14:paraId="0AB74871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</w:rPr>
              <w:t>(n=515,868)</w:t>
            </w:r>
          </w:p>
        </w:tc>
      </w:tr>
      <w:tr w:rsidR="00EF2D4E" w:rsidRPr="00EF2D4E" w14:paraId="499B3403" w14:textId="77777777" w:rsidTr="000A044C">
        <w:trPr>
          <w:trHeight w:val="305"/>
        </w:trPr>
        <w:tc>
          <w:tcPr>
            <w:tcW w:w="3969" w:type="dxa"/>
            <w:vMerge/>
          </w:tcPr>
          <w:p w14:paraId="4EA13BF6" w14:textId="77777777" w:rsidR="00EF2D4E" w:rsidRPr="00EF2D4E" w:rsidRDefault="00EF2D4E" w:rsidP="00F530F4">
            <w:pPr>
              <w:jc w:val="lef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vMerge/>
            <w:vAlign w:val="center"/>
          </w:tcPr>
          <w:p w14:paraId="1A863605" w14:textId="77777777" w:rsidR="00EF2D4E" w:rsidRPr="00EF2D4E" w:rsidRDefault="00EF2D4E" w:rsidP="00EF2D4E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29D315A4" w14:textId="77777777" w:rsidR="00EF2D4E" w:rsidRPr="00EF2D4E" w:rsidRDefault="00EF2D4E" w:rsidP="00EF2D4E">
            <w:pPr>
              <w:jc w:val="righ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1418" w:type="dxa"/>
          </w:tcPr>
          <w:p w14:paraId="21F1F46B" w14:textId="77777777" w:rsidR="00EF2D4E" w:rsidRPr="00EF2D4E" w:rsidRDefault="00EF2D4E" w:rsidP="00EF2D4E">
            <w:pPr>
              <w:ind w:leftChars="-50" w:left="-105"/>
              <w:jc w:val="lef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(%)</w:t>
            </w:r>
          </w:p>
        </w:tc>
        <w:tc>
          <w:tcPr>
            <w:tcW w:w="236" w:type="dxa"/>
            <w:tcBorders>
              <w:top w:val="nil"/>
            </w:tcBorders>
          </w:tcPr>
          <w:p w14:paraId="5A3A7D6B" w14:textId="77777777" w:rsidR="00EF2D4E" w:rsidRPr="00EF2D4E" w:rsidRDefault="00EF2D4E" w:rsidP="00EF2D4E">
            <w:pPr>
              <w:jc w:val="righ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10EA55D4" w14:textId="77777777" w:rsidR="00EF2D4E" w:rsidRPr="00EF2D4E" w:rsidRDefault="00EF2D4E" w:rsidP="00EF2D4E">
            <w:pPr>
              <w:jc w:val="righ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1417" w:type="dxa"/>
          </w:tcPr>
          <w:p w14:paraId="08EB6555" w14:textId="77777777" w:rsidR="00EF2D4E" w:rsidRPr="00EF2D4E" w:rsidRDefault="00EF2D4E" w:rsidP="00EF2D4E">
            <w:pPr>
              <w:ind w:leftChars="-50" w:left="-105"/>
              <w:jc w:val="lef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(%)</w:t>
            </w:r>
          </w:p>
        </w:tc>
      </w:tr>
      <w:tr w:rsidR="00EF2D4E" w:rsidRPr="00EF2D4E" w14:paraId="5B04745A" w14:textId="77777777" w:rsidTr="000A044C">
        <w:trPr>
          <w:trHeight w:val="311"/>
        </w:trPr>
        <w:tc>
          <w:tcPr>
            <w:tcW w:w="3969" w:type="dxa"/>
            <w:tcBorders>
              <w:bottom w:val="nil"/>
            </w:tcBorders>
            <w:vAlign w:val="center"/>
          </w:tcPr>
          <w:p w14:paraId="62273187" w14:textId="77777777" w:rsidR="00EF2D4E" w:rsidRPr="00EF2D4E" w:rsidRDefault="00EF2D4E" w:rsidP="000A044C">
            <w:pPr>
              <w:spacing w:line="360" w:lineRule="auto"/>
              <w:jc w:val="lef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Parkinson disease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4A3EB1A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G20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F7EFCDD" w14:textId="59C96692" w:rsidR="00EF2D4E" w:rsidRPr="00EF2D4E" w:rsidRDefault="00EF2D4E" w:rsidP="000A044C">
            <w:pPr>
              <w:spacing w:line="276" w:lineRule="auto"/>
              <w:jc w:val="righ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1</w:t>
            </w:r>
            <w:r w:rsidR="00DB6BC5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,</w:t>
            </w: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440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75B7A1DE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t>(1.1)</w:t>
            </w:r>
          </w:p>
        </w:tc>
        <w:tc>
          <w:tcPr>
            <w:tcW w:w="236" w:type="dxa"/>
            <w:tcBorders>
              <w:bottom w:val="nil"/>
            </w:tcBorders>
          </w:tcPr>
          <w:p w14:paraId="20C9BDF5" w14:textId="77777777" w:rsidR="00EF2D4E" w:rsidRPr="00EF2D4E" w:rsidRDefault="00EF2D4E" w:rsidP="000A044C">
            <w:pPr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68920AA" w14:textId="77777777" w:rsidR="00EF2D4E" w:rsidRPr="00EF2D4E" w:rsidRDefault="00EF2D4E" w:rsidP="000A044C">
            <w:pPr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5,644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5B71099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(1.1)</w:t>
            </w:r>
          </w:p>
        </w:tc>
      </w:tr>
      <w:tr w:rsidR="00EF2D4E" w:rsidRPr="00EF2D4E" w14:paraId="5EF5A036" w14:textId="77777777" w:rsidTr="000A044C">
        <w:trPr>
          <w:trHeight w:val="305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54F0986E" w14:textId="77777777" w:rsidR="00EF2D4E" w:rsidRPr="00EF2D4E" w:rsidRDefault="00EF2D4E" w:rsidP="000A044C">
            <w:pPr>
              <w:spacing w:line="360" w:lineRule="auto"/>
              <w:jc w:val="left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Non-Hodgkin lymphoma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1497D8" w14:textId="77777777" w:rsidR="00EF2D4E" w:rsidRPr="00EF2D4E" w:rsidRDefault="00EF2D4E" w:rsidP="000A044C">
            <w:pPr>
              <w:jc w:val="center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B21.2,</w:t>
            </w:r>
          </w:p>
          <w:p w14:paraId="0A11F1D2" w14:textId="77777777" w:rsidR="00EF2D4E" w:rsidRPr="00EF2D4E" w:rsidRDefault="00EF2D4E" w:rsidP="000A044C">
            <w:pPr>
              <w:jc w:val="center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C82‒85, C91.5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D76A92D" w14:textId="77777777" w:rsidR="00EF2D4E" w:rsidRPr="00EF2D4E" w:rsidRDefault="00EF2D4E" w:rsidP="000A044C">
            <w:pPr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2,100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C4523C5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(1.6)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37A49A9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5688D13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4,502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6F8B99E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(0.9)</w:t>
            </w:r>
          </w:p>
        </w:tc>
      </w:tr>
      <w:tr w:rsidR="00EF2D4E" w:rsidRPr="00EF2D4E" w14:paraId="39E6E666" w14:textId="77777777" w:rsidTr="000A044C">
        <w:trPr>
          <w:trHeight w:val="305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10103234" w14:textId="77777777" w:rsidR="00EF2D4E" w:rsidRPr="00EF2D4E" w:rsidRDefault="00EF2D4E" w:rsidP="000A044C">
            <w:pPr>
              <w:spacing w:line="360" w:lineRule="auto"/>
              <w:jc w:val="left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Cryoglobulinaemia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62AEA9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D89.1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CD364F5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4D4E37F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(0.3)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6284677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2244070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3C8D02C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(0.0)</w:t>
            </w:r>
          </w:p>
        </w:tc>
      </w:tr>
      <w:tr w:rsidR="00EF2D4E" w:rsidRPr="00EF2D4E" w14:paraId="1C6A47FE" w14:textId="77777777" w:rsidTr="000A044C">
        <w:trPr>
          <w:trHeight w:val="305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6A21BCA8" w14:textId="77777777" w:rsidR="00EF2D4E" w:rsidRPr="00EF2D4E" w:rsidRDefault="00EF2D4E" w:rsidP="000A044C">
            <w:pPr>
              <w:ind w:left="170" w:hangingChars="71" w:hanging="170"/>
              <w:jc w:val="left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Monoclonal gammopathy of undetermined significance (MGUS)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B4F5E90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D47.2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EEB7283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994C7E8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(0.1)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BC5F196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3D1ED52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78A36EF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(0.0)</w:t>
            </w:r>
          </w:p>
        </w:tc>
      </w:tr>
      <w:tr w:rsidR="00EF2D4E" w:rsidRPr="00EF2D4E" w14:paraId="7807D328" w14:textId="77777777" w:rsidTr="000A044C">
        <w:trPr>
          <w:trHeight w:val="305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34589498" w14:textId="77777777" w:rsidR="00EF2D4E" w:rsidRPr="00EF2D4E" w:rsidRDefault="00EF2D4E" w:rsidP="000A044C">
            <w:pPr>
              <w:spacing w:line="360" w:lineRule="auto"/>
              <w:jc w:val="left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Sicca syndrome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496356" w14:textId="77777777" w:rsidR="00EF2D4E" w:rsidRPr="00EF2D4E" w:rsidRDefault="00EF2D4E" w:rsidP="000A044C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M35.0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B74A519" w14:textId="67B1D317" w:rsidR="00EF2D4E" w:rsidRPr="00DB6BC5" w:rsidRDefault="00DB6BC5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047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4EE752B" w14:textId="53B7C556" w:rsidR="00EF2D4E" w:rsidRPr="00DB6BC5" w:rsidRDefault="00DB6BC5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(0.8)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B11B83B" w14:textId="77777777" w:rsidR="00EF2D4E" w:rsidRPr="00DB6BC5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1D57F75" w14:textId="1E70C7E8" w:rsidR="00EF2D4E" w:rsidRPr="00DB6BC5" w:rsidRDefault="00DB6BC5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687850B" w14:textId="3EADF341" w:rsidR="00EF2D4E" w:rsidRPr="00DB6BC5" w:rsidRDefault="00DB6BC5" w:rsidP="00DB6BC5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DB6BC5">
              <w:rPr>
                <w:rFonts w:ascii="Times New Roman" w:hAnsi="Times New Roman" w:cs="Times New Roman"/>
                <w:sz w:val="24"/>
                <w:szCs w:val="24"/>
              </w:rPr>
              <w:t>(0.5</w:t>
            </w:r>
            <w:r w:rsidR="00EF2D4E" w:rsidRPr="00DB6BC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F2D4E" w:rsidRPr="00EF2D4E" w14:paraId="75E43EE5" w14:textId="77777777" w:rsidTr="000A044C">
        <w:trPr>
          <w:trHeight w:val="305"/>
        </w:trPr>
        <w:tc>
          <w:tcPr>
            <w:tcW w:w="3969" w:type="dxa"/>
            <w:tcBorders>
              <w:top w:val="nil"/>
            </w:tcBorders>
            <w:vAlign w:val="center"/>
          </w:tcPr>
          <w:p w14:paraId="5F3C8F67" w14:textId="77777777" w:rsidR="00EF2D4E" w:rsidRPr="00EF2D4E" w:rsidRDefault="00EF2D4E" w:rsidP="000A044C">
            <w:pPr>
              <w:spacing w:line="360" w:lineRule="auto"/>
              <w:jc w:val="left"/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Inflammatory polyarthropathies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1565595" w14:textId="317CBA21" w:rsidR="00EF2D4E" w:rsidRPr="00EF2D4E" w:rsidRDefault="00EF2D4E" w:rsidP="0099764F">
            <w:pPr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</w:pP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M05</w:t>
            </w:r>
            <w:r w:rsidR="0099764F"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‒</w:t>
            </w:r>
            <w:r w:rsidRPr="00EF2D4E">
              <w:rPr>
                <w:rFonts w:ascii="Times New Roman" w:eastAsia="MS PGothic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81E15EF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8,680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153C65BE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(6.7)</w:t>
            </w:r>
          </w:p>
        </w:tc>
        <w:tc>
          <w:tcPr>
            <w:tcW w:w="236" w:type="dxa"/>
            <w:tcBorders>
              <w:top w:val="nil"/>
            </w:tcBorders>
          </w:tcPr>
          <w:p w14:paraId="4917DD6D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3396694D" w14:textId="77777777" w:rsidR="00EF2D4E" w:rsidRPr="00EF2D4E" w:rsidRDefault="00EF2D4E" w:rsidP="000A044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21,211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C528C7C" w14:textId="77777777" w:rsidR="00EF2D4E" w:rsidRPr="00EF2D4E" w:rsidRDefault="00EF2D4E" w:rsidP="000A044C">
            <w:pPr>
              <w:spacing w:line="276" w:lineRule="auto"/>
              <w:ind w:leftChars="-50"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F2D4E">
              <w:rPr>
                <w:rFonts w:ascii="Times New Roman" w:hAnsi="Times New Roman" w:cs="Times New Roman"/>
                <w:sz w:val="24"/>
                <w:szCs w:val="24"/>
              </w:rPr>
              <w:t>(4.1)</w:t>
            </w:r>
          </w:p>
        </w:tc>
      </w:tr>
    </w:tbl>
    <w:p w14:paraId="504DCCD4" w14:textId="77777777" w:rsidR="00421EAE" w:rsidRPr="00E737C1" w:rsidRDefault="000A044C" w:rsidP="00E737C1">
      <w:pPr>
        <w:widowControl/>
        <w:spacing w:line="480" w:lineRule="auto"/>
        <w:jc w:val="left"/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Times New Roman" w:eastAsia="MS Mincho" w:hAnsi="Times New Roman" w:cs="Times New Roman"/>
          <w:sz w:val="24"/>
          <w:szCs w:val="24"/>
          <w:lang w:val="en-GB"/>
        </w:rPr>
        <w:t>For each disease, the number and percentage of patients with at least one disease record during the study period are shown.</w:t>
      </w:r>
    </w:p>
    <w:sectPr w:rsidR="00421EAE" w:rsidRPr="00E737C1" w:rsidSect="00EF2D4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4"/>
  </w:docVars>
  <w:rsids>
    <w:rsidRoot w:val="00386130"/>
    <w:rsid w:val="000A044C"/>
    <w:rsid w:val="00136EA2"/>
    <w:rsid w:val="002E17D4"/>
    <w:rsid w:val="00354688"/>
    <w:rsid w:val="00386130"/>
    <w:rsid w:val="00414B73"/>
    <w:rsid w:val="00421EAE"/>
    <w:rsid w:val="00436A6A"/>
    <w:rsid w:val="004B7028"/>
    <w:rsid w:val="00725291"/>
    <w:rsid w:val="008A63A1"/>
    <w:rsid w:val="00920FC7"/>
    <w:rsid w:val="0099764F"/>
    <w:rsid w:val="00BB7D00"/>
    <w:rsid w:val="00DB6BC5"/>
    <w:rsid w:val="00E01010"/>
    <w:rsid w:val="00E22930"/>
    <w:rsid w:val="00E737C1"/>
    <w:rsid w:val="00EB244F"/>
    <w:rsid w:val="00EF2D4E"/>
    <w:rsid w:val="00F45FF6"/>
    <w:rsid w:val="00F530F4"/>
    <w:rsid w:val="00FD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F69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2D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D4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D4E"/>
  </w:style>
  <w:style w:type="paragraph" w:styleId="BalloonText">
    <w:name w:val="Balloon Text"/>
    <w:basedOn w:val="Normal"/>
    <w:link w:val="BalloonTextChar"/>
    <w:uiPriority w:val="99"/>
    <w:semiHidden/>
    <w:unhideWhenUsed/>
    <w:rsid w:val="000A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44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2D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D4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D4E"/>
  </w:style>
  <w:style w:type="paragraph" w:styleId="BalloonText">
    <w:name w:val="Balloon Text"/>
    <w:basedOn w:val="Normal"/>
    <w:link w:val="BalloonTextChar"/>
    <w:uiPriority w:val="99"/>
    <w:semiHidden/>
    <w:unhideWhenUsed/>
    <w:rsid w:val="000A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4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573</Characters>
  <Application>Microsoft Office Word</Application>
  <DocSecurity>0</DocSecurity>
  <Lines>63</Lines>
  <Paragraphs>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</dc:creator>
  <cp:keywords/>
  <dc:description/>
  <cp:lastModifiedBy>S3G_Apply_Fixed_Case</cp:lastModifiedBy>
  <cp:revision>7</cp:revision>
  <cp:lastPrinted>2018-03-01T06:32:00Z</cp:lastPrinted>
  <dcterms:created xsi:type="dcterms:W3CDTF">2018-03-01T01:04:00Z</dcterms:created>
  <dcterms:modified xsi:type="dcterms:W3CDTF">2018-05-16T00:51:00Z</dcterms:modified>
</cp:coreProperties>
</file>