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749" w:rsidRPr="009E7B09" w:rsidRDefault="005A7749" w:rsidP="005A7749">
      <w:pPr>
        <w:spacing w:line="480" w:lineRule="auto"/>
        <w:rPr>
          <w:rFonts w:ascii="Calibri" w:eastAsia="宋体" w:hAnsi="Calibri" w:cs="Times New Roman"/>
          <w:b/>
          <w:color w:val="000000" w:themeColor="text1"/>
          <w:sz w:val="28"/>
          <w:szCs w:val="24"/>
        </w:rPr>
      </w:pPr>
      <w:r w:rsidRPr="009E7B09">
        <w:rPr>
          <w:rFonts w:ascii="Calibri" w:eastAsia="宋体" w:hAnsi="Calibri" w:cs="Times New Roman"/>
          <w:b/>
          <w:color w:val="000000" w:themeColor="text1"/>
          <w:sz w:val="28"/>
          <w:szCs w:val="24"/>
        </w:rPr>
        <w:t>Next generation sequencing</w:t>
      </w:r>
    </w:p>
    <w:p w:rsidR="00060D45" w:rsidRPr="009E7B09" w:rsidRDefault="005A7749" w:rsidP="005A7749">
      <w:pPr>
        <w:adjustRightInd w:val="0"/>
        <w:snapToGrid w:val="0"/>
        <w:spacing w:line="480" w:lineRule="auto"/>
        <w:ind w:firstLine="420"/>
        <w:rPr>
          <w:rFonts w:ascii="Calibri" w:eastAsia="宋体" w:hAnsi="Calibri" w:cs="Times New Roman"/>
          <w:color w:val="000000" w:themeColor="text1"/>
        </w:rPr>
      </w:pPr>
      <w:r w:rsidRPr="009E7B09">
        <w:rPr>
          <w:rFonts w:ascii="Calibri" w:eastAsia="宋体" w:hAnsi="Calibri" w:cs="Times New Roman" w:hint="eastAsia"/>
          <w:color w:val="000000" w:themeColor="text1"/>
        </w:rPr>
        <w:t xml:space="preserve">3mL of each </w:t>
      </w:r>
      <w:r w:rsidRPr="009E7B09">
        <w:rPr>
          <w:rFonts w:ascii="Calibri" w:eastAsia="宋体" w:hAnsi="Calibri" w:cs="Times New Roman"/>
          <w:color w:val="000000" w:themeColor="text1"/>
        </w:rPr>
        <w:t>sample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 (</w:t>
      </w:r>
      <w:r w:rsidRPr="009E7B09">
        <w:rPr>
          <w:rFonts w:ascii="Calibri" w:eastAsia="宋体" w:hAnsi="Calibri" w:cs="Times New Roman"/>
          <w:color w:val="000000" w:themeColor="text1"/>
        </w:rPr>
        <w:t>Bronchoalveolar Lavage Fluid (</w:t>
      </w:r>
      <w:r w:rsidRPr="009E7B09">
        <w:rPr>
          <w:rFonts w:ascii="Calibri" w:eastAsia="宋体" w:hAnsi="Calibri" w:cs="Times New Roman" w:hint="eastAsia"/>
          <w:color w:val="000000" w:themeColor="text1"/>
        </w:rPr>
        <w:t>BALF</w:t>
      </w:r>
      <w:r w:rsidRPr="009E7B09">
        <w:rPr>
          <w:rFonts w:ascii="Calibri" w:eastAsia="宋体" w:hAnsi="Calibri" w:cs="Times New Roman"/>
          <w:color w:val="000000" w:themeColor="text1"/>
        </w:rPr>
        <w:t>)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, CSF and bone marrow) </w:t>
      </w:r>
      <w:r w:rsidRPr="009E7B09">
        <w:rPr>
          <w:rFonts w:ascii="Calibri" w:eastAsia="宋体" w:hAnsi="Calibri" w:cs="Times New Roman"/>
          <w:color w:val="000000" w:themeColor="text1"/>
        </w:rPr>
        <w:t xml:space="preserve">from 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the </w:t>
      </w:r>
      <w:r w:rsidRPr="009E7B09">
        <w:rPr>
          <w:rFonts w:ascii="Calibri" w:eastAsia="宋体" w:hAnsi="Calibri" w:cs="Times New Roman"/>
          <w:color w:val="000000" w:themeColor="text1"/>
        </w:rPr>
        <w:t>patient w</w:t>
      </w:r>
      <w:r w:rsidRPr="009E7B09">
        <w:rPr>
          <w:rFonts w:ascii="Calibri" w:eastAsia="宋体" w:hAnsi="Calibri" w:cs="Times New Roman" w:hint="eastAsia"/>
          <w:color w:val="000000" w:themeColor="text1"/>
        </w:rPr>
        <w:t>ere</w:t>
      </w:r>
      <w:r w:rsidRPr="009E7B09">
        <w:rPr>
          <w:rFonts w:ascii="Calibri" w:eastAsia="宋体" w:hAnsi="Calibri" w:cs="Times New Roman"/>
          <w:color w:val="000000" w:themeColor="text1"/>
        </w:rPr>
        <w:t xml:space="preserve"> collected according to standard procedures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. 1.5mL </w:t>
      </w:r>
      <w:proofErr w:type="spellStart"/>
      <w:r w:rsidRPr="009E7B09">
        <w:rPr>
          <w:rFonts w:ascii="Calibri" w:eastAsia="宋体" w:hAnsi="Calibri" w:cs="Times New Roman" w:hint="eastAsia"/>
          <w:color w:val="000000" w:themeColor="text1"/>
        </w:rPr>
        <w:t>m</w:t>
      </w:r>
      <w:r w:rsidRPr="009E7B09">
        <w:rPr>
          <w:rFonts w:ascii="Calibri" w:eastAsia="宋体" w:hAnsi="Calibri" w:cs="Times New Roman"/>
          <w:color w:val="000000" w:themeColor="text1"/>
        </w:rPr>
        <w:t>icrocentrifuge</w:t>
      </w:r>
      <w:proofErr w:type="spellEnd"/>
      <w:r w:rsidRPr="009E7B09">
        <w:rPr>
          <w:rFonts w:ascii="Calibri" w:eastAsia="宋体" w:hAnsi="Calibri" w:cs="Times New Roman" w:hint="eastAsia"/>
          <w:color w:val="000000" w:themeColor="text1"/>
        </w:rPr>
        <w:t xml:space="preserve"> </w:t>
      </w:r>
      <w:r w:rsidRPr="009E7B09">
        <w:rPr>
          <w:rFonts w:ascii="Calibri" w:eastAsia="宋体" w:hAnsi="Calibri" w:cs="Times New Roman"/>
          <w:color w:val="000000" w:themeColor="text1"/>
        </w:rPr>
        <w:t xml:space="preserve">tube with 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0.5mL </w:t>
      </w:r>
      <w:r w:rsidRPr="009E7B09">
        <w:rPr>
          <w:rFonts w:ascii="Calibri" w:eastAsia="宋体" w:hAnsi="Calibri" w:cs="Times New Roman"/>
          <w:color w:val="000000" w:themeColor="text1"/>
        </w:rPr>
        <w:t xml:space="preserve">sample and 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1g 0.5mm glass </w:t>
      </w:r>
      <w:r w:rsidRPr="009E7B09">
        <w:rPr>
          <w:rFonts w:ascii="Calibri" w:eastAsia="宋体" w:hAnsi="Calibri" w:cs="Times New Roman"/>
          <w:color w:val="000000" w:themeColor="text1"/>
        </w:rPr>
        <w:t>bead were attached to a horizontal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 </w:t>
      </w:r>
      <w:r w:rsidRPr="009E7B09">
        <w:rPr>
          <w:rFonts w:ascii="Calibri" w:eastAsia="宋体" w:hAnsi="Calibri" w:cs="Times New Roman"/>
          <w:color w:val="000000" w:themeColor="text1"/>
        </w:rPr>
        <w:t xml:space="preserve">platform on a vortex mixer and agitated vigorously at 2800-3200 rpm for </w:t>
      </w:r>
      <w:r w:rsidRPr="009E7B09">
        <w:rPr>
          <w:rFonts w:ascii="Calibri" w:eastAsia="宋体" w:hAnsi="Calibri" w:cs="Times New Roman" w:hint="eastAsia"/>
          <w:color w:val="000000" w:themeColor="text1"/>
        </w:rPr>
        <w:t>3</w:t>
      </w:r>
      <w:r w:rsidRPr="009E7B09">
        <w:rPr>
          <w:rFonts w:ascii="Calibri" w:eastAsia="宋体" w:hAnsi="Calibri" w:cs="Times New Roman"/>
          <w:color w:val="000000" w:themeColor="text1"/>
        </w:rPr>
        <w:t>0 min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 (For skin tissue, 10mg </w:t>
      </w:r>
      <w:proofErr w:type="spellStart"/>
      <w:r w:rsidRPr="009E7B09">
        <w:rPr>
          <w:rFonts w:ascii="Calibri" w:eastAsia="宋体" w:hAnsi="Calibri" w:cs="Times New Roman" w:hint="eastAsia"/>
          <w:color w:val="000000" w:themeColor="text1"/>
        </w:rPr>
        <w:t>tissus</w:t>
      </w:r>
      <w:proofErr w:type="spellEnd"/>
      <w:r w:rsidRPr="009E7B09">
        <w:rPr>
          <w:rFonts w:ascii="Calibri" w:eastAsia="宋体" w:hAnsi="Calibri" w:cs="Times New Roman" w:hint="eastAsia"/>
          <w:color w:val="000000" w:themeColor="text1"/>
        </w:rPr>
        <w:t xml:space="preserve"> plus </w:t>
      </w:r>
      <w:r w:rsidRPr="009E7B09">
        <w:rPr>
          <w:rFonts w:ascii="Calibri" w:eastAsia="宋体" w:hAnsi="Calibri" w:cs="Times New Roman"/>
          <w:color w:val="000000" w:themeColor="text1"/>
        </w:rPr>
        <w:t>0.5ml H2O and 1g 0.5mm glass bead were attached to a horizontal platform on a vortex mixer and agitated vigorously at 2800-3200RPM for 30 min</w:t>
      </w:r>
      <w:r w:rsidRPr="009E7B09">
        <w:rPr>
          <w:rFonts w:ascii="Calibri" w:eastAsia="宋体" w:hAnsi="Calibri" w:cs="Times New Roman" w:hint="eastAsia"/>
          <w:color w:val="000000" w:themeColor="text1"/>
        </w:rPr>
        <w:t>)</w:t>
      </w:r>
      <w:r w:rsidRPr="009E7B09">
        <w:rPr>
          <w:rFonts w:ascii="Calibri" w:eastAsia="宋体" w:hAnsi="Calibri" w:cs="Times New Roman"/>
          <w:color w:val="000000" w:themeColor="text1"/>
        </w:rPr>
        <w:t>.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 0.3mL sample was </w:t>
      </w:r>
      <w:r w:rsidRPr="009E7B09">
        <w:rPr>
          <w:rFonts w:ascii="Calibri" w:eastAsia="宋体" w:hAnsi="Calibri" w:cs="Times New Roman"/>
          <w:color w:val="000000" w:themeColor="text1"/>
        </w:rPr>
        <w:t>separate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d into </w:t>
      </w:r>
      <w:r w:rsidRPr="009E7B09">
        <w:rPr>
          <w:rFonts w:ascii="Calibri" w:eastAsia="宋体" w:hAnsi="Calibri" w:cs="Times New Roman"/>
          <w:color w:val="000000" w:themeColor="text1"/>
        </w:rPr>
        <w:t>a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 new 1.5mL </w:t>
      </w:r>
      <w:proofErr w:type="spellStart"/>
      <w:r w:rsidRPr="009E7B09">
        <w:rPr>
          <w:rFonts w:ascii="Calibri" w:eastAsia="宋体" w:hAnsi="Calibri" w:cs="Times New Roman" w:hint="eastAsia"/>
          <w:color w:val="000000" w:themeColor="text1"/>
        </w:rPr>
        <w:t>m</w:t>
      </w:r>
      <w:r w:rsidRPr="009E7B09">
        <w:rPr>
          <w:rFonts w:ascii="Calibri" w:eastAsia="宋体" w:hAnsi="Calibri" w:cs="Times New Roman"/>
          <w:color w:val="000000" w:themeColor="text1"/>
        </w:rPr>
        <w:t>icrocentrifuge</w:t>
      </w:r>
      <w:proofErr w:type="spellEnd"/>
      <w:r w:rsidRPr="009E7B09">
        <w:rPr>
          <w:rFonts w:ascii="Calibri" w:eastAsia="宋体" w:hAnsi="Calibri" w:cs="Times New Roman" w:hint="eastAsia"/>
          <w:color w:val="000000" w:themeColor="text1"/>
        </w:rPr>
        <w:t xml:space="preserve"> </w:t>
      </w:r>
      <w:r w:rsidRPr="009E7B09">
        <w:rPr>
          <w:rFonts w:ascii="Calibri" w:eastAsia="宋体" w:hAnsi="Calibri" w:cs="Times New Roman"/>
          <w:color w:val="000000" w:themeColor="text1"/>
        </w:rPr>
        <w:t>tube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 and DNA</w:t>
      </w:r>
      <w:r w:rsidRPr="009E7B09">
        <w:rPr>
          <w:rFonts w:ascii="Calibri" w:eastAsia="宋体" w:hAnsi="Calibri" w:cs="Times New Roman"/>
          <w:color w:val="000000" w:themeColor="text1"/>
        </w:rPr>
        <w:t xml:space="preserve"> was extracted </w:t>
      </w:r>
      <w:bookmarkStart w:id="0" w:name="_GoBack"/>
      <w:bookmarkEnd w:id="0"/>
      <w:r w:rsidRPr="009E7B09">
        <w:rPr>
          <w:rFonts w:ascii="Calibri" w:eastAsia="宋体" w:hAnsi="Calibri" w:cs="Times New Roman"/>
          <w:color w:val="000000" w:themeColor="text1"/>
        </w:rPr>
        <w:t>using the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 </w:t>
      </w:r>
      <w:proofErr w:type="spellStart"/>
      <w:r w:rsidRPr="009E7B09">
        <w:rPr>
          <w:rFonts w:ascii="Calibri" w:eastAsia="宋体" w:hAnsi="Calibri" w:cs="Times New Roman" w:hint="eastAsia"/>
          <w:color w:val="000000" w:themeColor="text1"/>
        </w:rPr>
        <w:t>TIANAmp</w:t>
      </w:r>
      <w:proofErr w:type="spellEnd"/>
      <w:r w:rsidRPr="009E7B09">
        <w:rPr>
          <w:rFonts w:ascii="Calibri" w:eastAsia="宋体" w:hAnsi="Calibri" w:cs="Times New Roman" w:hint="eastAsia"/>
          <w:color w:val="000000" w:themeColor="text1"/>
        </w:rPr>
        <w:t xml:space="preserve"> Micro DNA</w:t>
      </w:r>
      <w:r w:rsidRPr="009E7B09">
        <w:rPr>
          <w:rFonts w:ascii="Calibri" w:eastAsia="宋体" w:hAnsi="Calibri" w:cs="Times New Roman"/>
          <w:color w:val="000000" w:themeColor="text1"/>
        </w:rPr>
        <w:t xml:space="preserve"> Kit according to the manufacturer’s recommendation. After synthesis of second-strand DNA</w:t>
      </w:r>
      <w:r w:rsidRPr="009E7B09">
        <w:rPr>
          <w:rFonts w:ascii="Calibri" w:eastAsia="宋体" w:hAnsi="Calibri" w:cs="Times New Roman" w:hint="eastAsia"/>
          <w:color w:val="000000" w:themeColor="text1"/>
        </w:rPr>
        <w:t>,</w:t>
      </w:r>
      <w:r w:rsidRPr="009E7B09">
        <w:rPr>
          <w:rFonts w:ascii="Calibri" w:eastAsia="宋体" w:hAnsi="Calibri" w:cs="Times New Roman"/>
          <w:color w:val="000000" w:themeColor="text1"/>
        </w:rPr>
        <w:t xml:space="preserve"> DNA libraries were constructed through DNA-fragmentation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, </w:t>
      </w:r>
      <w:r w:rsidRPr="009E7B09">
        <w:rPr>
          <w:rFonts w:ascii="Calibri" w:eastAsia="宋体" w:hAnsi="Calibri" w:cs="Times New Roman"/>
          <w:color w:val="000000" w:themeColor="text1"/>
        </w:rPr>
        <w:t xml:space="preserve">end-repair, 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add A-tailing, </w:t>
      </w:r>
      <w:r w:rsidRPr="009E7B09">
        <w:rPr>
          <w:rFonts w:ascii="Calibri" w:eastAsia="宋体" w:hAnsi="Calibri" w:cs="Times New Roman"/>
          <w:color w:val="000000" w:themeColor="text1"/>
        </w:rPr>
        <w:t>adapter-ligation and PCR amplification. Agilent 2100 was used for quality control of the DNA libraries. Quality qualified libraries were sequenced by BGISEQ-</w:t>
      </w:r>
      <w:r w:rsidRPr="009E7B09">
        <w:rPr>
          <w:rFonts w:ascii="Calibri" w:eastAsia="宋体" w:hAnsi="Calibri" w:cs="Times New Roman" w:hint="eastAsia"/>
          <w:color w:val="000000" w:themeColor="text1"/>
        </w:rPr>
        <w:t>1</w:t>
      </w:r>
      <w:r w:rsidRPr="009E7B09">
        <w:rPr>
          <w:rFonts w:ascii="Calibri" w:eastAsia="宋体" w:hAnsi="Calibri" w:cs="Times New Roman"/>
          <w:color w:val="000000" w:themeColor="text1"/>
        </w:rPr>
        <w:t>00 platform.</w:t>
      </w:r>
    </w:p>
    <w:p w:rsidR="005A7749" w:rsidRPr="009E7B09" w:rsidRDefault="005A7749" w:rsidP="005A7749">
      <w:pPr>
        <w:spacing w:line="480" w:lineRule="auto"/>
        <w:rPr>
          <w:rFonts w:ascii="Calibri" w:eastAsia="宋体" w:hAnsi="Calibri" w:cs="Times New Roman"/>
          <w:b/>
          <w:color w:val="000000" w:themeColor="text1"/>
          <w:sz w:val="28"/>
          <w:szCs w:val="24"/>
        </w:rPr>
      </w:pPr>
      <w:r w:rsidRPr="009E7B09">
        <w:rPr>
          <w:rFonts w:ascii="Calibri" w:eastAsia="宋体" w:hAnsi="Calibri" w:cs="Times New Roman" w:hint="eastAsia"/>
          <w:b/>
          <w:color w:val="000000" w:themeColor="text1"/>
          <w:sz w:val="28"/>
          <w:szCs w:val="24"/>
        </w:rPr>
        <w:t>Data analysis</w:t>
      </w:r>
    </w:p>
    <w:p w:rsidR="005A7749" w:rsidRPr="009E7B09" w:rsidRDefault="005A7749" w:rsidP="005A7749">
      <w:pPr>
        <w:adjustRightInd w:val="0"/>
        <w:snapToGrid w:val="0"/>
        <w:spacing w:line="480" w:lineRule="auto"/>
        <w:ind w:firstLine="420"/>
        <w:rPr>
          <w:rFonts w:ascii="Calibri" w:eastAsia="宋体" w:hAnsi="Calibri" w:cs="Times New Roman"/>
          <w:color w:val="000000" w:themeColor="text1"/>
        </w:rPr>
      </w:pPr>
      <w:r w:rsidRPr="009E7B09">
        <w:rPr>
          <w:rFonts w:ascii="Calibri" w:eastAsia="宋体" w:hAnsi="Calibri" w:cs="Times New Roman"/>
          <w:color w:val="000000" w:themeColor="text1"/>
        </w:rPr>
        <w:t>High-quality sequencing data were generated by removing</w:t>
      </w:r>
      <w:r w:rsidR="006C2346" w:rsidRPr="009E7B09">
        <w:rPr>
          <w:rFonts w:ascii="Calibri" w:eastAsia="宋体" w:hAnsi="Calibri" w:cs="Times New Roman"/>
          <w:color w:val="000000" w:themeColor="text1"/>
        </w:rPr>
        <w:t xml:space="preserve"> low-quality base calls from the 3' end of the read (</w:t>
      </w:r>
      <w:proofErr w:type="spellStart"/>
      <w:r w:rsidR="006C2346" w:rsidRPr="009E7B09">
        <w:rPr>
          <w:rFonts w:ascii="Calibri" w:eastAsia="宋体" w:hAnsi="Calibri" w:cs="Times New Roman"/>
          <w:color w:val="000000" w:themeColor="text1"/>
        </w:rPr>
        <w:t>Phred</w:t>
      </w:r>
      <w:proofErr w:type="spellEnd"/>
      <w:r w:rsidR="006C2346" w:rsidRPr="009E7B09">
        <w:rPr>
          <w:rFonts w:ascii="Calibri" w:eastAsia="宋体" w:hAnsi="Calibri" w:cs="Times New Roman"/>
          <w:color w:val="000000" w:themeColor="text1"/>
        </w:rPr>
        <w:t xml:space="preserve"> score &lt;</w:t>
      </w:r>
      <w:r w:rsidR="006C2346" w:rsidRPr="009E7B09">
        <w:rPr>
          <w:rFonts w:ascii="Calibri" w:eastAsia="宋体" w:hAnsi="Calibri" w:cs="Times New Roman" w:hint="eastAsia"/>
          <w:color w:val="000000" w:themeColor="text1"/>
        </w:rPr>
        <w:t>20</w:t>
      </w:r>
      <w:r w:rsidR="006C2346" w:rsidRPr="009E7B09">
        <w:rPr>
          <w:rFonts w:ascii="Calibri" w:eastAsia="宋体" w:hAnsi="Calibri" w:cs="Times New Roman"/>
          <w:color w:val="000000" w:themeColor="text1"/>
        </w:rPr>
        <w:t xml:space="preserve">), removing adapter, </w:t>
      </w:r>
      <w:r w:rsidRPr="009E7B09">
        <w:rPr>
          <w:rFonts w:ascii="Calibri" w:eastAsia="宋体" w:hAnsi="Calibri" w:cs="Times New Roman"/>
          <w:color w:val="000000" w:themeColor="text1"/>
        </w:rPr>
        <w:t xml:space="preserve">and </w:t>
      </w:r>
      <w:r w:rsidR="006C2346" w:rsidRPr="009E7B09">
        <w:rPr>
          <w:rFonts w:ascii="Calibri" w:eastAsia="宋体" w:hAnsi="Calibri" w:cs="Times New Roman"/>
          <w:color w:val="000000" w:themeColor="text1"/>
        </w:rPr>
        <w:t xml:space="preserve">discarding </w:t>
      </w:r>
      <w:r w:rsidRPr="009E7B09">
        <w:rPr>
          <w:rFonts w:ascii="Calibri" w:eastAsia="宋体" w:hAnsi="Calibri" w:cs="Times New Roman"/>
          <w:color w:val="000000" w:themeColor="text1"/>
        </w:rPr>
        <w:t xml:space="preserve">short </w:t>
      </w:r>
      <w:r w:rsidRPr="009E7B09">
        <w:rPr>
          <w:rFonts w:ascii="Calibri" w:eastAsia="宋体" w:hAnsi="Calibri" w:cs="Times New Roman" w:hint="eastAsia"/>
          <w:color w:val="000000" w:themeColor="text1"/>
        </w:rPr>
        <w:t>(length &lt; 35bp)</w:t>
      </w:r>
      <w:r w:rsidR="006C2346" w:rsidRPr="009E7B09">
        <w:rPr>
          <w:rFonts w:ascii="Calibri" w:eastAsia="宋体" w:hAnsi="Calibri" w:cs="Times New Roman"/>
          <w:color w:val="000000" w:themeColor="text1"/>
        </w:rPr>
        <w:t xml:space="preserve"> reads.</w:t>
      </w:r>
      <w:r w:rsidRPr="009E7B09">
        <w:rPr>
          <w:rFonts w:ascii="Calibri" w:eastAsia="宋体" w:hAnsi="Calibri" w:cs="Times New Roman"/>
          <w:color w:val="000000" w:themeColor="text1"/>
        </w:rPr>
        <w:t xml:space="preserve"> </w:t>
      </w:r>
      <w:r w:rsidR="006C2346" w:rsidRPr="009E7B09">
        <w:rPr>
          <w:rFonts w:ascii="Calibri" w:eastAsia="宋体" w:hAnsi="Calibri" w:cs="Times New Roman" w:hint="eastAsia"/>
          <w:color w:val="000000" w:themeColor="text1"/>
        </w:rPr>
        <w:t>T</w:t>
      </w:r>
      <w:r w:rsidR="006C2346" w:rsidRPr="009E7B09">
        <w:rPr>
          <w:rFonts w:ascii="Calibri" w:eastAsia="宋体" w:hAnsi="Calibri" w:cs="Times New Roman"/>
          <w:color w:val="000000" w:themeColor="text1"/>
        </w:rPr>
        <w:t>hen a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 filtering </w:t>
      </w:r>
      <w:r w:rsidR="006C2346" w:rsidRPr="009E7B09">
        <w:rPr>
          <w:rFonts w:ascii="Calibri" w:eastAsia="宋体" w:hAnsi="Calibri" w:cs="Times New Roman"/>
          <w:color w:val="000000" w:themeColor="text1"/>
        </w:rPr>
        <w:t xml:space="preserve">of 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human </w:t>
      </w:r>
      <w:r w:rsidRPr="009E7B09">
        <w:rPr>
          <w:rFonts w:ascii="Calibri" w:eastAsia="宋体" w:hAnsi="Calibri" w:cs="Times New Roman"/>
          <w:color w:val="000000" w:themeColor="text1"/>
        </w:rPr>
        <w:t>sequence</w:t>
      </w:r>
      <w:r w:rsidRPr="009E7B09">
        <w:rPr>
          <w:rFonts w:ascii="Calibri" w:eastAsia="宋体" w:hAnsi="Calibri" w:cs="Times New Roman" w:hint="eastAsia"/>
          <w:color w:val="000000" w:themeColor="text1"/>
        </w:rPr>
        <w:t>s</w:t>
      </w:r>
      <w:r w:rsidR="006C2346" w:rsidRPr="009E7B09">
        <w:rPr>
          <w:rFonts w:ascii="Calibri" w:eastAsia="宋体" w:hAnsi="Calibri" w:cs="Times New Roman"/>
          <w:color w:val="000000" w:themeColor="text1"/>
        </w:rPr>
        <w:t xml:space="preserve"> was performed by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 </w:t>
      </w:r>
      <w:r w:rsidR="006C2346" w:rsidRPr="009E7B09">
        <w:rPr>
          <w:rFonts w:ascii="Calibri" w:eastAsia="宋体" w:hAnsi="Calibri" w:cs="Times New Roman"/>
          <w:color w:val="000000" w:themeColor="text1"/>
        </w:rPr>
        <w:t>mapping</w:t>
      </w:r>
      <w:r w:rsidRPr="009E7B09">
        <w:rPr>
          <w:rFonts w:ascii="Calibri" w:eastAsia="宋体" w:hAnsi="Calibri" w:cs="Times New Roman"/>
          <w:color w:val="000000" w:themeColor="text1"/>
        </w:rPr>
        <w:t xml:space="preserve"> to the human reference genome (hg19) using Burrows-Wheeler Alignment. The remaining data were </w:t>
      </w:r>
      <w:r w:rsidRPr="009E7B09">
        <w:rPr>
          <w:rFonts w:ascii="Calibri" w:eastAsia="宋体" w:hAnsi="Calibri" w:cs="Times New Roman" w:hint="eastAsia"/>
          <w:color w:val="000000" w:themeColor="text1"/>
        </w:rPr>
        <w:t>classified by</w:t>
      </w:r>
      <w:r w:rsidRPr="009E7B09">
        <w:rPr>
          <w:rFonts w:ascii="Calibri" w:eastAsia="宋体" w:hAnsi="Calibri" w:cs="Times New Roman"/>
          <w:color w:val="000000" w:themeColor="text1"/>
        </w:rPr>
        <w:t xml:space="preserve"> simultaneously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 </w:t>
      </w:r>
      <w:r w:rsidRPr="009E7B09">
        <w:rPr>
          <w:rFonts w:ascii="Calibri" w:eastAsia="宋体" w:hAnsi="Calibri" w:cs="Times New Roman"/>
          <w:color w:val="000000" w:themeColor="text1"/>
        </w:rPr>
        <w:t>align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ing </w:t>
      </w:r>
      <w:r w:rsidRPr="009E7B09">
        <w:rPr>
          <w:rFonts w:ascii="Calibri" w:eastAsia="宋体" w:hAnsi="Calibri" w:cs="Times New Roman"/>
          <w:color w:val="000000" w:themeColor="text1"/>
        </w:rPr>
        <w:t xml:space="preserve">to 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four </w:t>
      </w:r>
      <w:r w:rsidRPr="009E7B09">
        <w:rPr>
          <w:rFonts w:ascii="Calibri" w:eastAsia="宋体" w:hAnsi="Calibri" w:cs="Times New Roman"/>
          <w:color w:val="000000" w:themeColor="text1"/>
        </w:rPr>
        <w:t>Microbial Genome Database</w:t>
      </w:r>
      <w:r w:rsidRPr="009E7B09">
        <w:rPr>
          <w:rFonts w:ascii="Calibri" w:eastAsia="宋体" w:hAnsi="Calibri" w:cs="Times New Roman" w:hint="eastAsia"/>
          <w:color w:val="000000" w:themeColor="text1"/>
        </w:rPr>
        <w:t>s in-house</w:t>
      </w:r>
      <w:r w:rsidRPr="009E7B09">
        <w:rPr>
          <w:rFonts w:ascii="Calibri" w:eastAsia="宋体" w:hAnsi="Calibri" w:cs="Times New Roman"/>
          <w:color w:val="000000" w:themeColor="text1"/>
        </w:rPr>
        <w:t xml:space="preserve">, 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consisting of </w:t>
      </w:r>
      <w:r w:rsidRPr="009E7B09">
        <w:rPr>
          <w:rFonts w:ascii="Calibri" w:eastAsia="宋体" w:hAnsi="Calibri" w:cs="Times New Roman"/>
          <w:color w:val="000000" w:themeColor="text1"/>
        </w:rPr>
        <w:t>viruses, bacteria, fungi, and</w:t>
      </w:r>
      <w:r w:rsidRPr="009E7B09">
        <w:rPr>
          <w:rFonts w:ascii="Calibri" w:eastAsia="宋体" w:hAnsi="Calibri" w:cs="Times New Roman" w:hint="eastAsia"/>
          <w:color w:val="000000" w:themeColor="text1"/>
        </w:rPr>
        <w:t xml:space="preserve"> parasites</w:t>
      </w:r>
      <w:r w:rsidRPr="009E7B09">
        <w:rPr>
          <w:rFonts w:ascii="Calibri" w:eastAsia="宋体" w:hAnsi="Calibri" w:cs="Times New Roman"/>
          <w:color w:val="000000" w:themeColor="text1"/>
        </w:rPr>
        <w:t xml:space="preserve">. </w:t>
      </w:r>
    </w:p>
    <w:p w:rsidR="005A7749" w:rsidRPr="009E7B09" w:rsidRDefault="005A7749" w:rsidP="005A7749">
      <w:pPr>
        <w:adjustRightInd w:val="0"/>
        <w:snapToGrid w:val="0"/>
        <w:spacing w:line="480" w:lineRule="auto"/>
        <w:ind w:firstLine="420"/>
        <w:rPr>
          <w:rFonts w:ascii="Calibri" w:eastAsia="宋体" w:hAnsi="Calibri" w:cs="Times New Roman"/>
          <w:color w:val="000000" w:themeColor="text1"/>
        </w:rPr>
      </w:pPr>
      <w:r w:rsidRPr="009E7B09">
        <w:rPr>
          <w:rFonts w:ascii="Calibri" w:eastAsia="宋体" w:hAnsi="Calibri" w:cs="Times New Roman" w:hint="eastAsia"/>
          <w:color w:val="000000" w:themeColor="text1"/>
        </w:rPr>
        <w:t>T</w:t>
      </w:r>
      <w:r w:rsidRPr="009E7B09">
        <w:rPr>
          <w:rFonts w:ascii="Calibri" w:eastAsia="宋体" w:hAnsi="Calibri" w:cs="Times New Roman"/>
          <w:color w:val="000000" w:themeColor="text1"/>
        </w:rPr>
        <w:t xml:space="preserve">he classification reference databases were downloaded from NCBI (ftp://ftp.ncbi.nlm.nih.gov/genomes/). </w:t>
      </w:r>
      <w:proofErr w:type="spellStart"/>
      <w:r w:rsidRPr="009E7B09">
        <w:rPr>
          <w:rFonts w:ascii="Calibri" w:eastAsia="宋体" w:hAnsi="Calibri" w:cs="Times New Roman"/>
          <w:color w:val="000000" w:themeColor="text1"/>
        </w:rPr>
        <w:t>RefSeq</w:t>
      </w:r>
      <w:proofErr w:type="spellEnd"/>
      <w:r w:rsidRPr="009E7B09">
        <w:rPr>
          <w:rFonts w:ascii="Calibri" w:eastAsia="宋体" w:hAnsi="Calibri" w:cs="Times New Roman"/>
          <w:color w:val="000000" w:themeColor="text1"/>
        </w:rPr>
        <w:t xml:space="preserve"> contains 2,700 whole genome sequence of viral taxa, 1,494 </w:t>
      </w:r>
      <w:proofErr w:type="spellStart"/>
      <w:r w:rsidRPr="009E7B09">
        <w:rPr>
          <w:rFonts w:ascii="Calibri" w:eastAsia="宋体" w:hAnsi="Calibri" w:cs="Times New Roman"/>
          <w:color w:val="000000" w:themeColor="text1"/>
        </w:rPr>
        <w:t>bacteral</w:t>
      </w:r>
      <w:proofErr w:type="spellEnd"/>
      <w:r w:rsidRPr="009E7B09">
        <w:rPr>
          <w:rFonts w:ascii="Calibri" w:eastAsia="宋体" w:hAnsi="Calibri" w:cs="Times New Roman"/>
          <w:color w:val="000000" w:themeColor="text1"/>
        </w:rPr>
        <w:t xml:space="preserve"> genomes or scaffolds, 73 fungi related to human infection, and 47 parasites associated with human diseases.</w:t>
      </w:r>
    </w:p>
    <w:p w:rsidR="005A7749" w:rsidRPr="009E7B09" w:rsidRDefault="006C2346" w:rsidP="00904257">
      <w:pPr>
        <w:adjustRightInd w:val="0"/>
        <w:snapToGrid w:val="0"/>
        <w:spacing w:line="480" w:lineRule="auto"/>
        <w:ind w:firstLine="420"/>
        <w:rPr>
          <w:rFonts w:ascii="Calibri" w:eastAsia="宋体" w:hAnsi="Calibri" w:cs="Times New Roman"/>
          <w:color w:val="000000" w:themeColor="text1"/>
        </w:rPr>
      </w:pPr>
      <w:r w:rsidRPr="009E7B09">
        <w:rPr>
          <w:rFonts w:ascii="Calibri" w:eastAsia="宋体" w:hAnsi="Calibri" w:cs="Times New Roman"/>
          <w:color w:val="000000" w:themeColor="text1"/>
        </w:rPr>
        <w:t>The number of reads mapped to the microorganism was extracted while the coverage was calculated by dividing detected nucleotide sequences length by the length of whole genome</w:t>
      </w:r>
      <w:r w:rsidR="00904257" w:rsidRPr="009E7B09">
        <w:rPr>
          <w:rFonts w:ascii="Calibri" w:eastAsia="宋体" w:hAnsi="Calibri" w:cs="Times New Roman"/>
          <w:color w:val="000000" w:themeColor="text1"/>
        </w:rPr>
        <w:t xml:space="preserve"> (</w:t>
      </w:r>
      <w:r w:rsidR="00904257" w:rsidRPr="009E7B09">
        <w:rPr>
          <w:rFonts w:ascii="Calibri" w:eastAsia="宋体" w:hAnsi="Calibri" w:cs="Times New Roman" w:hint="eastAsia"/>
          <w:color w:val="000000" w:themeColor="text1"/>
        </w:rPr>
        <w:t>not</w:t>
      </w:r>
      <w:r w:rsidR="00904257" w:rsidRPr="009E7B09">
        <w:rPr>
          <w:rFonts w:ascii="Calibri" w:eastAsia="宋体" w:hAnsi="Calibri" w:cs="Times New Roman"/>
          <w:color w:val="000000" w:themeColor="text1"/>
        </w:rPr>
        <w:t xml:space="preserve"> calculated by reads number)</w:t>
      </w:r>
      <w:r w:rsidRPr="009E7B09">
        <w:rPr>
          <w:rFonts w:ascii="Calibri" w:eastAsia="宋体" w:hAnsi="Calibri" w:cs="Times New Roman"/>
          <w:color w:val="000000" w:themeColor="text1"/>
        </w:rPr>
        <w:t>.</w:t>
      </w:r>
      <w:r w:rsidR="002D055D" w:rsidRPr="009E7B09">
        <w:rPr>
          <w:rFonts w:ascii="Calibri" w:eastAsia="宋体" w:hAnsi="Calibri" w:cs="Times New Roman"/>
          <w:color w:val="000000" w:themeColor="text1"/>
        </w:rPr>
        <w:t>We did not perform assembly, thus there is no need for validation.</w:t>
      </w:r>
      <w:r w:rsidRPr="009E7B09">
        <w:rPr>
          <w:rFonts w:ascii="Calibri" w:eastAsia="宋体" w:hAnsi="Calibri" w:cs="Times New Roman"/>
          <w:color w:val="000000" w:themeColor="text1"/>
        </w:rPr>
        <w:t xml:space="preserve"> </w:t>
      </w:r>
      <w:r w:rsidR="00AB5758" w:rsidRPr="009E7B09">
        <w:rPr>
          <w:rFonts w:ascii="Calibri" w:eastAsia="宋体" w:hAnsi="Calibri" w:cs="Times New Roman"/>
          <w:color w:val="000000" w:themeColor="text1"/>
        </w:rPr>
        <w:t xml:space="preserve">The reads number was standardized by the raw reads. </w:t>
      </w:r>
      <w:r w:rsidR="00904257" w:rsidRPr="009E7B09">
        <w:rPr>
          <w:rFonts w:ascii="Calibri" w:eastAsia="宋体" w:hAnsi="Calibri" w:cs="Times New Roman"/>
          <w:color w:val="000000" w:themeColor="text1"/>
        </w:rPr>
        <w:t xml:space="preserve">Specific reads was defined as reads that </w:t>
      </w:r>
      <w:r w:rsidR="00904257" w:rsidRPr="009E7B09">
        <w:rPr>
          <w:rFonts w:ascii="Calibri" w:eastAsia="宋体" w:hAnsi="Calibri" w:cs="Times New Roman"/>
          <w:color w:val="000000" w:themeColor="text1"/>
        </w:rPr>
        <w:lastRenderedPageBreak/>
        <w:t xml:space="preserve">doesn’t map to other microorganism with a same or a higher mapping score. </w:t>
      </w:r>
      <w:r w:rsidR="00DE6525" w:rsidRPr="009E7B09">
        <w:rPr>
          <w:rFonts w:ascii="Calibri" w:eastAsia="宋体" w:hAnsi="Calibri" w:cs="Times New Roman"/>
          <w:color w:val="000000" w:themeColor="text1"/>
        </w:rPr>
        <w:t>The</w:t>
      </w:r>
      <w:r w:rsidR="00904257" w:rsidRPr="009E7B09">
        <w:rPr>
          <w:rFonts w:ascii="Calibri" w:eastAsia="宋体" w:hAnsi="Calibri" w:cs="Times New Roman"/>
          <w:color w:val="000000" w:themeColor="text1"/>
        </w:rPr>
        <w:t xml:space="preserve"> p</w:t>
      </w:r>
      <w:r w:rsidRPr="009E7B09">
        <w:rPr>
          <w:rFonts w:ascii="Calibri" w:eastAsia="宋体" w:hAnsi="Calibri" w:cs="Times New Roman"/>
          <w:color w:val="000000" w:themeColor="text1"/>
        </w:rPr>
        <w:t>athogens</w:t>
      </w:r>
      <w:r w:rsidR="00904257" w:rsidRPr="009E7B09">
        <w:rPr>
          <w:rFonts w:ascii="Calibri" w:eastAsia="宋体" w:hAnsi="Calibri" w:cs="Times New Roman"/>
          <w:color w:val="000000" w:themeColor="text1"/>
        </w:rPr>
        <w:t xml:space="preserve"> </w:t>
      </w:r>
      <w:r w:rsidRPr="009E7B09">
        <w:rPr>
          <w:rFonts w:ascii="Calibri" w:eastAsia="宋体" w:hAnsi="Calibri" w:cs="Times New Roman"/>
          <w:color w:val="000000" w:themeColor="text1"/>
        </w:rPr>
        <w:t>with at least 1 specific reads</w:t>
      </w:r>
      <w:r w:rsidR="00904257" w:rsidRPr="009E7B09">
        <w:rPr>
          <w:rFonts w:ascii="Calibri" w:eastAsia="宋体" w:hAnsi="Calibri" w:cs="Times New Roman"/>
          <w:color w:val="000000" w:themeColor="text1"/>
        </w:rPr>
        <w:t xml:space="preserve"> and a high cover rate compared with negative control was considered to be possible pathogen. And the final decision was made by considering the patient’s clinical manifestations.</w:t>
      </w:r>
    </w:p>
    <w:p w:rsidR="000B397D" w:rsidRPr="009E7B09" w:rsidRDefault="000B397D" w:rsidP="000B397D">
      <w:pPr>
        <w:spacing w:line="480" w:lineRule="auto"/>
        <w:rPr>
          <w:rFonts w:ascii="Calibri" w:eastAsia="宋体" w:hAnsi="Calibri" w:cs="Times New Roman"/>
          <w:b/>
          <w:color w:val="000000" w:themeColor="text1"/>
          <w:sz w:val="28"/>
          <w:szCs w:val="24"/>
        </w:rPr>
      </w:pPr>
      <w:r w:rsidRPr="009E7B09">
        <w:rPr>
          <w:rFonts w:ascii="Calibri" w:eastAsia="宋体" w:hAnsi="Calibri" w:cs="Times New Roman"/>
          <w:b/>
          <w:color w:val="000000" w:themeColor="text1"/>
          <w:sz w:val="28"/>
          <w:szCs w:val="24"/>
        </w:rPr>
        <w:t>Result</w:t>
      </w:r>
      <w:r w:rsidR="005560F0" w:rsidRPr="009E7B09">
        <w:rPr>
          <w:rFonts w:ascii="Calibri" w:eastAsia="宋体" w:hAnsi="Calibri" w:cs="Times New Roman"/>
          <w:b/>
          <w:color w:val="000000" w:themeColor="text1"/>
          <w:sz w:val="28"/>
          <w:szCs w:val="24"/>
        </w:rPr>
        <w:t>s</w:t>
      </w:r>
    </w:p>
    <w:p w:rsidR="00675CDD" w:rsidRPr="009E7B09" w:rsidRDefault="00675CDD" w:rsidP="00675CDD">
      <w:pPr>
        <w:spacing w:line="480" w:lineRule="auto"/>
        <w:ind w:firstLine="420"/>
        <w:rPr>
          <w:rFonts w:ascii="Calibri" w:eastAsia="宋体" w:hAnsi="Calibri" w:cs="Times New Roman"/>
          <w:b/>
          <w:color w:val="000000" w:themeColor="text1"/>
          <w:sz w:val="28"/>
          <w:szCs w:val="24"/>
        </w:rPr>
      </w:pPr>
      <w:r w:rsidRPr="009E7B09">
        <w:rPr>
          <w:rFonts w:ascii="Calibri" w:eastAsia="宋体" w:hAnsi="Calibri" w:cs="Times New Roman"/>
          <w:color w:val="000000" w:themeColor="text1"/>
        </w:rPr>
        <w:t xml:space="preserve">The specific reads number, specific reads percentage and the cover rate of </w:t>
      </w:r>
      <w:r w:rsidRPr="009E7B09">
        <w:rPr>
          <w:rFonts w:ascii="Calibri" w:eastAsia="宋体" w:hAnsi="Calibri" w:cs="Times New Roman"/>
          <w:i/>
          <w:color w:val="000000" w:themeColor="text1"/>
        </w:rPr>
        <w:t xml:space="preserve">T.marneffei </w:t>
      </w:r>
      <w:r w:rsidRPr="009E7B09">
        <w:rPr>
          <w:rFonts w:ascii="Calibri" w:eastAsia="宋体" w:hAnsi="Calibri" w:cs="Times New Roman"/>
          <w:color w:val="000000" w:themeColor="text1"/>
        </w:rPr>
        <w:t xml:space="preserve">detected in different samples was listed below. The relatively low reads percentage in Cerebrospinal Fluid was caused by the contamination of </w:t>
      </w:r>
      <w:proofErr w:type="spellStart"/>
      <w:r w:rsidRPr="009E7B09">
        <w:rPr>
          <w:rFonts w:ascii="Calibri" w:eastAsia="宋体" w:hAnsi="Calibri" w:cs="Times New Roman"/>
          <w:i/>
          <w:color w:val="000000" w:themeColor="text1"/>
        </w:rPr>
        <w:t>Propionibacterium</w:t>
      </w:r>
      <w:proofErr w:type="spellEnd"/>
      <w:r w:rsidRPr="009E7B09">
        <w:rPr>
          <w:rFonts w:ascii="Calibri" w:eastAsia="宋体" w:hAnsi="Calibri" w:cs="Times New Roman"/>
          <w:i/>
          <w:color w:val="000000" w:themeColor="text1"/>
        </w:rPr>
        <w:t xml:space="preserve"> acnes</w:t>
      </w:r>
      <w:r w:rsidRPr="009E7B09">
        <w:rPr>
          <w:rFonts w:ascii="Calibri" w:eastAsia="宋体" w:hAnsi="Calibri" w:cs="Times New Roman"/>
          <w:color w:val="000000" w:themeColor="text1"/>
        </w:rPr>
        <w:t xml:space="preserve">, whose reads number was </w:t>
      </w:r>
      <w:r w:rsidR="005560F0" w:rsidRPr="009E7B09">
        <w:rPr>
          <w:rFonts w:ascii="Calibri" w:eastAsia="宋体" w:hAnsi="Calibri" w:cs="Times New Roman"/>
          <w:color w:val="000000" w:themeColor="text1"/>
        </w:rPr>
        <w:t>33139.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8"/>
        <w:gridCol w:w="1954"/>
        <w:gridCol w:w="1948"/>
        <w:gridCol w:w="1948"/>
      </w:tblGrid>
      <w:tr w:rsidR="009E7B09" w:rsidRPr="009E7B09" w:rsidTr="005560F0">
        <w:trPr>
          <w:trHeight w:val="633"/>
        </w:trPr>
        <w:tc>
          <w:tcPr>
            <w:tcW w:w="200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E6525" w:rsidRPr="009E7B09" w:rsidRDefault="00DE6525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 w:hint="eastAsia"/>
                <w:color w:val="000000" w:themeColor="text1"/>
              </w:rPr>
              <w:t>Sample Type</w:t>
            </w:r>
          </w:p>
        </w:tc>
        <w:tc>
          <w:tcPr>
            <w:tcW w:w="195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E6525" w:rsidRPr="009E7B09" w:rsidRDefault="00DE6525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Specific Reads Number</w:t>
            </w:r>
          </w:p>
        </w:tc>
        <w:tc>
          <w:tcPr>
            <w:tcW w:w="194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E6525" w:rsidRPr="009E7B09" w:rsidRDefault="00DE6525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Specific Reads</w:t>
            </w:r>
          </w:p>
          <w:p w:rsidR="00DE6525" w:rsidRPr="009E7B09" w:rsidRDefault="00DE6525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Percentage (%)</w:t>
            </w:r>
          </w:p>
        </w:tc>
        <w:tc>
          <w:tcPr>
            <w:tcW w:w="194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E6525" w:rsidRPr="009E7B09" w:rsidRDefault="00DE6525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C</w:t>
            </w:r>
            <w:r w:rsidRPr="009E7B09">
              <w:rPr>
                <w:rFonts w:ascii="Calibri" w:eastAsia="宋体" w:hAnsi="Calibri" w:cs="Times New Roman" w:hint="eastAsia"/>
                <w:color w:val="000000" w:themeColor="text1"/>
              </w:rPr>
              <w:t>over</w:t>
            </w:r>
            <w:r w:rsidRPr="009E7B09">
              <w:rPr>
                <w:rFonts w:ascii="Calibri" w:eastAsia="宋体" w:hAnsi="Calibri" w:cs="Times New Roman"/>
                <w:color w:val="000000" w:themeColor="text1"/>
              </w:rPr>
              <w:t xml:space="preserve"> </w:t>
            </w:r>
            <w:r w:rsidRPr="009E7B09">
              <w:rPr>
                <w:rFonts w:ascii="Calibri" w:eastAsia="宋体" w:hAnsi="Calibri" w:cs="Times New Roman" w:hint="eastAsia"/>
                <w:color w:val="000000" w:themeColor="text1"/>
              </w:rPr>
              <w:t>Rate</w:t>
            </w:r>
          </w:p>
        </w:tc>
      </w:tr>
      <w:tr w:rsidR="009E7B09" w:rsidRPr="009E7B09" w:rsidTr="00675CDD">
        <w:trPr>
          <w:trHeight w:val="624"/>
        </w:trPr>
        <w:tc>
          <w:tcPr>
            <w:tcW w:w="2008" w:type="dxa"/>
            <w:shd w:val="clear" w:color="auto" w:fill="D9D9D9" w:themeFill="background1" w:themeFillShade="D9"/>
            <w:vAlign w:val="center"/>
          </w:tcPr>
          <w:p w:rsidR="00DE6525" w:rsidRPr="009E7B09" w:rsidRDefault="00DE6525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 w:hint="eastAsia"/>
                <w:color w:val="000000" w:themeColor="text1"/>
              </w:rPr>
              <w:t>B</w:t>
            </w:r>
            <w:r w:rsidRPr="009E7B09">
              <w:rPr>
                <w:rFonts w:ascii="Calibri" w:eastAsia="宋体" w:hAnsi="Calibri" w:cs="Times New Roman"/>
                <w:color w:val="000000" w:themeColor="text1"/>
              </w:rPr>
              <w:t>o</w:t>
            </w:r>
            <w:r w:rsidRPr="009E7B09">
              <w:rPr>
                <w:rFonts w:ascii="Calibri" w:eastAsia="宋体" w:hAnsi="Calibri" w:cs="Times New Roman" w:hint="eastAsia"/>
                <w:color w:val="000000" w:themeColor="text1"/>
              </w:rPr>
              <w:t xml:space="preserve">ne </w:t>
            </w:r>
            <w:r w:rsidRPr="009E7B09">
              <w:rPr>
                <w:rFonts w:ascii="Calibri" w:eastAsia="宋体" w:hAnsi="Calibri" w:cs="Times New Roman"/>
                <w:color w:val="000000" w:themeColor="text1"/>
              </w:rPr>
              <w:t>Marrow</w:t>
            </w:r>
          </w:p>
        </w:tc>
        <w:tc>
          <w:tcPr>
            <w:tcW w:w="1954" w:type="dxa"/>
            <w:shd w:val="clear" w:color="auto" w:fill="D9D9D9" w:themeFill="background1" w:themeFillShade="D9"/>
            <w:vAlign w:val="center"/>
          </w:tcPr>
          <w:p w:rsidR="00DE6525" w:rsidRPr="009E7B09" w:rsidRDefault="00AB5758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126</w:t>
            </w:r>
          </w:p>
        </w:tc>
        <w:tc>
          <w:tcPr>
            <w:tcW w:w="1948" w:type="dxa"/>
            <w:shd w:val="clear" w:color="auto" w:fill="D9D9D9" w:themeFill="background1" w:themeFillShade="D9"/>
            <w:vAlign w:val="center"/>
          </w:tcPr>
          <w:p w:rsidR="00DE6525" w:rsidRPr="009E7B09" w:rsidRDefault="00AB5758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56.25</w:t>
            </w:r>
          </w:p>
        </w:tc>
        <w:tc>
          <w:tcPr>
            <w:tcW w:w="1948" w:type="dxa"/>
            <w:shd w:val="clear" w:color="auto" w:fill="D9D9D9" w:themeFill="background1" w:themeFillShade="D9"/>
            <w:vAlign w:val="center"/>
          </w:tcPr>
          <w:p w:rsidR="00DE6525" w:rsidRPr="009E7B09" w:rsidRDefault="00C55763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0.066</w:t>
            </w:r>
            <w:r w:rsidR="00675CDD" w:rsidRPr="009E7B09">
              <w:rPr>
                <w:rFonts w:ascii="Calibri" w:eastAsia="宋体" w:hAnsi="Calibri" w:cs="Times New Roman"/>
                <w:color w:val="000000" w:themeColor="text1"/>
              </w:rPr>
              <w:t>%</w:t>
            </w:r>
          </w:p>
        </w:tc>
      </w:tr>
      <w:tr w:rsidR="009E7B09" w:rsidRPr="009E7B09" w:rsidTr="00675CDD">
        <w:trPr>
          <w:trHeight w:val="624"/>
        </w:trPr>
        <w:tc>
          <w:tcPr>
            <w:tcW w:w="2008" w:type="dxa"/>
            <w:vAlign w:val="center"/>
          </w:tcPr>
          <w:p w:rsidR="00DE6525" w:rsidRPr="009E7B09" w:rsidRDefault="00DE6525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Cerebrospinal Fluid</w:t>
            </w:r>
          </w:p>
        </w:tc>
        <w:tc>
          <w:tcPr>
            <w:tcW w:w="1954" w:type="dxa"/>
            <w:vAlign w:val="center"/>
          </w:tcPr>
          <w:p w:rsidR="00DE6525" w:rsidRPr="009E7B09" w:rsidRDefault="00675CDD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120</w:t>
            </w:r>
          </w:p>
        </w:tc>
        <w:tc>
          <w:tcPr>
            <w:tcW w:w="1948" w:type="dxa"/>
            <w:vAlign w:val="center"/>
          </w:tcPr>
          <w:p w:rsidR="00DE6525" w:rsidRPr="009E7B09" w:rsidRDefault="00675CDD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0.30</w:t>
            </w:r>
          </w:p>
        </w:tc>
        <w:tc>
          <w:tcPr>
            <w:tcW w:w="1948" w:type="dxa"/>
            <w:vAlign w:val="center"/>
          </w:tcPr>
          <w:p w:rsidR="00DE6525" w:rsidRPr="009E7B09" w:rsidRDefault="00AB5758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 w:hint="eastAsia"/>
                <w:color w:val="000000" w:themeColor="text1"/>
              </w:rPr>
              <w:t>0.0</w:t>
            </w:r>
            <w:r w:rsidR="00675CDD" w:rsidRPr="009E7B09">
              <w:rPr>
                <w:rFonts w:ascii="Calibri" w:eastAsia="宋体" w:hAnsi="Calibri" w:cs="Times New Roman"/>
                <w:color w:val="000000" w:themeColor="text1"/>
              </w:rPr>
              <w:t>62</w:t>
            </w:r>
            <w:r w:rsidRPr="009E7B09">
              <w:rPr>
                <w:rFonts w:ascii="Calibri" w:eastAsia="宋体" w:hAnsi="Calibri" w:cs="Times New Roman" w:hint="eastAsia"/>
                <w:color w:val="000000" w:themeColor="text1"/>
              </w:rPr>
              <w:t>%</w:t>
            </w:r>
          </w:p>
        </w:tc>
      </w:tr>
      <w:tr w:rsidR="009E7B09" w:rsidRPr="009E7B09" w:rsidTr="00675CDD">
        <w:trPr>
          <w:trHeight w:val="624"/>
        </w:trPr>
        <w:tc>
          <w:tcPr>
            <w:tcW w:w="2008" w:type="dxa"/>
            <w:vAlign w:val="center"/>
          </w:tcPr>
          <w:p w:rsidR="00DE6525" w:rsidRPr="009E7B09" w:rsidRDefault="00675CDD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proofErr w:type="spellStart"/>
            <w:r w:rsidRPr="009E7B09">
              <w:rPr>
                <w:rFonts w:ascii="Calibri" w:eastAsia="宋体" w:hAnsi="Calibri" w:cs="Times New Roman"/>
                <w:color w:val="000000" w:themeColor="text1"/>
              </w:rPr>
              <w:t>Bronchoalveolar</w:t>
            </w:r>
            <w:proofErr w:type="spellEnd"/>
            <w:r w:rsidRPr="009E7B09">
              <w:rPr>
                <w:rFonts w:ascii="Calibri" w:eastAsia="宋体" w:hAnsi="Calibri" w:cs="Times New Roman"/>
                <w:color w:val="000000" w:themeColor="text1"/>
              </w:rPr>
              <w:t xml:space="preserve"> Lavage Fluid</w:t>
            </w:r>
          </w:p>
        </w:tc>
        <w:tc>
          <w:tcPr>
            <w:tcW w:w="1954" w:type="dxa"/>
            <w:vAlign w:val="center"/>
          </w:tcPr>
          <w:p w:rsidR="00DE6525" w:rsidRPr="009E7B09" w:rsidRDefault="00675CDD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172</w:t>
            </w:r>
          </w:p>
        </w:tc>
        <w:tc>
          <w:tcPr>
            <w:tcW w:w="1948" w:type="dxa"/>
            <w:vAlign w:val="center"/>
          </w:tcPr>
          <w:p w:rsidR="00DE6525" w:rsidRPr="009E7B09" w:rsidRDefault="00675CDD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43.32</w:t>
            </w:r>
          </w:p>
        </w:tc>
        <w:tc>
          <w:tcPr>
            <w:tcW w:w="1948" w:type="dxa"/>
            <w:vAlign w:val="center"/>
          </w:tcPr>
          <w:p w:rsidR="00DE6525" w:rsidRPr="009E7B09" w:rsidRDefault="00675CDD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0.09%</w:t>
            </w:r>
          </w:p>
        </w:tc>
      </w:tr>
      <w:tr w:rsidR="00DE6525" w:rsidRPr="009E7B09" w:rsidTr="00675CDD">
        <w:trPr>
          <w:trHeight w:val="624"/>
        </w:trPr>
        <w:tc>
          <w:tcPr>
            <w:tcW w:w="2008" w:type="dxa"/>
            <w:vAlign w:val="center"/>
          </w:tcPr>
          <w:p w:rsidR="00DE6525" w:rsidRPr="009E7B09" w:rsidRDefault="00675CDD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S</w:t>
            </w:r>
            <w:r w:rsidR="00C55763" w:rsidRPr="009E7B09">
              <w:rPr>
                <w:rFonts w:ascii="Calibri" w:eastAsia="宋体" w:hAnsi="Calibri" w:cs="Times New Roman"/>
                <w:color w:val="000000" w:themeColor="text1"/>
              </w:rPr>
              <w:t>kin</w:t>
            </w:r>
          </w:p>
        </w:tc>
        <w:tc>
          <w:tcPr>
            <w:tcW w:w="1954" w:type="dxa"/>
            <w:vAlign w:val="center"/>
          </w:tcPr>
          <w:p w:rsidR="00DE6525" w:rsidRPr="009E7B09" w:rsidRDefault="00AB5758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967</w:t>
            </w:r>
          </w:p>
        </w:tc>
        <w:tc>
          <w:tcPr>
            <w:tcW w:w="1948" w:type="dxa"/>
            <w:vAlign w:val="center"/>
          </w:tcPr>
          <w:p w:rsidR="00DE6525" w:rsidRPr="009E7B09" w:rsidRDefault="00AB5758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/>
                <w:color w:val="000000" w:themeColor="text1"/>
              </w:rPr>
              <w:t>94.43</w:t>
            </w:r>
          </w:p>
        </w:tc>
        <w:tc>
          <w:tcPr>
            <w:tcW w:w="1948" w:type="dxa"/>
            <w:vAlign w:val="center"/>
          </w:tcPr>
          <w:p w:rsidR="00DE6525" w:rsidRPr="009E7B09" w:rsidRDefault="00AB5758" w:rsidP="00675CDD">
            <w:pPr>
              <w:adjustRightInd w:val="0"/>
              <w:snapToGrid w:val="0"/>
              <w:jc w:val="center"/>
              <w:rPr>
                <w:rFonts w:ascii="Calibri" w:eastAsia="宋体" w:hAnsi="Calibri" w:cs="Times New Roman"/>
                <w:color w:val="000000" w:themeColor="text1"/>
              </w:rPr>
            </w:pPr>
            <w:r w:rsidRPr="009E7B09">
              <w:rPr>
                <w:rFonts w:ascii="Calibri" w:eastAsia="宋体" w:hAnsi="Calibri" w:cs="Times New Roman" w:hint="eastAsia"/>
                <w:color w:val="000000" w:themeColor="text1"/>
              </w:rPr>
              <w:t>0.51%</w:t>
            </w:r>
          </w:p>
        </w:tc>
      </w:tr>
    </w:tbl>
    <w:p w:rsidR="000B397D" w:rsidRPr="009E7B09" w:rsidRDefault="000B397D" w:rsidP="000B397D">
      <w:pPr>
        <w:adjustRightInd w:val="0"/>
        <w:snapToGrid w:val="0"/>
        <w:spacing w:line="480" w:lineRule="auto"/>
        <w:rPr>
          <w:rFonts w:ascii="Calibri" w:eastAsia="宋体" w:hAnsi="Calibri" w:cs="Times New Roman"/>
          <w:color w:val="000000" w:themeColor="text1"/>
        </w:rPr>
      </w:pPr>
    </w:p>
    <w:sectPr w:rsidR="000B397D" w:rsidRPr="009E7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749"/>
    <w:rsid w:val="00006B3D"/>
    <w:rsid w:val="000A3DA1"/>
    <w:rsid w:val="000B397D"/>
    <w:rsid w:val="002D055D"/>
    <w:rsid w:val="002F1632"/>
    <w:rsid w:val="00327419"/>
    <w:rsid w:val="00340608"/>
    <w:rsid w:val="005560F0"/>
    <w:rsid w:val="005A7749"/>
    <w:rsid w:val="006265BA"/>
    <w:rsid w:val="00675CDD"/>
    <w:rsid w:val="006C2346"/>
    <w:rsid w:val="007E7F04"/>
    <w:rsid w:val="008E00DD"/>
    <w:rsid w:val="00904257"/>
    <w:rsid w:val="009E7B09"/>
    <w:rsid w:val="00AB5758"/>
    <w:rsid w:val="00C55763"/>
    <w:rsid w:val="00C734CC"/>
    <w:rsid w:val="00DE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49EE03-F3F1-4DB0-826E-B22B3C7D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4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Farrel Via</cp:lastModifiedBy>
  <cp:revision>7</cp:revision>
  <dcterms:created xsi:type="dcterms:W3CDTF">2017-09-28T12:35:00Z</dcterms:created>
  <dcterms:modified xsi:type="dcterms:W3CDTF">2018-05-28T20:57:00Z</dcterms:modified>
</cp:coreProperties>
</file>