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9D" w:rsidRDefault="008E105A" w:rsidP="008E105A">
      <w:pPr>
        <w:pStyle w:val="Title2"/>
        <w:jc w:val="center"/>
        <w:rPr>
          <w:color w:val="000000"/>
          <w:sz w:val="32"/>
          <w:szCs w:val="32"/>
        </w:rPr>
      </w:pPr>
      <w:r w:rsidRPr="008E105A">
        <w:rPr>
          <w:color w:val="000000"/>
          <w:sz w:val="32"/>
          <w:szCs w:val="32"/>
        </w:rPr>
        <w:t>Supporting information</w:t>
      </w:r>
    </w:p>
    <w:p w:rsidR="00E672DF" w:rsidRPr="00E672DF" w:rsidRDefault="00E672DF" w:rsidP="00E672DF">
      <w:pPr>
        <w:pStyle w:val="Title2"/>
        <w:spacing w:before="0" w:line="240" w:lineRule="auto"/>
      </w:pPr>
      <w:r w:rsidRPr="00E672DF">
        <w:t>Restriction of in vivo infection by antifouling coating on urinary catheter with controllable and sustained silver release: A proof of concept study</w:t>
      </w:r>
    </w:p>
    <w:p w:rsidR="00E672DF" w:rsidRPr="00E672DF" w:rsidRDefault="00E672DF" w:rsidP="00E672DF">
      <w:pPr>
        <w:pStyle w:val="Title2"/>
        <w:spacing w:before="0" w:line="240" w:lineRule="auto"/>
        <w:rPr>
          <w:b w:val="0"/>
          <w:i/>
        </w:rPr>
      </w:pPr>
      <w:r w:rsidRPr="00E672DF">
        <w:rPr>
          <w:b w:val="0"/>
          <w:i/>
        </w:rPr>
        <w:t xml:space="preserve">Kedar D. Mandakhalikar, Rong </w:t>
      </w:r>
      <w:r>
        <w:rPr>
          <w:b w:val="0"/>
          <w:i/>
        </w:rPr>
        <w:t>Wang</w:t>
      </w:r>
      <w:r w:rsidRPr="00E672DF">
        <w:rPr>
          <w:b w:val="0"/>
          <w:i/>
        </w:rPr>
        <w:t xml:space="preserve">, Juwita N. Rahmat, Edmund Chiong, </w:t>
      </w:r>
    </w:p>
    <w:p w:rsidR="00E672DF" w:rsidRPr="00E672DF" w:rsidRDefault="00E672DF" w:rsidP="00E672DF">
      <w:pPr>
        <w:pStyle w:val="Title2"/>
        <w:spacing w:before="0" w:line="240" w:lineRule="auto"/>
        <w:rPr>
          <w:b w:val="0"/>
          <w:i/>
        </w:rPr>
      </w:pPr>
      <w:r w:rsidRPr="00E672DF">
        <w:rPr>
          <w:b w:val="0"/>
          <w:i/>
        </w:rPr>
        <w:t>Koon Gee Neoh, Paul A. Tambyah</w:t>
      </w:r>
    </w:p>
    <w:p w:rsidR="00E672DF" w:rsidRDefault="00E672DF" w:rsidP="00736EB3">
      <w:pPr>
        <w:pStyle w:val="Title2"/>
        <w:spacing w:before="0" w:line="240" w:lineRule="auto"/>
        <w:rPr>
          <w:b w:val="0"/>
          <w:i/>
        </w:rPr>
      </w:pPr>
    </w:p>
    <w:p w:rsidR="00E672DF" w:rsidRDefault="00E672DF" w:rsidP="00736EB3">
      <w:pPr>
        <w:pStyle w:val="Title2"/>
        <w:spacing w:before="0" w:line="240" w:lineRule="auto"/>
        <w:rPr>
          <w:b w:val="0"/>
          <w:i/>
        </w:rPr>
      </w:pPr>
    </w:p>
    <w:p w:rsidR="00E672DF" w:rsidRDefault="0041560F" w:rsidP="00B549D8">
      <w:pPr>
        <w:pStyle w:val="Title2"/>
        <w:spacing w:before="0" w:line="240" w:lineRule="auto"/>
        <w:jc w:val="center"/>
        <w:rPr>
          <w:b w:val="0"/>
          <w:i/>
        </w:rPr>
      </w:pPr>
      <w:r>
        <w:rPr>
          <w:b w:val="0"/>
          <w:i/>
          <w:noProof/>
          <w:lang w:val="en-SG" w:eastAsia="en-S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0.15pt;margin-top:100.8pt;width:232.1pt;height:45.15pt;z-index:251658240">
            <v:textbox>
              <w:txbxContent>
                <w:p w:rsidR="00B549D8" w:rsidRPr="00B549D8" w:rsidRDefault="00B549D8" w:rsidP="00B549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49D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Figure </w:t>
                  </w:r>
                  <w:r w:rsidR="0041560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</w:t>
                  </w:r>
                  <w:r w:rsidRPr="00B549D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 Bladder enlarged due to blockage in urine flow</w:t>
                  </w:r>
                  <w:r w:rsidRPr="00B549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549D8" w:rsidRPr="00B549D8" w:rsidRDefault="00B549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549D8" w:rsidRPr="00B549D8">
        <w:rPr>
          <w:b w:val="0"/>
          <w:i/>
          <w:noProof/>
          <w:lang w:eastAsia="en-US"/>
        </w:rPr>
        <w:drawing>
          <wp:inline distT="0" distB="0" distL="0" distR="0">
            <wp:extent cx="1217914" cy="1075433"/>
            <wp:effectExtent l="0" t="76200" r="0" b="48517"/>
            <wp:docPr id="2" name="Picture 2" descr="B2_enlarged bladder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B2_enlarged bladder (1).JPG"/>
                    <pic:cNvPicPr/>
                  </pic:nvPicPr>
                  <pic:blipFill>
                    <a:blip r:embed="rId7" cstate="print"/>
                    <a:srcRect l="35984" t="33505" r="41304" b="3986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23150" cy="108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41560F" w:rsidP="00B549D8">
      <w:pPr>
        <w:pStyle w:val="Title2"/>
        <w:spacing w:before="0" w:line="240" w:lineRule="auto"/>
        <w:jc w:val="center"/>
        <w:rPr>
          <w:b w:val="0"/>
          <w:i/>
        </w:rPr>
      </w:pPr>
      <w:r>
        <w:rPr>
          <w:b w:val="0"/>
          <w:i/>
          <w:noProof/>
          <w:lang w:val="en-SG" w:eastAsia="en-SG"/>
        </w:rPr>
        <w:pict>
          <v:shape id="_x0000_s1027" type="#_x0000_t202" style="position:absolute;left:0;text-align:left;margin-left:-2.6pt;margin-top:362.55pt;width:459.75pt;height:45.95pt;z-index:251659264">
            <v:textbox style="mso-next-textbox:#_x0000_s1027">
              <w:txbxContent>
                <w:p w:rsidR="00B549D8" w:rsidRPr="00B549D8" w:rsidRDefault="00B549D8" w:rsidP="00B549D8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549D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Figure </w:t>
                  </w:r>
                  <w:r w:rsidR="0041560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</w:t>
                  </w:r>
                  <w:r w:rsidRPr="00B549D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2 Average IL-6 levels in urine of E. coli inoculated mice implanted with uncoated catheters and P3 coated catheters. Error bars indicate SD. </w:t>
                  </w:r>
                </w:p>
                <w:p w:rsidR="00B549D8" w:rsidRDefault="00B549D8"/>
              </w:txbxContent>
            </v:textbox>
          </v:shape>
        </w:pict>
      </w:r>
      <w:r w:rsidR="00B549D8" w:rsidRPr="00B549D8">
        <w:rPr>
          <w:b w:val="0"/>
          <w:i/>
          <w:noProof/>
          <w:lang w:eastAsia="en-US"/>
        </w:rPr>
        <w:drawing>
          <wp:inline distT="0" distB="0" distL="0" distR="0">
            <wp:extent cx="5180276" cy="4549966"/>
            <wp:effectExtent l="19050" t="0" r="1324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00858" cy="5143536"/>
                      <a:chOff x="785786" y="285728"/>
                      <a:chExt cx="6500858" cy="5143536"/>
                    </a:xfrm>
                  </a:grpSpPr>
                  <a:grpSp>
                    <a:nvGrpSpPr>
                      <a:cNvPr id="4" name="Group 3"/>
                      <a:cNvGrpSpPr/>
                    </a:nvGrpSpPr>
                    <a:grpSpPr>
                      <a:xfrm>
                        <a:off x="785786" y="285728"/>
                        <a:ext cx="6500858" cy="5143536"/>
                        <a:chOff x="785786" y="285728"/>
                        <a:chExt cx="6500858" cy="5143536"/>
                      </a:xfrm>
                    </a:grpSpPr>
                    <a:pic>
                      <a:nvPicPr>
                        <a:cNvPr id="2" name="Picture 1" descr="il6 ecoli.jpg"/>
                        <a:cNvPicPr/>
                      </a:nvPicPr>
                      <a:blipFill>
                        <a:blip r:embed="rId8" cstate="print"/>
                        <a:stretch>
                          <a:fillRect/>
                        </a:stretch>
                      </a:blipFill>
                      <a:spPr>
                        <a:xfrm>
                          <a:off x="785786" y="285728"/>
                          <a:ext cx="6500858" cy="5143536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3" name="Rectangle 2"/>
                        <a:cNvSpPr/>
                      </a:nvSpPr>
                      <a:spPr>
                        <a:xfrm>
                          <a:off x="6173616" y="1800916"/>
                          <a:ext cx="428628" cy="2143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SG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  <w:r w:rsidRPr="00B549D8">
        <w:rPr>
          <w:b w:val="0"/>
          <w:i/>
          <w:noProof/>
          <w:lang w:eastAsia="en-US"/>
        </w:rPr>
        <w:lastRenderedPageBreak/>
        <w:drawing>
          <wp:inline distT="0" distB="0" distL="0" distR="0">
            <wp:extent cx="5280064" cy="3267565"/>
            <wp:effectExtent l="19050" t="0" r="15836" b="9035"/>
            <wp:docPr id="6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Default="00B549D8" w:rsidP="00B549D8">
      <w:pPr>
        <w:pStyle w:val="Title2"/>
        <w:spacing w:before="0" w:line="240" w:lineRule="auto"/>
        <w:jc w:val="center"/>
        <w:rPr>
          <w:b w:val="0"/>
          <w:i/>
        </w:rPr>
      </w:pPr>
    </w:p>
    <w:p w:rsidR="00B549D8" w:rsidRPr="00736EB3" w:rsidRDefault="0041560F" w:rsidP="00B549D8">
      <w:pPr>
        <w:pStyle w:val="Title2"/>
        <w:spacing w:before="0" w:line="240" w:lineRule="auto"/>
        <w:jc w:val="center"/>
        <w:rPr>
          <w:b w:val="0"/>
          <w:i/>
        </w:rPr>
      </w:pPr>
      <w:r>
        <w:rPr>
          <w:b w:val="0"/>
          <w:i/>
          <w:noProof/>
          <w:lang w:val="en-SG" w:eastAsia="en-SG"/>
        </w:rPr>
        <w:pict>
          <v:shape id="_x0000_s1029" type="#_x0000_t202" style="position:absolute;left:0;text-align:left;margin-left:-9.55pt;margin-top:-75.35pt;width:459.75pt;height:45.95pt;z-index:251661312">
            <v:textbox style="mso-next-textbox:#_x0000_s1029">
              <w:txbxContent>
                <w:p w:rsidR="008E37AA" w:rsidRPr="00B549D8" w:rsidRDefault="008E37AA" w:rsidP="00B549D8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549D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Figure </w:t>
                  </w:r>
                  <w:r w:rsidR="0041560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</w:t>
                  </w:r>
                  <w:r w:rsidRPr="00B549D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 Amounts of calcium and magnesium deposition in urinary bladder of all micropigs with DoverTM and P3 catheter.</w:t>
                  </w:r>
                </w:p>
                <w:p w:rsidR="008E37AA" w:rsidRDefault="008E37AA"/>
              </w:txbxContent>
            </v:textbox>
          </v:shape>
        </w:pict>
      </w:r>
      <w:r>
        <w:rPr>
          <w:b w:val="0"/>
          <w:i/>
          <w:noProof/>
          <w:lang w:val="en-SG" w:eastAsia="en-SG"/>
        </w:rPr>
        <w:pict>
          <v:shape id="_x0000_s1028" type="#_x0000_t202" style="position:absolute;left:0;text-align:left;margin-left:2.6pt;margin-top:272.55pt;width:459.75pt;height:45.95pt;z-index:251660288">
            <v:textbox style="mso-next-textbox:#_x0000_s1028">
              <w:txbxContent>
                <w:p w:rsidR="008E37AA" w:rsidRPr="008E37AA" w:rsidRDefault="008E37AA" w:rsidP="008E37A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E37A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Figure </w:t>
                  </w:r>
                  <w:r w:rsidR="0041560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</w:t>
                  </w:r>
                  <w:bookmarkStart w:id="0" w:name="_GoBack"/>
                  <w:bookmarkEnd w:id="0"/>
                  <w:r w:rsidRPr="008E37A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 Daily weight measurements to assess general health of the mice. Error bars indicate SD.</w:t>
                  </w:r>
                </w:p>
                <w:p w:rsidR="00B549D8" w:rsidRDefault="00B549D8"/>
              </w:txbxContent>
            </v:textbox>
          </v:shape>
        </w:pict>
      </w:r>
      <w:r w:rsidR="00B549D8" w:rsidRPr="00B549D8">
        <w:rPr>
          <w:b w:val="0"/>
          <w:i/>
          <w:noProof/>
          <w:lang w:eastAsia="en-US"/>
        </w:rPr>
        <w:drawing>
          <wp:inline distT="0" distB="0" distL="0" distR="0">
            <wp:extent cx="5731510" cy="3239283"/>
            <wp:effectExtent l="19050" t="0" r="21590" b="0"/>
            <wp:docPr id="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B549D8" w:rsidRPr="00736EB3" w:rsidSect="00904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B43D1"/>
    <w:multiLevelType w:val="hybridMultilevel"/>
    <w:tmpl w:val="6E008324"/>
    <w:lvl w:ilvl="0" w:tplc="289079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645B1"/>
    <w:multiLevelType w:val="hybridMultilevel"/>
    <w:tmpl w:val="D8C467EE"/>
    <w:lvl w:ilvl="0" w:tplc="9386E7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TExMTQ1NzM0MLEwMjZX0lEKTi0uzszPAykwrgUAphix0iwAAAA=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16"/>
  </w:docVars>
  <w:rsids>
    <w:rsidRoot w:val="008E105A"/>
    <w:rsid w:val="00031AFE"/>
    <w:rsid w:val="00107F91"/>
    <w:rsid w:val="0018091A"/>
    <w:rsid w:val="0030395C"/>
    <w:rsid w:val="003D1137"/>
    <w:rsid w:val="0041560F"/>
    <w:rsid w:val="00450249"/>
    <w:rsid w:val="00465D87"/>
    <w:rsid w:val="005635E5"/>
    <w:rsid w:val="00572CDB"/>
    <w:rsid w:val="005D1530"/>
    <w:rsid w:val="006457B0"/>
    <w:rsid w:val="00701B1B"/>
    <w:rsid w:val="0072290B"/>
    <w:rsid w:val="00736EB3"/>
    <w:rsid w:val="007A6C19"/>
    <w:rsid w:val="007B21A7"/>
    <w:rsid w:val="007C3B84"/>
    <w:rsid w:val="007E6F7D"/>
    <w:rsid w:val="0080680E"/>
    <w:rsid w:val="00850C19"/>
    <w:rsid w:val="00853285"/>
    <w:rsid w:val="008673DD"/>
    <w:rsid w:val="008E000E"/>
    <w:rsid w:val="008E105A"/>
    <w:rsid w:val="008E37AA"/>
    <w:rsid w:val="00904B9D"/>
    <w:rsid w:val="009764A9"/>
    <w:rsid w:val="00987C55"/>
    <w:rsid w:val="00B303A1"/>
    <w:rsid w:val="00B549D8"/>
    <w:rsid w:val="00C12F50"/>
    <w:rsid w:val="00C15C93"/>
    <w:rsid w:val="00C54385"/>
    <w:rsid w:val="00C56D49"/>
    <w:rsid w:val="00C6560E"/>
    <w:rsid w:val="00CC1990"/>
    <w:rsid w:val="00CF7067"/>
    <w:rsid w:val="00D24C1C"/>
    <w:rsid w:val="00D7509B"/>
    <w:rsid w:val="00D84050"/>
    <w:rsid w:val="00E55720"/>
    <w:rsid w:val="00E672DF"/>
    <w:rsid w:val="00EB1893"/>
    <w:rsid w:val="00F2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2">
    <w:name w:val="Title2"/>
    <w:basedOn w:val="Normal"/>
    <w:rsid w:val="008E105A"/>
    <w:pPr>
      <w:spacing w:before="120" w:after="0" w:line="480" w:lineRule="auto"/>
      <w:jc w:val="both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8E105A"/>
    <w:pPr>
      <w:ind w:left="720"/>
      <w:contextualSpacing/>
    </w:pPr>
    <w:rPr>
      <w:lang w:val="en-IN"/>
    </w:rPr>
  </w:style>
  <w:style w:type="paragraph" w:customStyle="1" w:styleId="EndNoteBibliographyTitle">
    <w:name w:val="EndNote Bibliography Title"/>
    <w:basedOn w:val="Normal"/>
    <w:link w:val="EndNoteBibliographyTitleChar"/>
    <w:rsid w:val="00EB1893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B1893"/>
    <w:rPr>
      <w:lang w:val="en-IN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B1893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B1893"/>
    <w:pPr>
      <w:spacing w:line="240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EB1893"/>
    <w:rPr>
      <w:rFonts w:ascii="Times New Roman" w:hAnsi="Times New Roman" w:cs="Times New Roman"/>
      <w:noProof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dar\Desktop\CAUTI_lab-12-10-17\Mouse%20work\Expt1_Apr2016\Mouse%20Ecol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dar\Desktop\CAUTI_lab-12-10-17\Mouse%20work\Expt1_Apr2016\Mouse%20Ecol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389274291622244"/>
          <c:y val="6.2198989832153849E-2"/>
          <c:w val="0.67493862578779462"/>
          <c:h val="0.791820225659043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Organ!$G$43</c:f>
              <c:strCache>
                <c:ptCount val="1"/>
                <c:pt idx="0">
                  <c:v>Calcium </c:v>
                </c:pt>
              </c:strCache>
            </c:strRef>
          </c:tx>
          <c:invertIfNegative val="0"/>
          <c:cat>
            <c:strRef>
              <c:f>Organ!$F$46:$F$47</c:f>
              <c:strCache>
                <c:ptCount val="2"/>
                <c:pt idx="0">
                  <c:v>Dover</c:v>
                </c:pt>
                <c:pt idx="1">
                  <c:v>P3</c:v>
                </c:pt>
              </c:strCache>
            </c:strRef>
          </c:cat>
          <c:val>
            <c:numRef>
              <c:f>Organ!$B$46:$B$47</c:f>
              <c:numCache>
                <c:formatCode>General</c:formatCode>
                <c:ptCount val="2"/>
                <c:pt idx="0">
                  <c:v>193.85820028139727</c:v>
                </c:pt>
                <c:pt idx="1">
                  <c:v>106.76600941286243</c:v>
                </c:pt>
              </c:numCache>
            </c:numRef>
          </c:val>
        </c:ser>
        <c:ser>
          <c:idx val="1"/>
          <c:order val="1"/>
          <c:tx>
            <c:strRef>
              <c:f>Organ!$H$43</c:f>
              <c:strCache>
                <c:ptCount val="1"/>
                <c:pt idx="0">
                  <c:v>Magnesium </c:v>
                </c:pt>
              </c:strCache>
            </c:strRef>
          </c:tx>
          <c:invertIfNegative val="0"/>
          <c:cat>
            <c:strRef>
              <c:f>Organ!$F$46:$F$47</c:f>
              <c:strCache>
                <c:ptCount val="2"/>
                <c:pt idx="0">
                  <c:v>Dover</c:v>
                </c:pt>
                <c:pt idx="1">
                  <c:v>P3</c:v>
                </c:pt>
              </c:strCache>
            </c:strRef>
          </c:cat>
          <c:val>
            <c:numRef>
              <c:f>Organ!$C$46:$C$47</c:f>
              <c:numCache>
                <c:formatCode>General</c:formatCode>
                <c:ptCount val="2"/>
                <c:pt idx="0">
                  <c:v>93.064986439918187</c:v>
                </c:pt>
                <c:pt idx="1">
                  <c:v>52.594025713854478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8427264"/>
        <c:axId val="378428800"/>
      </c:barChart>
      <c:catAx>
        <c:axId val="378427264"/>
        <c:scaling>
          <c:orientation val="minMax"/>
        </c:scaling>
        <c:delete val="0"/>
        <c:axPos val="b"/>
        <c:majorTickMark val="out"/>
        <c:minorTickMark val="none"/>
        <c:tickLblPos val="nextTo"/>
        <c:crossAx val="378428800"/>
        <c:crosses val="autoZero"/>
        <c:auto val="1"/>
        <c:lblAlgn val="ctr"/>
        <c:lblOffset val="100"/>
        <c:noMultiLvlLbl val="0"/>
      </c:catAx>
      <c:valAx>
        <c:axId val="3784288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l-GR"/>
                  <a:t>μ</a:t>
                </a:r>
                <a:r>
                  <a:rPr lang="en-SG"/>
                  <a:t>g/g bladder</a:t>
                </a:r>
              </a:p>
            </c:rich>
          </c:tx>
          <c:layout>
            <c:manualLayout>
              <c:xMode val="edge"/>
              <c:yMode val="edge"/>
              <c:x val="3.2679738562091877E-3"/>
              <c:y val="0.2994924240047701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78427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526115555674014"/>
          <c:y val="3.7145808313942805E-2"/>
          <c:w val="0.21218317448787569"/>
          <c:h val="0.21907667706228717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4903297734803"/>
          <c:y val="4.8321495837196082E-2"/>
          <c:w val="0.7160681914539101"/>
          <c:h val="0.79296838220062882"/>
        </c:manualLayout>
      </c:layout>
      <c:lineChart>
        <c:grouping val="standard"/>
        <c:varyColors val="0"/>
        <c:ser>
          <c:idx val="0"/>
          <c:order val="0"/>
          <c:tx>
            <c:strRef>
              <c:f>Weight!$A$71</c:f>
              <c:strCache>
                <c:ptCount val="1"/>
                <c:pt idx="0">
                  <c:v>Uncoated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Weight!$B$81:$P$81</c:f>
                <c:numCache>
                  <c:formatCode>General</c:formatCode>
                  <c:ptCount val="15"/>
                  <c:pt idx="0">
                    <c:v>0</c:v>
                  </c:pt>
                  <c:pt idx="1">
                    <c:v>3.1933838167158819</c:v>
                  </c:pt>
                  <c:pt idx="2">
                    <c:v>4.7073820073360695</c:v>
                  </c:pt>
                  <c:pt idx="3">
                    <c:v>5.2409060201349735</c:v>
                  </c:pt>
                  <c:pt idx="4">
                    <c:v>6.1798254442874105</c:v>
                  </c:pt>
                  <c:pt idx="5">
                    <c:v>5.3502809687867883</c:v>
                  </c:pt>
                  <c:pt idx="6">
                    <c:v>5.6164784501591294</c:v>
                  </c:pt>
                  <c:pt idx="7">
                    <c:v>6.9443590310164485</c:v>
                  </c:pt>
                  <c:pt idx="8">
                    <c:v>9.9340055948831356</c:v>
                  </c:pt>
                  <c:pt idx="9">
                    <c:v>7.9749972915767691</c:v>
                  </c:pt>
                  <c:pt idx="10">
                    <c:v>13.037167482436615</c:v>
                  </c:pt>
                  <c:pt idx="11">
                    <c:v>4.1875305217160363</c:v>
                  </c:pt>
                  <c:pt idx="12">
                    <c:v>2.7482259640348174</c:v>
                  </c:pt>
                  <c:pt idx="13">
                    <c:v>3.8572470505041587</c:v>
                  </c:pt>
                  <c:pt idx="14">
                    <c:v>2.8182871721117562</c:v>
                  </c:pt>
                </c:numCache>
              </c:numRef>
            </c:plus>
            <c:minus>
              <c:numRef>
                <c:f>Weight!$B$81:$P$81</c:f>
                <c:numCache>
                  <c:formatCode>General</c:formatCode>
                  <c:ptCount val="15"/>
                  <c:pt idx="0">
                    <c:v>0</c:v>
                  </c:pt>
                  <c:pt idx="1">
                    <c:v>3.1933838167158819</c:v>
                  </c:pt>
                  <c:pt idx="2">
                    <c:v>4.7073820073360695</c:v>
                  </c:pt>
                  <c:pt idx="3">
                    <c:v>5.2409060201349735</c:v>
                  </c:pt>
                  <c:pt idx="4">
                    <c:v>6.1798254442874105</c:v>
                  </c:pt>
                  <c:pt idx="5">
                    <c:v>5.3502809687867883</c:v>
                  </c:pt>
                  <c:pt idx="6">
                    <c:v>5.6164784501591294</c:v>
                  </c:pt>
                  <c:pt idx="7">
                    <c:v>6.9443590310164485</c:v>
                  </c:pt>
                  <c:pt idx="8">
                    <c:v>9.9340055948831356</c:v>
                  </c:pt>
                  <c:pt idx="9">
                    <c:v>7.9749972915767691</c:v>
                  </c:pt>
                  <c:pt idx="10">
                    <c:v>13.037167482436615</c:v>
                  </c:pt>
                  <c:pt idx="11">
                    <c:v>4.1875305217160363</c:v>
                  </c:pt>
                  <c:pt idx="12">
                    <c:v>2.7482259640348174</c:v>
                  </c:pt>
                  <c:pt idx="13">
                    <c:v>3.8572470505041587</c:v>
                  </c:pt>
                  <c:pt idx="14">
                    <c:v>2.8182871721117562</c:v>
                  </c:pt>
                </c:numCache>
              </c:numRef>
            </c:minus>
            <c:spPr>
              <a:ln>
                <a:solidFill>
                  <a:schemeClr val="tx1"/>
                </a:solidFill>
              </a:ln>
            </c:spPr>
          </c:errBars>
          <c:cat>
            <c:numRef>
              <c:f>Weight!$B$70:$P$70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Weight!$B$78:$P$78</c:f>
              <c:numCache>
                <c:formatCode>General</c:formatCode>
                <c:ptCount val="15"/>
                <c:pt idx="0">
                  <c:v>100</c:v>
                </c:pt>
                <c:pt idx="1">
                  <c:v>88.642996483398363</c:v>
                </c:pt>
                <c:pt idx="2">
                  <c:v>86.117238900729348</c:v>
                </c:pt>
                <c:pt idx="3">
                  <c:v>92.897027679569987</c:v>
                </c:pt>
                <c:pt idx="4">
                  <c:v>96.240997515997847</c:v>
                </c:pt>
                <c:pt idx="5">
                  <c:v>100.13106987889498</c:v>
                </c:pt>
                <c:pt idx="6">
                  <c:v>100.80688882394875</c:v>
                </c:pt>
                <c:pt idx="7">
                  <c:v>100.24663608041732</c:v>
                </c:pt>
                <c:pt idx="8">
                  <c:v>99.940580002106799</c:v>
                </c:pt>
                <c:pt idx="9">
                  <c:v>100.73995694420027</c:v>
                </c:pt>
                <c:pt idx="10">
                  <c:v>97.137458911910642</c:v>
                </c:pt>
                <c:pt idx="11">
                  <c:v>102.18783020341557</c:v>
                </c:pt>
                <c:pt idx="12">
                  <c:v>100.65243138145425</c:v>
                </c:pt>
                <c:pt idx="13">
                  <c:v>100.13152378572444</c:v>
                </c:pt>
                <c:pt idx="14">
                  <c:v>103.13252739984937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Weight!$A$72</c:f>
              <c:strCache>
                <c:ptCount val="1"/>
                <c:pt idx="0">
                  <c:v>P3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Weight!$B$82:$P$82</c:f>
                <c:numCache>
                  <c:formatCode>General</c:formatCode>
                  <c:ptCount val="15"/>
                  <c:pt idx="0">
                    <c:v>0</c:v>
                  </c:pt>
                  <c:pt idx="1">
                    <c:v>2.5977610941273745</c:v>
                  </c:pt>
                  <c:pt idx="2">
                    <c:v>3.5197939821393271</c:v>
                  </c:pt>
                  <c:pt idx="3">
                    <c:v>3.7337423066695017</c:v>
                  </c:pt>
                  <c:pt idx="4">
                    <c:v>3.5917502882038197</c:v>
                  </c:pt>
                  <c:pt idx="5">
                    <c:v>3.8168734561036199</c:v>
                  </c:pt>
                  <c:pt idx="6">
                    <c:v>5.5625289390896295</c:v>
                  </c:pt>
                  <c:pt idx="7">
                    <c:v>4.4059602566412055</c:v>
                  </c:pt>
                  <c:pt idx="8">
                    <c:v>4.9207651529923497</c:v>
                  </c:pt>
                  <c:pt idx="9">
                    <c:v>5.8833047905477187</c:v>
                  </c:pt>
                  <c:pt idx="10">
                    <c:v>4.734744183738326</c:v>
                  </c:pt>
                  <c:pt idx="11">
                    <c:v>4.0493802702739545</c:v>
                  </c:pt>
                  <c:pt idx="12">
                    <c:v>4.6213754306734263</c:v>
                  </c:pt>
                  <c:pt idx="13">
                    <c:v>3.5377142586579851</c:v>
                  </c:pt>
                  <c:pt idx="14">
                    <c:v>4.0218011930333022</c:v>
                  </c:pt>
                </c:numCache>
              </c:numRef>
            </c:plus>
            <c:minus>
              <c:numRef>
                <c:f>Weight!$B$82:$P$82</c:f>
                <c:numCache>
                  <c:formatCode>General</c:formatCode>
                  <c:ptCount val="15"/>
                  <c:pt idx="0">
                    <c:v>0</c:v>
                  </c:pt>
                  <c:pt idx="1">
                    <c:v>2.5977610941273745</c:v>
                  </c:pt>
                  <c:pt idx="2">
                    <c:v>3.5197939821393271</c:v>
                  </c:pt>
                  <c:pt idx="3">
                    <c:v>3.7337423066695017</c:v>
                  </c:pt>
                  <c:pt idx="4">
                    <c:v>3.5917502882038197</c:v>
                  </c:pt>
                  <c:pt idx="5">
                    <c:v>3.8168734561036199</c:v>
                  </c:pt>
                  <c:pt idx="6">
                    <c:v>5.5625289390896295</c:v>
                  </c:pt>
                  <c:pt idx="7">
                    <c:v>4.4059602566412055</c:v>
                  </c:pt>
                  <c:pt idx="8">
                    <c:v>4.9207651529923497</c:v>
                  </c:pt>
                  <c:pt idx="9">
                    <c:v>5.8833047905477187</c:v>
                  </c:pt>
                  <c:pt idx="10">
                    <c:v>4.734744183738326</c:v>
                  </c:pt>
                  <c:pt idx="11">
                    <c:v>4.0493802702739545</c:v>
                  </c:pt>
                  <c:pt idx="12">
                    <c:v>4.6213754306734263</c:v>
                  </c:pt>
                  <c:pt idx="13">
                    <c:v>3.5377142586579851</c:v>
                  </c:pt>
                  <c:pt idx="14">
                    <c:v>4.0218011930333022</c:v>
                  </c:pt>
                </c:numCache>
              </c:numRef>
            </c:minus>
            <c:spPr>
              <a:ln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errBars>
          <c:cat>
            <c:numRef>
              <c:f>Weight!$B$70:$P$70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Weight!$B$79:$P$79</c:f>
              <c:numCache>
                <c:formatCode>General</c:formatCode>
                <c:ptCount val="15"/>
                <c:pt idx="0">
                  <c:v>100</c:v>
                </c:pt>
                <c:pt idx="1">
                  <c:v>93.796534153831558</c:v>
                </c:pt>
                <c:pt idx="2">
                  <c:v>91.204823500543426</c:v>
                </c:pt>
                <c:pt idx="3">
                  <c:v>96.530331403941688</c:v>
                </c:pt>
                <c:pt idx="4">
                  <c:v>96.697925235549107</c:v>
                </c:pt>
                <c:pt idx="5">
                  <c:v>98.21393965666185</c:v>
                </c:pt>
                <c:pt idx="6">
                  <c:v>99.372066954392338</c:v>
                </c:pt>
                <c:pt idx="7">
                  <c:v>100.09265703525261</c:v>
                </c:pt>
                <c:pt idx="8">
                  <c:v>100.7134058730105</c:v>
                </c:pt>
                <c:pt idx="9">
                  <c:v>99.577804710572948</c:v>
                </c:pt>
                <c:pt idx="10">
                  <c:v>99.041773988316706</c:v>
                </c:pt>
                <c:pt idx="11">
                  <c:v>99.290472631054328</c:v>
                </c:pt>
                <c:pt idx="12">
                  <c:v>99.440811496861599</c:v>
                </c:pt>
                <c:pt idx="13">
                  <c:v>98.279148724144449</c:v>
                </c:pt>
                <c:pt idx="14">
                  <c:v>99.67475975833581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8455168"/>
        <c:axId val="378457088"/>
      </c:lineChart>
      <c:catAx>
        <c:axId val="378455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Days post inoculation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78457088"/>
        <c:crosses val="autoZero"/>
        <c:auto val="1"/>
        <c:lblAlgn val="ctr"/>
        <c:lblOffset val="100"/>
        <c:noMultiLvlLbl val="0"/>
      </c:catAx>
      <c:valAx>
        <c:axId val="378457088"/>
        <c:scaling>
          <c:orientation val="minMax"/>
          <c:min val="75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SG"/>
                  <a:t>Average percent weights</a:t>
                </a:r>
              </a:p>
            </c:rich>
          </c:tx>
          <c:layout>
            <c:manualLayout>
              <c:xMode val="edge"/>
              <c:yMode val="edge"/>
              <c:x val="1.1079104808331488E-2"/>
              <c:y val="0.1617123295494713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78455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12687930405771"/>
          <c:y val="2.7551158697773533E-2"/>
          <c:w val="0.17087312069594227"/>
          <c:h val="0.16077323284195918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5291-B1D2-457B-AB29-6A9F52F5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</Words>
  <Characters>256</Characters>
  <Application>Microsoft Office Word</Application>
  <DocSecurity>0</DocSecurity>
  <Lines>28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Kedar</dc:creator>
  <cp:lastModifiedBy>JLOAYON</cp:lastModifiedBy>
  <cp:revision>6</cp:revision>
  <dcterms:created xsi:type="dcterms:W3CDTF">2018-01-08T09:41:00Z</dcterms:created>
  <dcterms:modified xsi:type="dcterms:W3CDTF">2018-08-02T05:45:00Z</dcterms:modified>
</cp:coreProperties>
</file>