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EF3" w:rsidRPr="009710DA" w:rsidRDefault="002E66DF" w:rsidP="00E72EF3">
      <w:pPr>
        <w:rPr>
          <w:rFonts w:ascii="Times New Roman" w:hAnsi="Times New Roman" w:cs="Times New Roman"/>
          <w:sz w:val="24"/>
          <w:szCs w:val="24"/>
        </w:rPr>
      </w:pPr>
      <w:r w:rsidRPr="009710DA">
        <w:rPr>
          <w:rFonts w:ascii="Times New Roman" w:hAnsi="Times New Roman" w:cs="Times New Roman"/>
          <w:b/>
          <w:sz w:val="24"/>
          <w:szCs w:val="24"/>
        </w:rPr>
        <w:t>Additional file 3</w:t>
      </w:r>
      <w:r w:rsidR="00E72EF3" w:rsidRPr="009710DA">
        <w:rPr>
          <w:rFonts w:ascii="Times New Roman" w:hAnsi="Times New Roman" w:cs="Times New Roman"/>
          <w:b/>
          <w:sz w:val="24"/>
          <w:szCs w:val="24"/>
        </w:rPr>
        <w:br/>
      </w:r>
      <w:r w:rsidR="00E72EF3" w:rsidRPr="009710DA">
        <w:rPr>
          <w:rFonts w:ascii="Times New Roman" w:hAnsi="Times New Roman" w:cs="Times New Roman"/>
          <w:sz w:val="24"/>
          <w:szCs w:val="24"/>
        </w:rPr>
        <w:t>Baseline characteristics for high-risk patients with CAP and HAP (excluding VAP) (ITT population)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8"/>
        <w:gridCol w:w="2809"/>
        <w:gridCol w:w="2809"/>
      </w:tblGrid>
      <w:tr w:rsidR="00E72EF3" w:rsidRPr="009710DA" w:rsidTr="00021931">
        <w:trPr>
          <w:trHeight w:val="203"/>
        </w:trPr>
        <w:tc>
          <w:tcPr>
            <w:tcW w:w="1884" w:type="pct"/>
            <w:tcBorders>
              <w:right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pct"/>
            <w:gridSpan w:val="2"/>
            <w:tcBorders>
              <w:left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High-risk CAP</w:t>
            </w:r>
          </w:p>
        </w:tc>
      </w:tr>
      <w:tr w:rsidR="00E72EF3" w:rsidRPr="009710DA" w:rsidTr="00021931">
        <w:trPr>
          <w:trHeight w:val="432"/>
        </w:trPr>
        <w:tc>
          <w:tcPr>
            <w:tcW w:w="1884" w:type="pct"/>
            <w:tcBorders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pct"/>
            <w:tcBorders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Ceftobiprole</w:t>
            </w: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(n=253)</w:t>
            </w:r>
          </w:p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1558" w:type="pct"/>
            <w:tcBorders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Ceftriaxone ± linezolid</w:t>
            </w: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(n=276)</w:t>
            </w:r>
          </w:p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</w:tr>
      <w:tr w:rsidR="00E72EF3" w:rsidRPr="009710DA" w:rsidTr="00021931">
        <w:trPr>
          <w:trHeight w:val="179"/>
        </w:trPr>
        <w:tc>
          <w:tcPr>
            <w:tcW w:w="1884" w:type="pct"/>
            <w:tcBorders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58" w:type="pct"/>
            <w:tcBorders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149 (58.9)</w:t>
            </w:r>
          </w:p>
        </w:tc>
        <w:tc>
          <w:tcPr>
            <w:tcW w:w="1558" w:type="pct"/>
            <w:tcBorders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162 (58.7)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Age ≥65 years</w:t>
            </w:r>
          </w:p>
        </w:tc>
        <w:tc>
          <w:tcPr>
            <w:tcW w:w="1558" w:type="pct"/>
            <w:tcBorders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108 (42.7)</w:t>
            </w:r>
          </w:p>
        </w:tc>
        <w:tc>
          <w:tcPr>
            <w:tcW w:w="1558" w:type="pct"/>
            <w:tcBorders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119 (43.1)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1558" w:type="pct"/>
            <w:tcBorders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164 (64.8)</w:t>
            </w:r>
          </w:p>
        </w:tc>
        <w:tc>
          <w:tcPr>
            <w:tcW w:w="1558" w:type="pct"/>
            <w:tcBorders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178 (64.5)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Pre-study antibiotics within 24 hours</w:t>
            </w:r>
          </w:p>
        </w:tc>
        <w:tc>
          <w:tcPr>
            <w:tcW w:w="1558" w:type="pct"/>
            <w:tcBorders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134 (53.0)</w:t>
            </w:r>
          </w:p>
        </w:tc>
        <w:tc>
          <w:tcPr>
            <w:tcW w:w="1558" w:type="pct"/>
            <w:tcBorders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163 (59.1)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Valid pathogen at baseline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74 (29.2)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87 (31.5)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 xml:space="preserve">Patients with linezolid </w:t>
            </w:r>
            <w:proofErr w:type="spellStart"/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r w:rsidRPr="009710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25 (9.9)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36 (13.0)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High-risk HAP (excluding VAP)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Ceftobiprole</w:t>
            </w:r>
          </w:p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(n=244)</w:t>
            </w:r>
          </w:p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Ceftazidime plus linezolid </w:t>
            </w:r>
          </w:p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(n=230)</w:t>
            </w:r>
          </w:p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172 (70.5)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133 (57.8)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Age ≥65 years</w:t>
            </w:r>
          </w:p>
        </w:tc>
        <w:tc>
          <w:tcPr>
            <w:tcW w:w="15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141 (57.8)</w:t>
            </w:r>
          </w:p>
        </w:tc>
        <w:tc>
          <w:tcPr>
            <w:tcW w:w="15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138 (60.0)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15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(74.6)</w:t>
            </w:r>
          </w:p>
        </w:tc>
        <w:tc>
          <w:tcPr>
            <w:tcW w:w="15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 (78.7)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APACHE score ≥15</w:t>
            </w:r>
          </w:p>
        </w:tc>
        <w:tc>
          <w:tcPr>
            <w:tcW w:w="15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101 (41.4)</w:t>
            </w:r>
          </w:p>
        </w:tc>
        <w:tc>
          <w:tcPr>
            <w:tcW w:w="15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104 (45.2)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Ventilation at baseline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41 (16.8)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44 (19.1)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Pre-study antibiotics within 24 hours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153 (62.7)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149 (64.8)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Valid pathogen at baseline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151 (61.9)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145 (63.0)</w:t>
            </w:r>
          </w:p>
        </w:tc>
      </w:tr>
      <w:tr w:rsidR="00E72EF3" w:rsidRPr="009710DA" w:rsidTr="00021931">
        <w:trPr>
          <w:trHeight w:val="183"/>
        </w:trPr>
        <w:tc>
          <w:tcPr>
            <w:tcW w:w="1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proofErr w:type="spellStart"/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pseudomonal</w:t>
            </w:r>
            <w:proofErr w:type="spellEnd"/>
            <w:r w:rsidRPr="00971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antibiotics</w:t>
            </w:r>
            <w:r w:rsidRPr="009710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33 (13.5)</w:t>
            </w:r>
          </w:p>
        </w:tc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EF3" w:rsidRPr="009710DA" w:rsidRDefault="00E72EF3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DA">
              <w:rPr>
                <w:rFonts w:ascii="Times New Roman" w:hAnsi="Times New Roman" w:cs="Times New Roman"/>
                <w:sz w:val="24"/>
                <w:szCs w:val="24"/>
              </w:rPr>
              <w:t>28 (12.2)</w:t>
            </w:r>
          </w:p>
        </w:tc>
      </w:tr>
    </w:tbl>
    <w:p w:rsidR="00E72EF3" w:rsidRPr="009710DA" w:rsidRDefault="00E72EF3" w:rsidP="00E72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10D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710DA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9710DA">
        <w:rPr>
          <w:rFonts w:ascii="Times New Roman" w:hAnsi="Times New Roman" w:cs="Times New Roman"/>
          <w:sz w:val="24"/>
          <w:szCs w:val="24"/>
        </w:rPr>
        <w:t xml:space="preserve"> patients suspected of MRSA infection received add-on linezolid if randomi</w:t>
      </w:r>
      <w:r w:rsidR="009710DA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9710DA">
        <w:rPr>
          <w:rFonts w:ascii="Times New Roman" w:hAnsi="Times New Roman" w:cs="Times New Roman"/>
          <w:sz w:val="24"/>
          <w:szCs w:val="24"/>
        </w:rPr>
        <w:t>ed to ceftriaxone; if randomi</w:t>
      </w:r>
      <w:r w:rsidR="009710DA">
        <w:rPr>
          <w:rFonts w:ascii="Times New Roman" w:hAnsi="Times New Roman" w:cs="Times New Roman"/>
          <w:sz w:val="24"/>
          <w:szCs w:val="24"/>
        </w:rPr>
        <w:t>s</w:t>
      </w:r>
      <w:r w:rsidRPr="009710DA">
        <w:rPr>
          <w:rFonts w:ascii="Times New Roman" w:hAnsi="Times New Roman" w:cs="Times New Roman"/>
          <w:sz w:val="24"/>
          <w:szCs w:val="24"/>
        </w:rPr>
        <w:t>ed to ceftobiprole, they received add-on placebo instead of linezolid.</w:t>
      </w:r>
    </w:p>
    <w:p w:rsidR="00E72EF3" w:rsidRPr="009710DA" w:rsidRDefault="00E72EF3" w:rsidP="00E72E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10DA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9710DA">
        <w:rPr>
          <w:rFonts w:ascii="Times New Roman" w:hAnsi="Times New Roman" w:cs="Times New Roman"/>
          <w:sz w:val="24"/>
          <w:szCs w:val="24"/>
        </w:rPr>
        <w:t>Empirical</w:t>
      </w:r>
      <w:proofErr w:type="spellEnd"/>
      <w:r w:rsidRPr="009710DA">
        <w:rPr>
          <w:rFonts w:ascii="Times New Roman" w:hAnsi="Times New Roman" w:cs="Times New Roman"/>
          <w:sz w:val="24"/>
          <w:szCs w:val="24"/>
        </w:rPr>
        <w:t xml:space="preserve"> treatment with antibiotic therapy was added to the study treatment for 48 hours in patients with a suspected infection due to </w:t>
      </w:r>
      <w:r w:rsidRPr="009710DA">
        <w:rPr>
          <w:rFonts w:ascii="Times New Roman" w:hAnsi="Times New Roman" w:cs="Times New Roman"/>
          <w:i/>
          <w:sz w:val="24"/>
          <w:szCs w:val="24"/>
        </w:rPr>
        <w:t>Pseudomonas aeruginosa</w:t>
      </w:r>
      <w:r w:rsidRPr="009710DA">
        <w:rPr>
          <w:rFonts w:ascii="Times New Roman" w:hAnsi="Times New Roman" w:cs="Times New Roman"/>
          <w:sz w:val="24"/>
          <w:szCs w:val="24"/>
        </w:rPr>
        <w:t xml:space="preserve"> or for 5–7 days in patients with proven infection due </w:t>
      </w:r>
      <w:r w:rsidRPr="009710DA">
        <w:rPr>
          <w:rFonts w:ascii="Times New Roman" w:hAnsi="Times New Roman" w:cs="Times New Roman"/>
          <w:i/>
          <w:sz w:val="24"/>
          <w:szCs w:val="24"/>
        </w:rPr>
        <w:t>to Pseudomonas aeruginosa</w:t>
      </w:r>
      <w:r w:rsidRPr="009710DA">
        <w:rPr>
          <w:rFonts w:ascii="Times New Roman" w:hAnsi="Times New Roman" w:cs="Times New Roman"/>
          <w:sz w:val="24"/>
          <w:szCs w:val="24"/>
        </w:rPr>
        <w:t xml:space="preserve">. </w:t>
      </w:r>
      <w:r w:rsidRPr="009710DA">
        <w:rPr>
          <w:rFonts w:ascii="Times New Roman" w:hAnsi="Times New Roman" w:cs="Times New Roman"/>
          <w:sz w:val="24"/>
          <w:szCs w:val="24"/>
        </w:rPr>
        <w:br/>
        <w:t xml:space="preserve">APACHE, Acute Physiology and Chronic Health Evaluation; CAP, community-acquired pneumonia; HAP, hospital-acquired pneumonia; ITT, intention-to-treat; MRSA, methicillin-resistant </w:t>
      </w:r>
      <w:r w:rsidRPr="009710DA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Pr="009710DA">
        <w:rPr>
          <w:rFonts w:ascii="Times New Roman" w:hAnsi="Times New Roman" w:cs="Times New Roman"/>
          <w:sz w:val="24"/>
          <w:szCs w:val="24"/>
        </w:rPr>
        <w:t>; VAP, ventilator-associated pneumonia.</w:t>
      </w:r>
    </w:p>
    <w:p w:rsidR="00D141C7" w:rsidRPr="009710DA" w:rsidRDefault="00D141C7" w:rsidP="00E72EF3"/>
    <w:sectPr w:rsidR="00D141C7" w:rsidRPr="00971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B2"/>
    <w:rsid w:val="002E66DF"/>
    <w:rsid w:val="003A7DB2"/>
    <w:rsid w:val="009710DA"/>
    <w:rsid w:val="00D141C7"/>
    <w:rsid w:val="00E7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49660"/>
  <w15:chartTrackingRefBased/>
  <w15:docId w15:val="{CCC3DF97-BFF8-4C2C-92A5-3251AE98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Fox</dc:creator>
  <cp:keywords/>
  <dc:description/>
  <cp:lastModifiedBy>Jess Fox</cp:lastModifiedBy>
  <cp:revision>4</cp:revision>
  <dcterms:created xsi:type="dcterms:W3CDTF">2018-08-29T11:39:00Z</dcterms:created>
  <dcterms:modified xsi:type="dcterms:W3CDTF">2018-08-29T12:39:00Z</dcterms:modified>
</cp:coreProperties>
</file>