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13" w:rsidRDefault="00EE7B13" w:rsidP="00EE7B13">
      <w:pPr>
        <w:pStyle w:val="Heading7"/>
        <w:tabs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3</w:t>
      </w:r>
    </w:p>
    <w:p w:rsidR="00EE7B13" w:rsidRDefault="00EE7B13" w:rsidP="00EE7B13">
      <w:pPr>
        <w:pStyle w:val="Heading7"/>
        <w:tabs>
          <w:tab w:val="num" w:pos="4950"/>
        </w:tabs>
        <w:spacing w:line="360" w:lineRule="auto"/>
        <w:ind w:left="990" w:hanging="990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</w:rPr>
        <w:t xml:space="preserve">  Table </w:t>
      </w:r>
      <w:r>
        <w:rPr>
          <w:rFonts w:ascii="Times New Roman" w:hAnsi="Times New Roman"/>
          <w:b/>
        </w:rPr>
        <w:t>S</w:t>
      </w:r>
      <w:bookmarkStart w:id="0" w:name="_GoBack"/>
      <w:bookmarkEnd w:id="0"/>
      <w:r>
        <w:rPr>
          <w:rFonts w:ascii="Times New Roman" w:hAnsi="Times New Roman"/>
          <w:b/>
        </w:rPr>
        <w:t xml:space="preserve">8. </w:t>
      </w:r>
      <w:r>
        <w:rPr>
          <w:rFonts w:ascii="Times New Roman" w:hAnsi="Times New Roman"/>
          <w:b/>
          <w:lang w:val="en-GB"/>
        </w:rPr>
        <w:t xml:space="preserve">Nasopharyngeal carriage of </w:t>
      </w:r>
      <w:r>
        <w:rPr>
          <w:rFonts w:ascii="Times New Roman" w:hAnsi="Times New Roman"/>
          <w:b/>
          <w:i/>
          <w:lang w:val="en-GB"/>
        </w:rPr>
        <w:t xml:space="preserve">S. pneumoniae </w:t>
      </w:r>
      <w:r>
        <w:rPr>
          <w:rFonts w:ascii="Times New Roman" w:hAnsi="Times New Roman"/>
          <w:b/>
          <w:lang w:val="en-GB"/>
        </w:rPr>
        <w:t>serotypes in children at the age of 2 years (n=116) compared to type and frequency at the age of 9 months.</w:t>
      </w:r>
    </w:p>
    <w:p w:rsidR="00EE7B13" w:rsidRDefault="00EE7B13" w:rsidP="00EE7B13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989"/>
        <w:gridCol w:w="990"/>
        <w:gridCol w:w="720"/>
        <w:gridCol w:w="720"/>
        <w:gridCol w:w="720"/>
        <w:gridCol w:w="810"/>
        <w:gridCol w:w="1080"/>
        <w:gridCol w:w="990"/>
      </w:tblGrid>
      <w:tr w:rsidR="00EE7B13" w:rsidTr="00EE7B13">
        <w:tc>
          <w:tcPr>
            <w:tcW w:w="2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Carriage status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softHyphen/>
              <w:t>Pneumococcal carriers at the age of 2 years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Pneumococcal Serotypes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No pneumococci at the age of 2 years</w:t>
            </w:r>
          </w:p>
        </w:tc>
      </w:tr>
      <w:tr w:rsidR="00EE7B13" w:rsidTr="00EE7B13">
        <w:tc>
          <w:tcPr>
            <w:tcW w:w="20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7B13" w:rsidRDefault="00EE7B1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Same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Different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</w:tr>
      <w:tr w:rsidR="00EE7B13" w:rsidTr="00EE7B13">
        <w:trPr>
          <w:trHeight w:val="285"/>
        </w:trPr>
        <w:tc>
          <w:tcPr>
            <w:tcW w:w="20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7B13" w:rsidRDefault="00EE7B1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7B13" w:rsidRDefault="00EE7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7B13" w:rsidRDefault="00EE7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7B13" w:rsidRDefault="00EE7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7B13" w:rsidRDefault="00EE7B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E7B13" w:rsidTr="00EE7B13"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softHyphen/>
              <w:t>Pneumococcal carrier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at the age of   9 months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64.9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3*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90.9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27</w:t>
            </w:r>
          </w:p>
        </w:tc>
      </w:tr>
      <w:tr w:rsidR="00EE7B13" w:rsidTr="00EE7B13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 pneumococci at the age of 9 months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35.1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73</w:t>
            </w:r>
          </w:p>
        </w:tc>
      </w:tr>
      <w:tr w:rsidR="00EE7B13" w:rsidTr="00EE7B13"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Total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B13" w:rsidRDefault="00EE7B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EE7B13" w:rsidRDefault="00EE7B13" w:rsidP="00EE7B13">
      <w:pPr>
        <w:spacing w:line="360" w:lineRule="auto"/>
        <w:ind w:left="540" w:hanging="540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ab/>
        <w:t xml:space="preserve">*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serotype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19F, 8, and 23B, PFGE analysis was not done for two-year isolates  </w:t>
      </w:r>
    </w:p>
    <w:p w:rsidR="00425953" w:rsidRDefault="00425953"/>
    <w:sectPr w:rsidR="00425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13"/>
    <w:rsid w:val="00425953"/>
    <w:rsid w:val="00963277"/>
    <w:rsid w:val="00E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B13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EE7B13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B13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EE7B13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2019-04-27T18:04:00Z</dcterms:created>
  <dcterms:modified xsi:type="dcterms:W3CDTF">2019-04-27T18:04:00Z</dcterms:modified>
</cp:coreProperties>
</file>