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Supplementary </w:t>
      </w:r>
      <w:r w:rsidR="00CE5F7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Materials</w:t>
      </w:r>
      <w:r w:rsidRPr="001E19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“</w:t>
      </w: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Rapid Diagnosis of </w:t>
      </w:r>
      <w:proofErr w:type="spellStart"/>
      <w:r w:rsidRPr="00F90156">
        <w:rPr>
          <w:rFonts w:ascii="Times New Roman" w:hAnsi="Times New Roman" w:cs="Times New Roman"/>
          <w:b/>
          <w:i/>
          <w:sz w:val="24"/>
          <w:szCs w:val="24"/>
          <w:lang w:val="en-US"/>
        </w:rPr>
        <w:t>Capnocytophaga</w:t>
      </w:r>
      <w:proofErr w:type="spellEnd"/>
      <w:r w:rsidRPr="00F90156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F90156">
        <w:rPr>
          <w:rFonts w:ascii="Times New Roman" w:hAnsi="Times New Roman" w:cs="Times New Roman"/>
          <w:b/>
          <w:i/>
          <w:sz w:val="24"/>
          <w:szCs w:val="24"/>
          <w:lang w:val="en-US"/>
        </w:rPr>
        <w:t>canimorsus</w:t>
      </w:r>
      <w:proofErr w:type="spellEnd"/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Septic Shock in an Immunocompetent Individual Using Real-Time </w:t>
      </w:r>
      <w:proofErr w:type="spellStart"/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>Nanopore</w:t>
      </w:r>
      <w:proofErr w:type="spellEnd"/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Sequencing</w:t>
      </w:r>
      <w:r w:rsidR="009B3A12">
        <w:rPr>
          <w:rFonts w:ascii="Times New Roman" w:hAnsi="Times New Roman" w:cs="Times New Roman"/>
          <w:b/>
          <w:sz w:val="24"/>
          <w:szCs w:val="24"/>
          <w:lang w:val="en-US"/>
        </w:rPr>
        <w:t>: A Case Report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>Patient Involvement</w:t>
      </w:r>
    </w:p>
    <w:p w:rsidR="001E19C0" w:rsidRPr="00F90156" w:rsidRDefault="00A81857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Ethics approval for this case report was waived by the Metro North Hospital and Health Service Human Research Ethics Committee, in line with the Committee’s guidelines for single Case Reports. </w:t>
      </w:r>
      <w:r w:rsidR="001E19C0" w:rsidRPr="00F90156">
        <w:rPr>
          <w:rFonts w:ascii="Times New Roman" w:hAnsi="Times New Roman" w:cs="Times New Roman"/>
          <w:sz w:val="24"/>
          <w:szCs w:val="24"/>
          <w:lang w:val="en-US"/>
        </w:rPr>
        <w:t>The patient’s written consent was obtained to conduct and publish this case study.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>DNA Extraction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Excess whole-blood EDTA samples collected for routine diagnostic purposes from the day of admission (d0) and 5 days post—admission (d5) were split, with one aliquot of each blood being centrifuged to obtain the serum fraction. A 10ml aliquot of the blood culture which flagged positive on day 4 was also obtained and processed either by centrifugation or pre-heating at 98°C for 5 minutes followed by centrifugation, with the supernatants being subsequently used for nucleic acid extraction. 200µl of each sample was extracted using the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QIAamp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DNA Blood Mini kit (QIAGEN, Australia) as per manufacturer’s instructions. DNA yield and quality measured with the Qubit HS DNA kit (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Thermo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Fisher, Australia) and the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Nanodrop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Thermo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Fisher, Australia) indicated that the yield and DNA purity was greatest in the d0 followed by the d5 whole blood (20.4 ng/</w:t>
      </w:r>
      <w:r w:rsidRPr="00F90156">
        <w:rPr>
          <w:rFonts w:ascii="Times New Roman" w:hAnsi="Times New Roman" w:cs="Times New Roman"/>
          <w:sz w:val="24"/>
          <w:szCs w:val="24"/>
        </w:rPr>
        <w:t>µ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l; 1.8 (260/280) and 19.7ng/</w:t>
      </w:r>
      <w:r w:rsidRPr="00F90156">
        <w:rPr>
          <w:rFonts w:ascii="Times New Roman" w:hAnsi="Times New Roman" w:cs="Times New Roman"/>
          <w:sz w:val="24"/>
          <w:szCs w:val="24"/>
        </w:rPr>
        <w:t>µ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l; 1.84 (260/280), respectively), while both the centrifuged and heated blood culture supernatants produced low DNA yields or extracts of low purity (5.2ng/</w:t>
      </w:r>
      <w:r w:rsidRPr="00F90156">
        <w:rPr>
          <w:rFonts w:ascii="Times New Roman" w:hAnsi="Times New Roman" w:cs="Times New Roman"/>
          <w:sz w:val="24"/>
          <w:szCs w:val="24"/>
        </w:rPr>
        <w:t>µ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l; 0.24 (260/280) and 0.47ng/</w:t>
      </w:r>
      <w:r w:rsidRPr="00F90156">
        <w:rPr>
          <w:rFonts w:ascii="Times New Roman" w:hAnsi="Times New Roman" w:cs="Times New Roman"/>
          <w:sz w:val="24"/>
          <w:szCs w:val="24"/>
        </w:rPr>
        <w:t>µ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l; 1.81 (260/280), respectively).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t xml:space="preserve">Whole-blood </w:t>
      </w:r>
      <w:proofErr w:type="spellStart"/>
      <w:r w:rsidRPr="00F90156">
        <w:rPr>
          <w:rFonts w:ascii="Times New Roman" w:hAnsi="Times New Roman" w:cs="Times New Roman"/>
          <w:b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b/>
          <w:sz w:val="24"/>
          <w:szCs w:val="24"/>
        </w:rPr>
        <w:t xml:space="preserve"> sequencing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The rapid sequencing kit (SQK-RAD003 version RSE_9040_v1_revC_04Jul2017, Oxford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Technologies, UK) was used for library preparation of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MinION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sequencing run. In brief, a transposase with adaptors was added to the sample (2 minute reaction) and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adaptors were ligated to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tagmented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DNA (5 minute reaction). A few modifications of the protocol were needed to achieve a better sequencing performance: 4uL of fragmentation enzyme (FRA) were added to 11µL of 800ng of template DNA; 2µL of rapid adaptor (RPD) were used instead of 1µL and 17µL of library (800ng) was loaded into the FLO-MIN107 flow cell (version R9.5.1). The run was performed in a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MinION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MK1B for 18hours with the protocol script “SQK-RAD003” chosen from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MinKNOW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software (v1.10.23).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MinION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run outputted 36,000 reads with 226,184,903 events in total and the raw data was base called with Albacore (v2.1.3) using the following workflow: FLO-MIN107, SQK-RAD003 and configuration file: r95_450bps_linear.cfg. Out of the total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fastq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files produced, 17,552 reads were classified as pass in this software. All pass reads were aligned to the in-house genomes database by minimap2 [1] and then analysed by the real-time species typing module from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Japsa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package v1.7-10a [2].</w:t>
      </w:r>
      <w:r>
        <w:rPr>
          <w:rFonts w:ascii="Times New Roman" w:hAnsi="Times New Roman" w:cs="Times New Roman"/>
          <w:sz w:val="24"/>
          <w:szCs w:val="24"/>
        </w:rPr>
        <w:t xml:space="preserve"> In total, 17 reads (additional supplementary file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Capnocytophaga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canimorsus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reads.fa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”) were classified as </w:t>
      </w:r>
      <w:r w:rsidRPr="00BD573D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BD573D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BD573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origin, with the majority of reads being detected in the first 100 minutes (Supplementary Figure 2).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Analyses results were further confirmed by uploading the “pass” reads onto the One Codex online portal [3] (One Codex, USA). Briefly, the One Codex algorithm removes reads matching human sequences prior to characterising the non-host reads using a proprietary whole-genome database containing over 80,000 bacterial, viral, fungal 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protist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species and strains. The One Codex results (</w:t>
      </w:r>
      <w:r w:rsidRPr="00F90156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90156">
        <w:rPr>
          <w:rFonts w:ascii="Times New Roman" w:hAnsi="Times New Roman" w:cs="Times New Roman"/>
          <w:sz w:val="24"/>
          <w:szCs w:val="24"/>
        </w:rPr>
        <w:t xml:space="preserve">) showed a similar number of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Capnocytophaga</w:t>
      </w:r>
      <w:proofErr w:type="spellEnd"/>
      <w:r w:rsidRPr="00F901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reads being characterised, however also showed a number of other matches, most prominent of which was to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Toxoplasma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. The majority of minor </w:t>
      </w: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read hits were considered reagent or laboratory contaminants as they were originating from environmental organisms. The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reads all aligned to the unplaced scaffolds of the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ME49 reference genome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RefSeq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Accession GCF_000006565.2), while smaller fragments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: 1000-2000bp) of the reads would consistently align with existing human sequences. Furthermore, routine diagnostic results showed that the patient was IgG, but not IgM seropositive, as well as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not being </w:t>
      </w:r>
      <w:r w:rsidRPr="00F90156">
        <w:rPr>
          <w:rFonts w:ascii="Times New Roman" w:hAnsi="Times New Roman" w:cs="Times New Roman"/>
          <w:sz w:val="24"/>
          <w:szCs w:val="24"/>
        </w:rPr>
        <w:t xml:space="preserve">detected by real-time PCR in their d0 and d5 whole blood. Thus, due to the multiple lines of evidence, we considered the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hits to be spurious and most likely to be of human origin. This would also suggest that human sequences have contaminated the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gondii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reference genome during its production and sequence assembly, a proposition supported by previous findings [4].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t>Culture isolate antibiotic susceptibility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The isolate was β-lactamase-producing. The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amoxycillin-clavulanate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MIC by e-test (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bioMérieux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) was 0.032 mg/L and the ceftriaxone MIC 0.064 mg/L. 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t xml:space="preserve">Culture isolate </w:t>
      </w:r>
      <w:proofErr w:type="spellStart"/>
      <w:r w:rsidRPr="00F90156">
        <w:rPr>
          <w:rFonts w:ascii="Times New Roman" w:hAnsi="Times New Roman" w:cs="Times New Roman"/>
          <w:b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b/>
          <w:sz w:val="24"/>
          <w:szCs w:val="24"/>
        </w:rPr>
        <w:t xml:space="preserve"> sequencing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The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sub-culture was collected 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resuspended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in PBS, prior to being extracted using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QIAamp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DNA Blood Mini kit and eluted into 50µl of water. The library preparation for the isolate was done following the 1D Native barcoding genomic DNA (EXP-NBD103 version: NBE_9006_v103_revP_21Dec2016 and SQK-LSK108, Oxford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Technologies, UK) protocol with the following modifications: 1.5µg input DNA, 10uL of end-repair reaction buffer and 4.5µL of the end-repair enzyme mix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NEBNext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Ultra II End-repair/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-tail module (New England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BioLabs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USA); 5 µL of native barcoding 1 (NB01) and 25µL of Blunt/TA Ligase Master mix (New England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BioLabs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USA); 30µL of barcode adapter mix (Oxford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Technologies, UK), 30µL of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NEBNext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Quick Ligation Reaction Buffer (5x) (New England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BioLabs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USA) and 15µL of Quick T4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DNa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Ligase </w:t>
      </w: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(New England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BioLabs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, USA). 15µL (501ng) were loaded into the flow cell (FLO-MIN107 version R9.5.1).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The run was performed in a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MinION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MK1B for 4.5hours with the protocol script “SQK-LSK108” chose from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MinKNOW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software (v1.10.23).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output was 1,323,508 reads with 1,356,630,003 events in total.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Basecalling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was accomplished using the following Albacore (v2.1.3) workflow: FLO-MIN107, SQK-LSK108, configuration file: r95_450bps_linear.cfg, and “—barcoding” option. Of the 948,048 reads classified as “pass” in this software, 772,628 reads were assigned to be from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using One Codex.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Canu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version 1.7 [5] was applied for genome assembly on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data, resulting in a draft genome that has 97.12% average identity to the reference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C.canimorsus</w:t>
      </w:r>
      <w:proofErr w:type="spellEnd"/>
      <w:r w:rsidRPr="00F901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90156">
        <w:rPr>
          <w:rFonts w:ascii="Times New Roman" w:hAnsi="Times New Roman" w:cs="Times New Roman"/>
          <w:sz w:val="24"/>
          <w:szCs w:val="24"/>
        </w:rPr>
        <w:t>Cc5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RefSeq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GCF_000220625.1). The draft assembly was polished by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nanopolish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version 0.9.0, making the figure slightly improved to 97.59%.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b/>
          <w:sz w:val="24"/>
          <w:szCs w:val="24"/>
        </w:rPr>
        <w:t>ddPCR</w:t>
      </w:r>
      <w:proofErr w:type="spellEnd"/>
      <w:r w:rsidRPr="00F90156">
        <w:rPr>
          <w:rFonts w:ascii="Times New Roman" w:hAnsi="Times New Roman" w:cs="Times New Roman"/>
          <w:b/>
          <w:sz w:val="24"/>
          <w:szCs w:val="24"/>
        </w:rPr>
        <w:t xml:space="preserve"> and real-time PCR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Based on the initial whole blood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reads, a dual-labeled hydrolysis probe PCR assay was designed with the help of the Geneious 9.1.8 software package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Biomatters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Ltd, New Zealand) by targeting conserved sequences shared with four other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reference strains (CP022382, CP022389, CP002113, and CP022388) (Supplementary Table 1). Specificity of the assay was tested within the Geneious software as well as through NCBI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BLASTn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. A double stranded linear DNA synthetic control specific to the assay was also designed (Integrated DNA Technologies, USA) (</w:t>
      </w:r>
      <w:r w:rsidRPr="00F90156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F90156">
        <w:rPr>
          <w:rFonts w:ascii="Times New Roman" w:hAnsi="Times New Roman" w:cs="Times New Roman"/>
          <w:sz w:val="24"/>
          <w:szCs w:val="24"/>
        </w:rPr>
        <w:t>). The PCR assay was adapted for use in droplet digital PCR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ddPCR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) on the QX-200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ddPCR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system (Bio-Rad, Australia). Briefly, 12.5µl of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ddPCR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Supermix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for Probes (Bio-Rad, Australia), 10pmol of each primer, 4pmol of probe and 6.25µl of DNA extract were combined into a final 25µl </w:t>
      </w: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reaction volume, with droplet generation performed on the QX-200 companion automated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AutoDG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platform. PCR was performed in a deep-well C-1000 PCR cycler (Bio-Rad, Australia) under the following conditions: incubation at 95°C for 10 minutes, followed by 40 cycles of 95°C for 30s, 55°C for 60s and 72°C for 60s, with a final extension step at 98°C for 7 minutes. Reaction volume for the cycling parameters was set at 40µl. Both of the whole blood and the equivalent plasma DNA extracts were run alongside a 1:20 isolate sub-culture extract and two serial dilutions of the synthetic control (10</w:t>
      </w:r>
      <w:r w:rsidRPr="00F90156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F90156">
        <w:rPr>
          <w:rFonts w:ascii="Times New Roman" w:hAnsi="Times New Roman" w:cs="Times New Roman"/>
          <w:sz w:val="24"/>
          <w:szCs w:val="24"/>
        </w:rPr>
        <w:t xml:space="preserve"> and 10</w:t>
      </w:r>
      <w:r w:rsidRPr="00F90156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Pr="00F9015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resuspended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in purified human DNA as the positive controls, and purified human DNA as the negative control and baseline threshold determinant. All DNA extracts including the human DNA were centrifuged through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Covaris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G-Tubes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Covaris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USA) at 8,000g. 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All three positive controls were successfully amplified, with the two serially diluted synthetic controls retaining the logarithmic scale on the resulting absolute quantification results (Wells G01 and H01, </w:t>
      </w:r>
      <w:r w:rsidRPr="00F90156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90156">
        <w:rPr>
          <w:rFonts w:ascii="Times New Roman" w:hAnsi="Times New Roman" w:cs="Times New Roman"/>
          <w:sz w:val="24"/>
          <w:szCs w:val="24"/>
        </w:rPr>
        <w:t xml:space="preserve">), while the 1:20 culture (Well E01) went beyond the upper limit of sensitivity and saturated the positive droplet count. The negative control (Well F01) did not show non-specific amplification, while all four blood samples produced positive amplification (Wells A01-D01, </w:t>
      </w:r>
      <w:r w:rsidRPr="00F90156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9015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Two swabs were taken of the offending dog’s oral cavity before being placed in Stewart’s Transport Media. DNA isolation from the swabs involved processing the swab heads with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AllPrep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PowerViral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DNA/RNA extraction kit (QIAGEN, Australia) as per manufacturer’s instructions and included the bead-beating step of the snapped-off swab heads. The bespoke PCR assay was adapted to real-time PCR use and applied to both oral swab extracts as well as the 10</w:t>
      </w:r>
      <w:r w:rsidRPr="00F90156">
        <w:rPr>
          <w:rFonts w:ascii="Times New Roman" w:hAnsi="Times New Roman" w:cs="Times New Roman"/>
          <w:sz w:val="24"/>
          <w:szCs w:val="24"/>
          <w:vertAlign w:val="superscript"/>
        </w:rPr>
        <w:t>-7</w:t>
      </w:r>
      <w:r w:rsidRPr="00F90156">
        <w:rPr>
          <w:rFonts w:ascii="Times New Roman" w:hAnsi="Times New Roman" w:cs="Times New Roman"/>
          <w:sz w:val="24"/>
          <w:szCs w:val="24"/>
        </w:rPr>
        <w:t xml:space="preserve"> synthetic control dilution. Briefly, the real-time PCR consisted of 10µl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SensiMix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Probe II PCR mix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Bioline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Australia), 8pmol of primer, 3.2pmol of probe, 2µl of template </w:t>
      </w: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made up to a total 20µl reaction volume with the following cycling conditions: 95°C incubation for 10 minutes, and 45 cycles of 95°C for 15s and 60°C for 60s. Despite low total DNA concentrations extracted from both swabs (0.9ng/µl and 1.16ng/µl),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could be detected consistently at a mean Ct value of 22.9 (</w:t>
      </w:r>
      <w:r w:rsidRPr="00F90156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90156">
        <w:rPr>
          <w:rFonts w:ascii="Times New Roman" w:hAnsi="Times New Roman" w:cs="Times New Roman"/>
          <w:sz w:val="24"/>
          <w:szCs w:val="24"/>
        </w:rPr>
        <w:t>).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t>Illumina sequencing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Additional sequencing was undertaken to complete the cultured isolate genome along with the dog swab extract. Both sample extracts were prepared into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NexteraXT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libraries and subjected to Illumina NextSeq500 2x150bp sequencing. The direct sequencing of the dog swab extract yielded 32 713 374 reads, of which 4 200 000 reads mapped to the </w:t>
      </w:r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genome (NC_015846), giving an average sequence depth of 243 times, while the isolate produced 3 271 374 reads, which represents an average sequence depth of 215 times.  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The genome for the patient </w:t>
      </w:r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isolate was completed and generated one circular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contig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2555606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bp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in size. This comprised of 2359 genes, 9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rRNAs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(3 5S, 3 16S, </w:t>
      </w:r>
      <w:proofErr w:type="gramStart"/>
      <w:r w:rsidRPr="00F90156">
        <w:rPr>
          <w:rFonts w:ascii="Times New Roman" w:hAnsi="Times New Roman" w:cs="Times New Roman"/>
          <w:sz w:val="24"/>
          <w:szCs w:val="24"/>
          <w:lang w:val="en-US"/>
        </w:rPr>
        <w:t>3</w:t>
      </w:r>
      <w:proofErr w:type="gram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23S), 44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tRNAs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, 3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ncRNAs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and 126 pseudo genes. Annotation was performed using the NCBI Prokaryotic Genome Annotation Pipeline. 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t>Genome analyses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>The patient isolate’s genome was screened computationally (Geneious 9.1.8 software package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Biomatters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Ltd, New Zealand) for the presence of 6 PCR targets (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SeroA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SeroB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SeroC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SeroABC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) defined by Hess et al [6] which were found to be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serovar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markers, including the more virulent A, B and C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serovar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forms. Of the 6 PCR targets, only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SeroD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primer targets were present on the patient genome, producing a hypothetical PCR product of 590bp, in line with the Hess </w:t>
      </w:r>
      <w:proofErr w:type="gramStart"/>
      <w:r w:rsidRPr="00F90156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F90156">
        <w:rPr>
          <w:rFonts w:ascii="Times New Roman" w:hAnsi="Times New Roman" w:cs="Times New Roman"/>
          <w:sz w:val="24"/>
          <w:szCs w:val="24"/>
        </w:rPr>
        <w:t xml:space="preserve"> all results. The genome was also analyzed for acquired antimicrobial resistance genes using the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ResFinder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3.0 online portal [7]</w:t>
      </w:r>
      <w:r w:rsidRPr="00F90156">
        <w:rPr>
          <w:rFonts w:ascii="Times New Roman" w:hAnsi="Times New Roman" w:cs="Times New Roman"/>
          <w:bCs/>
          <w:sz w:val="24"/>
          <w:szCs w:val="24"/>
        </w:rPr>
        <w:t xml:space="preserve">, but did not </w:t>
      </w:r>
      <w:r w:rsidRPr="00F9015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detect any markers even when using a low threshold (sequence identity: 30%, minimum length: 20%). The </w:t>
      </w:r>
      <w:proofErr w:type="spellStart"/>
      <w:r w:rsidRPr="00F90156">
        <w:rPr>
          <w:rFonts w:ascii="Times New Roman" w:hAnsi="Times New Roman" w:cs="Times New Roman"/>
          <w:bCs/>
          <w:sz w:val="24"/>
          <w:szCs w:val="24"/>
        </w:rPr>
        <w:t>ResFinder</w:t>
      </w:r>
      <w:proofErr w:type="spellEnd"/>
      <w:r w:rsidRPr="00F90156">
        <w:rPr>
          <w:rFonts w:ascii="Times New Roman" w:hAnsi="Times New Roman" w:cs="Times New Roman"/>
          <w:bCs/>
          <w:sz w:val="24"/>
          <w:szCs w:val="24"/>
        </w:rPr>
        <w:t xml:space="preserve"> results correlated with those obtained through routine culture-based diagnostic testing of the patient </w:t>
      </w:r>
      <w:r w:rsidRPr="00F90156">
        <w:rPr>
          <w:rFonts w:ascii="Times New Roman" w:hAnsi="Times New Roman" w:cs="Times New Roman"/>
          <w:bCs/>
          <w:i/>
          <w:sz w:val="24"/>
          <w:szCs w:val="24"/>
        </w:rPr>
        <w:t xml:space="preserve">C. </w:t>
      </w:r>
      <w:proofErr w:type="spellStart"/>
      <w:r w:rsidRPr="00F90156">
        <w:rPr>
          <w:rFonts w:ascii="Times New Roman" w:hAnsi="Times New Roman" w:cs="Times New Roman"/>
          <w:bCs/>
          <w:i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F90156">
        <w:rPr>
          <w:rFonts w:ascii="Times New Roman" w:hAnsi="Times New Roman" w:cs="Times New Roman"/>
          <w:bCs/>
          <w:sz w:val="24"/>
          <w:szCs w:val="24"/>
        </w:rPr>
        <w:t>using the e-test (</w:t>
      </w:r>
      <w:proofErr w:type="spellStart"/>
      <w:r w:rsidRPr="00F90156">
        <w:rPr>
          <w:rFonts w:ascii="Times New Roman" w:hAnsi="Times New Roman" w:cs="Times New Roman"/>
          <w:bCs/>
          <w:sz w:val="24"/>
          <w:szCs w:val="24"/>
        </w:rPr>
        <w:t>bioMérieux</w:t>
      </w:r>
      <w:proofErr w:type="spellEnd"/>
      <w:r w:rsidRPr="00F90156">
        <w:rPr>
          <w:rFonts w:ascii="Times New Roman" w:hAnsi="Times New Roman" w:cs="Times New Roman"/>
          <w:bCs/>
          <w:sz w:val="24"/>
          <w:szCs w:val="24"/>
        </w:rPr>
        <w:t>, Australia) which</w:t>
      </w:r>
      <w:r w:rsidRPr="00F90156">
        <w:rPr>
          <w:rFonts w:ascii="Times New Roman" w:hAnsi="Times New Roman" w:cs="Times New Roman"/>
          <w:sz w:val="24"/>
          <w:szCs w:val="24"/>
        </w:rPr>
        <w:t xml:space="preserve"> did not identify any clear antibiotic resistance. </w:t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t>To determine the SNP difference between dog and human clinical isolate, Illumina reads (dog) were mapped to the assembly genome (clinical isolate) using BWA-MEM [8]. Three SNPs between the clinical and dog isolates were detected at positions 113366 (C</w:t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sym w:font="Wingdings" w:char="F0E0"/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t>A), 706280 (C</w:t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sym w:font="Wingdings" w:char="F0E0"/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t>A), and 1269042 (A</w:t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sym w:font="Wingdings" w:char="F0E0"/>
      </w:r>
      <w:r w:rsidRPr="00F90156">
        <w:rPr>
          <w:rFonts w:ascii="Times New Roman" w:hAnsi="Times New Roman" w:cs="Times New Roman"/>
          <w:color w:val="000000"/>
          <w:sz w:val="24"/>
          <w:szCs w:val="24"/>
        </w:rPr>
        <w:t>T). The GATK [9] pipeline was utilized to call SNPs, as previously described [10].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>Data availability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Whole genome sequencing for the patient (Cc_RBWH_01c,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BioSample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90156">
        <w:rPr>
          <w:rStyle w:val="accession"/>
          <w:rFonts w:ascii="Times New Roman" w:hAnsi="Times New Roman" w:cs="Times New Roman"/>
          <w:sz w:val="24"/>
          <w:szCs w:val="24"/>
        </w:rPr>
        <w:t>SAMN10160287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) and dog (Cc_RBWH_01d,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BioSample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F90156">
        <w:rPr>
          <w:rStyle w:val="accession"/>
          <w:rFonts w:ascii="Times New Roman" w:hAnsi="Times New Roman" w:cs="Times New Roman"/>
          <w:sz w:val="24"/>
          <w:szCs w:val="24"/>
        </w:rPr>
        <w:t>SAMN10169587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C.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  <w:lang w:val="en-US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isolates has been deposited under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BioProject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F90156">
          <w:rPr>
            <w:rStyle w:val="Hyperlink"/>
            <w:rFonts w:ascii="Times New Roman" w:hAnsi="Times New Roman" w:cs="Times New Roman"/>
            <w:sz w:val="24"/>
            <w:szCs w:val="24"/>
          </w:rPr>
          <w:t>PRJNA494285</w:t>
        </w:r>
      </w:hyperlink>
      <w:r w:rsidRPr="00F90156">
        <w:rPr>
          <w:rFonts w:ascii="Times New Roman" w:hAnsi="Times New Roman" w:cs="Times New Roman"/>
          <w:sz w:val="24"/>
          <w:szCs w:val="24"/>
        </w:rPr>
        <w:t xml:space="preserve"> (www.ncbi.nlm.nih.gov/bioproject/</w:t>
      </w:r>
      <w:hyperlink r:id="rId8" w:history="1">
        <w:r w:rsidRPr="00F90156">
          <w:rPr>
            <w:rStyle w:val="Hyperlink"/>
            <w:rFonts w:ascii="Times New Roman" w:hAnsi="Times New Roman" w:cs="Times New Roman"/>
            <w:sz w:val="24"/>
            <w:szCs w:val="24"/>
          </w:rPr>
          <w:t>PRJNA494285</w:t>
        </w:r>
      </w:hyperlink>
      <w:r w:rsidRPr="00F90156">
        <w:rPr>
          <w:rFonts w:ascii="Times New Roman" w:hAnsi="Times New Roman" w:cs="Times New Roman"/>
          <w:sz w:val="24"/>
          <w:szCs w:val="24"/>
        </w:rPr>
        <w:t xml:space="preserve">). Illumina and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sequencing data has been deposited on the Sequence Read Archive (</w:t>
      </w:r>
      <w:hyperlink r:id="rId9" w:history="1">
        <w:r w:rsidRPr="00F90156">
          <w:rPr>
            <w:rStyle w:val="Hyperlink"/>
            <w:rFonts w:ascii="Times New Roman" w:hAnsi="Times New Roman" w:cs="Times New Roman"/>
            <w:sz w:val="24"/>
            <w:szCs w:val="24"/>
          </w:rPr>
          <w:t>www.ncbi.nlm.nih.gov/sra/</w:t>
        </w:r>
      </w:hyperlink>
      <w:r w:rsidRPr="00F90156">
        <w:rPr>
          <w:rFonts w:ascii="Times New Roman" w:hAnsi="Times New Roman" w:cs="Times New Roman"/>
          <w:sz w:val="24"/>
          <w:szCs w:val="24"/>
        </w:rPr>
        <w:t xml:space="preserve">). Accession numbers are as follows: 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 xml:space="preserve">Cc_RBWH_01c (Illumina: SRR7957427; </w:t>
      </w:r>
      <w:proofErr w:type="spellStart"/>
      <w:r w:rsidRPr="00F90156">
        <w:rPr>
          <w:rFonts w:ascii="Times New Roman" w:hAnsi="Times New Roman" w:cs="Times New Roman"/>
          <w:sz w:val="24"/>
          <w:szCs w:val="24"/>
          <w:lang w:val="en-US"/>
        </w:rPr>
        <w:t>Nanopore</w:t>
      </w:r>
      <w:proofErr w:type="spellEnd"/>
      <w:r w:rsidRPr="00F9015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SRR7957428, complete genome: CP032681) and Cc_RBWH_01d (Illumina:</w:t>
      </w:r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r w:rsidRPr="00F90156">
        <w:rPr>
          <w:rFonts w:ascii="Times New Roman" w:hAnsi="Times New Roman" w:cs="Times New Roman"/>
          <w:sz w:val="24"/>
          <w:szCs w:val="24"/>
          <w:lang w:val="en-US"/>
        </w:rPr>
        <w:t>SRR7957431). Sequences to be released upon acceptance of manuscript.</w:t>
      </w:r>
    </w:p>
    <w:p w:rsidR="001E19C0" w:rsidRPr="00F90156" w:rsidRDefault="001E19C0" w:rsidP="001E19C0">
      <w:pPr>
        <w:pStyle w:val="ListBullet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1E19C0" w:rsidRPr="00F90156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90156">
        <w:rPr>
          <w:rFonts w:ascii="Times New Roman" w:hAnsi="Times New Roman" w:cs="Times New Roman"/>
          <w:b/>
          <w:sz w:val="24"/>
          <w:szCs w:val="24"/>
        </w:rPr>
        <w:lastRenderedPageBreak/>
        <w:t>Supplementary References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Li H. Minimap2: pairwise alignment for nucleotide sequences. </w:t>
      </w:r>
      <w:r w:rsidRPr="00F90156">
        <w:rPr>
          <w:rFonts w:ascii="Times New Roman" w:hAnsi="Times New Roman" w:cs="Times New Roman"/>
          <w:i/>
          <w:sz w:val="24"/>
          <w:szCs w:val="24"/>
        </w:rPr>
        <w:t>Bioinformatics</w:t>
      </w:r>
      <w:r w:rsidRPr="00F90156">
        <w:rPr>
          <w:rFonts w:ascii="Times New Roman" w:hAnsi="Times New Roman" w:cs="Times New Roman"/>
          <w:sz w:val="24"/>
          <w:szCs w:val="24"/>
        </w:rPr>
        <w:t xml:space="preserve"> 2018; 10:1-7.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Cao MD, Ganesamoorthy, D, Elliott AG, et al. Streaming algorithms for identification of pathogens and antibiotic resistance potential from real-time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MinION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sequencing.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GigaScience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2016; 5:32. 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Minot, SS,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Krumm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N, Greenfield NB.  One codex: a sensitive and accurate data platform for genomic microbial identification. </w:t>
      </w:r>
      <w:proofErr w:type="spellStart"/>
      <w:proofErr w:type="gramStart"/>
      <w:r w:rsidRPr="00F90156">
        <w:rPr>
          <w:rFonts w:ascii="Times New Roman" w:hAnsi="Times New Roman" w:cs="Times New Roman"/>
          <w:i/>
          <w:sz w:val="24"/>
          <w:szCs w:val="24"/>
        </w:rPr>
        <w:t>bioRxiv</w:t>
      </w:r>
      <w:proofErr w:type="spellEnd"/>
      <w:proofErr w:type="gramEnd"/>
      <w:r w:rsidRPr="00F90156">
        <w:rPr>
          <w:rFonts w:ascii="Times New Roman" w:hAnsi="Times New Roman" w:cs="Times New Roman"/>
          <w:sz w:val="24"/>
          <w:szCs w:val="24"/>
        </w:rPr>
        <w:t xml:space="preserve"> 2015 [</w:t>
      </w:r>
      <w:r w:rsidRPr="00F90156">
        <w:rPr>
          <w:rFonts w:ascii="Times New Roman" w:hAnsi="Times New Roman" w:cs="Times New Roman"/>
          <w:b/>
          <w:sz w:val="24"/>
          <w:szCs w:val="24"/>
        </w:rPr>
        <w:t>Preprint</w:t>
      </w:r>
      <w:r w:rsidRPr="00F90156">
        <w:rPr>
          <w:rFonts w:ascii="Times New Roman" w:hAnsi="Times New Roman" w:cs="Times New Roman"/>
          <w:sz w:val="24"/>
          <w:szCs w:val="24"/>
        </w:rPr>
        <w:t xml:space="preserve">]; Sept. 25, 2015 [cited 24 Oct. 2018]. Available at: </w:t>
      </w:r>
      <w:hyperlink r:id="rId11" w:history="1">
        <w:r w:rsidRPr="00F9015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https://doi.org/10.1101/027607</w:t>
        </w:r>
      </w:hyperlink>
      <w:r w:rsidRPr="00F90156">
        <w:rPr>
          <w:rStyle w:val="highwire-cite-metadata-doi"/>
          <w:rFonts w:ascii="Times New Roman" w:hAnsi="Times New Roman" w:cs="Times New Roman"/>
          <w:sz w:val="24"/>
          <w:szCs w:val="24"/>
        </w:rPr>
        <w:t xml:space="preserve">. </w:t>
      </w:r>
    </w:p>
    <w:p w:rsidR="001E19C0" w:rsidRPr="00F90156" w:rsidRDefault="00B05545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proofErr w:type="spellStart"/>
        <w:r w:rsidR="001E19C0" w:rsidRPr="00F90156">
          <w:rPr>
            <w:rFonts w:ascii="Times New Roman" w:hAnsi="Times New Roman" w:cs="Times New Roman"/>
            <w:sz w:val="24"/>
            <w:szCs w:val="24"/>
          </w:rPr>
          <w:t>Kryukov</w:t>
        </w:r>
        <w:proofErr w:type="spellEnd"/>
        <w:r w:rsidR="001E19C0" w:rsidRPr="00F90156">
          <w:rPr>
            <w:rFonts w:ascii="Times New Roman" w:hAnsi="Times New Roman" w:cs="Times New Roman"/>
            <w:sz w:val="24"/>
            <w:szCs w:val="24"/>
          </w:rPr>
          <w:t xml:space="preserve"> K</w:t>
        </w:r>
      </w:hyperlink>
      <w:r w:rsidR="001E19C0" w:rsidRPr="00F90156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proofErr w:type="spellStart"/>
        <w:r w:rsidR="001E19C0" w:rsidRPr="00F90156">
          <w:rPr>
            <w:rFonts w:ascii="Times New Roman" w:hAnsi="Times New Roman" w:cs="Times New Roman"/>
            <w:sz w:val="24"/>
            <w:szCs w:val="24"/>
          </w:rPr>
          <w:t>Imanishi</w:t>
        </w:r>
        <w:proofErr w:type="spellEnd"/>
        <w:r w:rsidR="001E19C0" w:rsidRPr="00F90156">
          <w:rPr>
            <w:rFonts w:ascii="Times New Roman" w:hAnsi="Times New Roman" w:cs="Times New Roman"/>
            <w:sz w:val="24"/>
            <w:szCs w:val="24"/>
          </w:rPr>
          <w:t xml:space="preserve"> T</w:t>
        </w:r>
      </w:hyperlink>
      <w:r w:rsidR="001E19C0" w:rsidRPr="00F90156">
        <w:rPr>
          <w:rFonts w:ascii="Times New Roman" w:hAnsi="Times New Roman" w:cs="Times New Roman"/>
          <w:sz w:val="24"/>
          <w:szCs w:val="24"/>
        </w:rPr>
        <w:t xml:space="preserve">. Human Contamination in Public Genome Assemblies. </w:t>
      </w:r>
      <w:hyperlink r:id="rId14" w:tooltip="PloS one." w:history="1">
        <w:proofErr w:type="spellStart"/>
        <w:r w:rsidR="001E19C0" w:rsidRPr="00F90156">
          <w:rPr>
            <w:rFonts w:ascii="Times New Roman" w:hAnsi="Times New Roman" w:cs="Times New Roman"/>
            <w:i/>
            <w:sz w:val="24"/>
            <w:szCs w:val="24"/>
          </w:rPr>
          <w:t>PLoS</w:t>
        </w:r>
        <w:proofErr w:type="spellEnd"/>
        <w:r w:rsidR="001E19C0" w:rsidRPr="00F90156">
          <w:rPr>
            <w:rFonts w:ascii="Times New Roman" w:hAnsi="Times New Roman" w:cs="Times New Roman"/>
            <w:i/>
            <w:sz w:val="24"/>
            <w:szCs w:val="24"/>
          </w:rPr>
          <w:t xml:space="preserve"> One</w:t>
        </w:r>
      </w:hyperlink>
      <w:r w:rsidR="001E19C0" w:rsidRPr="00F90156">
        <w:rPr>
          <w:rFonts w:ascii="Times New Roman" w:hAnsi="Times New Roman" w:cs="Times New Roman"/>
          <w:sz w:val="24"/>
          <w:szCs w:val="24"/>
        </w:rPr>
        <w:t xml:space="preserve"> 2016; 11:e0162424. 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Koren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Walenz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BP, Berlin K, et al. 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Canu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: scalable and accurate long-read assembly via adaptive k-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mer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weighting and repeat separation. </w:t>
      </w:r>
      <w:r w:rsidRPr="00F90156">
        <w:rPr>
          <w:rFonts w:ascii="Times New Roman" w:hAnsi="Times New Roman" w:cs="Times New Roman"/>
          <w:i/>
          <w:sz w:val="24"/>
          <w:szCs w:val="24"/>
        </w:rPr>
        <w:t>Genome Res</w:t>
      </w:r>
      <w:r w:rsidRPr="00F90156">
        <w:rPr>
          <w:rFonts w:ascii="Times New Roman" w:hAnsi="Times New Roman" w:cs="Times New Roman"/>
          <w:sz w:val="24"/>
          <w:szCs w:val="24"/>
        </w:rPr>
        <w:t xml:space="preserve"> 2017; 27:722-736.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Hess E, Renzi F,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Koudad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D, et al. Identification of virulent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Capnocytophaga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canimorsus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isolates by capsular typing. </w:t>
      </w:r>
      <w:r w:rsidRPr="00F90156">
        <w:rPr>
          <w:rFonts w:ascii="Times New Roman" w:hAnsi="Times New Roman" w:cs="Times New Roman"/>
          <w:i/>
          <w:sz w:val="24"/>
          <w:szCs w:val="24"/>
        </w:rPr>
        <w:t xml:space="preserve">J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Clin</w:t>
      </w:r>
      <w:proofErr w:type="spellEnd"/>
      <w:r w:rsidRPr="00F901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i/>
          <w:sz w:val="24"/>
          <w:szCs w:val="24"/>
        </w:rPr>
        <w:t>Microbiol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2017; 55:1902–1914.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Zankari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Hasman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H,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Cosentino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S, et al. Identification of acquired antimicrobial resistance genes. J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Antimicrob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Chemother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2012; 67:2640-4.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Li H. Aligning sequence reads, clone sequences and assembly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contigs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with BWA-MEM. </w:t>
      </w:r>
      <w:proofErr w:type="spellStart"/>
      <w:proofErr w:type="gramStart"/>
      <w:r w:rsidRPr="00F90156">
        <w:rPr>
          <w:rFonts w:ascii="Times New Roman" w:hAnsi="Times New Roman" w:cs="Times New Roman"/>
          <w:sz w:val="24"/>
          <w:szCs w:val="24"/>
        </w:rPr>
        <w:t>arXiv</w:t>
      </w:r>
      <w:proofErr w:type="spellEnd"/>
      <w:proofErr w:type="gramEnd"/>
      <w:r w:rsidRPr="00F90156">
        <w:rPr>
          <w:rFonts w:ascii="Times New Roman" w:hAnsi="Times New Roman" w:cs="Times New Roman"/>
          <w:sz w:val="24"/>
          <w:szCs w:val="24"/>
        </w:rPr>
        <w:t xml:space="preserve"> 2013 [</w:t>
      </w:r>
      <w:r w:rsidRPr="00F90156">
        <w:rPr>
          <w:rFonts w:ascii="Times New Roman" w:hAnsi="Times New Roman" w:cs="Times New Roman"/>
          <w:b/>
          <w:sz w:val="24"/>
          <w:szCs w:val="24"/>
        </w:rPr>
        <w:t xml:space="preserve">Preprint]; </w:t>
      </w:r>
      <w:r w:rsidRPr="00F90156">
        <w:rPr>
          <w:rFonts w:ascii="Times New Roman" w:hAnsi="Times New Roman" w:cs="Times New Roman"/>
          <w:sz w:val="24"/>
          <w:szCs w:val="24"/>
        </w:rPr>
        <w:t>May 26 2013 [cited 24 Oct. 2018]. Available at: https://arxiv.org/abs/</w:t>
      </w:r>
      <w:proofErr w:type="gramStart"/>
      <w:r w:rsidRPr="00F90156">
        <w:rPr>
          <w:rFonts w:ascii="Times New Roman" w:hAnsi="Times New Roman" w:cs="Times New Roman"/>
          <w:sz w:val="24"/>
          <w:szCs w:val="24"/>
        </w:rPr>
        <w:t>1303.3997 .</w:t>
      </w:r>
      <w:proofErr w:type="gramEnd"/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McKenna A, Hanna M, Banks E, et al. The Genome Analysis Toolkit: a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MapReduce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framework for analyzing next-generation DNA sequencing data. Genome Res 2010; 20:1297–1303.</w:t>
      </w:r>
    </w:p>
    <w:p w:rsidR="001E19C0" w:rsidRPr="00F90156" w:rsidRDefault="001E19C0" w:rsidP="001E19C0">
      <w:pPr>
        <w:pStyle w:val="ListBullet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 xml:space="preserve">Bainomugisa A,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Lavu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Hiashiri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S et al. Multi-clonal evolution of multi-drug-resistant/extensively drug resistant Mycobacterium tuberculosis in a high-prevalence </w:t>
      </w:r>
      <w:r w:rsidRPr="00F90156">
        <w:rPr>
          <w:rFonts w:ascii="Times New Roman" w:hAnsi="Times New Roman" w:cs="Times New Roman"/>
          <w:sz w:val="24"/>
          <w:szCs w:val="24"/>
        </w:rPr>
        <w:lastRenderedPageBreak/>
        <w:t xml:space="preserve">setting of Papua New Guinea for over three decades.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Microb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Genom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 2018, [</w:t>
      </w:r>
      <w:r w:rsidRPr="00F90156">
        <w:rPr>
          <w:rFonts w:ascii="Times New Roman" w:hAnsi="Times New Roman" w:cs="Times New Roman"/>
          <w:b/>
          <w:sz w:val="24"/>
          <w:szCs w:val="24"/>
        </w:rPr>
        <w:t>Ahead of Print</w:t>
      </w:r>
      <w:r w:rsidR="00D4644C">
        <w:rPr>
          <w:rFonts w:ascii="Times New Roman" w:hAnsi="Times New Roman" w:cs="Times New Roman"/>
          <w:b/>
          <w:sz w:val="24"/>
          <w:szCs w:val="24"/>
        </w:rPr>
        <w:t>]</w:t>
      </w:r>
      <w:r w:rsidRPr="00F901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90156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: 10.1099/mgen.0.000147.</w:t>
      </w:r>
    </w:p>
    <w:p w:rsidR="001E19C0" w:rsidRDefault="001E19C0" w:rsidP="001E19C0">
      <w:pPr>
        <w:pStyle w:val="ListBullet"/>
        <w:numPr>
          <w:ilvl w:val="0"/>
          <w:numId w:val="0"/>
        </w:numPr>
        <w:spacing w:line="480" w:lineRule="auto"/>
        <w:sectPr w:rsidR="001E19C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Supplementary Tables and Figures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19C0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en-AU"/>
        </w:rPr>
        <w:drawing>
          <wp:inline distT="0" distB="0" distL="0" distR="0" wp14:anchorId="4611D65E" wp14:editId="35599FD4">
            <wp:extent cx="5731510" cy="572262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ads vs tim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2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9C0" w:rsidRPr="00BD573D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MinION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sequencing time and </w:t>
      </w:r>
      <w:r w:rsidRPr="00BD573D">
        <w:rPr>
          <w:rFonts w:ascii="Times New Roman" w:hAnsi="Times New Roman" w:cs="Times New Roman"/>
          <w:i/>
          <w:sz w:val="24"/>
          <w:szCs w:val="24"/>
          <w:lang w:val="en-US"/>
        </w:rPr>
        <w:t xml:space="preserve">C. </w:t>
      </w:r>
      <w:proofErr w:type="spellStart"/>
      <w:r w:rsidRPr="00BD573D">
        <w:rPr>
          <w:rFonts w:ascii="Times New Roman" w:hAnsi="Times New Roman" w:cs="Times New Roman"/>
          <w:i/>
          <w:sz w:val="24"/>
          <w:szCs w:val="24"/>
          <w:lang w:val="en-US"/>
        </w:rPr>
        <w:t>canimorsus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read count plot from initial d0 EDTA blood sample.</w:t>
      </w:r>
    </w:p>
    <w:p w:rsidR="001E19C0" w:rsidRPr="00F90156" w:rsidRDefault="001E19C0" w:rsidP="001E19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6397C" w:rsidRDefault="0026397C" w:rsidP="001E19C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26397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C239E" w:rsidRPr="001A73C2" w:rsidRDefault="003C239E" w:rsidP="00D4644C">
      <w:pPr>
        <w:pBdr>
          <w:bottom w:val="single" w:sz="4" w:space="1" w:color="auto"/>
        </w:pBd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1.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Real-time/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ddPCR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oligo (5’-3’) sequences and associated synthetic control.</w:t>
      </w:r>
    </w:p>
    <w:p w:rsidR="00D4644C" w:rsidRPr="00F90156" w:rsidRDefault="00D4644C" w:rsidP="00D4644C">
      <w:pPr>
        <w:pBdr>
          <w:bottom w:val="single" w:sz="4" w:space="1" w:color="auto"/>
        </w:pBd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90156">
        <w:rPr>
          <w:rFonts w:ascii="Times New Roman" w:hAnsi="Times New Roman" w:cs="Times New Roman"/>
          <w:b/>
          <w:sz w:val="24"/>
          <w:szCs w:val="24"/>
          <w:lang w:val="en-US"/>
        </w:rPr>
        <w:tab/>
        <w:t>Sequence (5’-3’)</w:t>
      </w:r>
    </w:p>
    <w:p w:rsidR="00D4644C" w:rsidRPr="00F90156" w:rsidRDefault="00D4644C" w:rsidP="00D464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C.cani_MinIon_F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:</w:t>
      </w:r>
      <w:r w:rsidRPr="00F90156">
        <w:rPr>
          <w:rFonts w:ascii="Times New Roman" w:hAnsi="Times New Roman" w:cs="Times New Roman"/>
          <w:sz w:val="24"/>
          <w:szCs w:val="24"/>
        </w:rPr>
        <w:tab/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GGGCTACGTACTGATTGAGC</w:t>
      </w:r>
    </w:p>
    <w:p w:rsidR="00D4644C" w:rsidRPr="00F90156" w:rsidRDefault="00D4644C" w:rsidP="00D464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C.cani_MinIon_R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 xml:space="preserve">: </w:t>
      </w:r>
      <w:r w:rsidRPr="00F90156">
        <w:rPr>
          <w:rFonts w:ascii="Times New Roman" w:hAnsi="Times New Roman" w:cs="Times New Roman"/>
          <w:sz w:val="24"/>
          <w:szCs w:val="24"/>
        </w:rPr>
        <w:tab/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TTCCTTCTAACAAACATTCGGTAT</w:t>
      </w:r>
    </w:p>
    <w:p w:rsidR="00D4644C" w:rsidRPr="00F90156" w:rsidRDefault="00D4644C" w:rsidP="00D464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C.cani_MinIon_FAM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:</w:t>
      </w:r>
      <w:r w:rsidRPr="00F90156">
        <w:rPr>
          <w:rFonts w:ascii="Times New Roman" w:hAnsi="Times New Roman" w:cs="Times New Roman"/>
          <w:sz w:val="24"/>
          <w:szCs w:val="24"/>
        </w:rPr>
        <w:tab/>
        <w:t>FAM-</w:t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AGGTTGCCACAGACCCAGAAAACA</w:t>
      </w:r>
      <w:r w:rsidRPr="00F90156">
        <w:rPr>
          <w:rFonts w:ascii="Times New Roman" w:hAnsi="Times New Roman" w:cs="Times New Roman"/>
          <w:sz w:val="24"/>
          <w:szCs w:val="24"/>
        </w:rPr>
        <w:t>-BHQ1</w:t>
      </w:r>
    </w:p>
    <w:p w:rsidR="00D4644C" w:rsidRPr="00F90156" w:rsidRDefault="00D4644C" w:rsidP="00D464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90156">
        <w:rPr>
          <w:rFonts w:ascii="Times New Roman" w:hAnsi="Times New Roman" w:cs="Times New Roman"/>
          <w:sz w:val="24"/>
          <w:szCs w:val="24"/>
        </w:rPr>
        <w:t>C.cani_MinIon_synth</w:t>
      </w:r>
      <w:proofErr w:type="spellEnd"/>
      <w:r w:rsidRPr="00F90156">
        <w:rPr>
          <w:rFonts w:ascii="Times New Roman" w:hAnsi="Times New Roman" w:cs="Times New Roman"/>
          <w:sz w:val="24"/>
          <w:szCs w:val="24"/>
        </w:rPr>
        <w:t>:</w:t>
      </w:r>
    </w:p>
    <w:p w:rsidR="00D4644C" w:rsidRPr="00F90156" w:rsidRDefault="00D4644C" w:rsidP="00D4644C">
      <w:pPr>
        <w:pBdr>
          <w:bottom w:val="single" w:sz="4" w:space="1" w:color="auto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0156">
        <w:rPr>
          <w:rFonts w:ascii="Times New Roman" w:hAnsi="Times New Roman" w:cs="Times New Roman"/>
          <w:sz w:val="24"/>
          <w:szCs w:val="24"/>
        </w:rPr>
        <w:t>GGGATTACTACAACCGTTGCCGAAAAAATAGCCACATTGTAAATAGCAATATCAGGGA</w:t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GGGCTACGTACTGATTGAGC</w:t>
      </w:r>
      <w:r w:rsidRPr="00F90156">
        <w:rPr>
          <w:rFonts w:ascii="Times New Roman" w:hAnsi="Times New Roman" w:cs="Times New Roman"/>
          <w:sz w:val="24"/>
          <w:szCs w:val="24"/>
        </w:rPr>
        <w:t>CTAAACTTATCAATATCCACCAACA</w:t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AGGTTGCCACAGACCCAGAAAACA</w:t>
      </w:r>
      <w:r w:rsidRPr="00F90156">
        <w:rPr>
          <w:rFonts w:ascii="Times New Roman" w:hAnsi="Times New Roman" w:cs="Times New Roman"/>
          <w:sz w:val="24"/>
          <w:szCs w:val="24"/>
        </w:rPr>
        <w:t>CTACAAAGCCATATCACCACA</w:t>
      </w:r>
      <w:r w:rsidRPr="00F90156">
        <w:rPr>
          <w:rFonts w:ascii="Times New Roman" w:hAnsi="Times New Roman" w:cs="Times New Roman"/>
          <w:sz w:val="24"/>
          <w:szCs w:val="24"/>
          <w:highlight w:val="yellow"/>
        </w:rPr>
        <w:t>ATACCGAATGTTTGTTAGAAGGAA</w:t>
      </w:r>
      <w:r w:rsidRPr="00F90156">
        <w:rPr>
          <w:rFonts w:ascii="Times New Roman" w:hAnsi="Times New Roman" w:cs="Times New Roman"/>
          <w:sz w:val="24"/>
          <w:szCs w:val="24"/>
        </w:rPr>
        <w:t>ATCTATATGAAACTGAGGGTCGAACATAAAAATGCAAAACAAACATA</w:t>
      </w:r>
    </w:p>
    <w:p w:rsidR="001E19C0" w:rsidRPr="002D2F84" w:rsidRDefault="001E19C0" w:rsidP="001E19C0">
      <w:pPr>
        <w:pStyle w:val="ListBullet"/>
        <w:numPr>
          <w:ilvl w:val="0"/>
          <w:numId w:val="0"/>
        </w:numPr>
        <w:spacing w:line="480" w:lineRule="auto"/>
      </w:pPr>
    </w:p>
    <w:p w:rsidR="00CE1ACE" w:rsidRDefault="00CE1ACE"/>
    <w:sectPr w:rsidR="00CE1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545" w:rsidRDefault="00B05545" w:rsidP="0026397C">
      <w:pPr>
        <w:spacing w:after="0" w:line="240" w:lineRule="auto"/>
      </w:pPr>
      <w:r>
        <w:separator/>
      </w:r>
    </w:p>
  </w:endnote>
  <w:endnote w:type="continuationSeparator" w:id="0">
    <w:p w:rsidR="00B05545" w:rsidRDefault="00B05545" w:rsidP="0026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51941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397C" w:rsidRDefault="002639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3C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6397C" w:rsidRDefault="002639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545" w:rsidRDefault="00B05545" w:rsidP="0026397C">
      <w:pPr>
        <w:spacing w:after="0" w:line="240" w:lineRule="auto"/>
      </w:pPr>
      <w:r>
        <w:separator/>
      </w:r>
    </w:p>
  </w:footnote>
  <w:footnote w:type="continuationSeparator" w:id="0">
    <w:p w:rsidR="00B05545" w:rsidRDefault="00B05545" w:rsidP="00263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9A20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AA70FF8"/>
    <w:multiLevelType w:val="hybridMultilevel"/>
    <w:tmpl w:val="8B12B50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1E19C0"/>
    <w:rsid w:val="00031688"/>
    <w:rsid w:val="001A73C2"/>
    <w:rsid w:val="001E19C0"/>
    <w:rsid w:val="0026397C"/>
    <w:rsid w:val="003C239E"/>
    <w:rsid w:val="0047481B"/>
    <w:rsid w:val="00704CE7"/>
    <w:rsid w:val="00787D97"/>
    <w:rsid w:val="009B3A12"/>
    <w:rsid w:val="00A81857"/>
    <w:rsid w:val="00B05545"/>
    <w:rsid w:val="00BB6EB7"/>
    <w:rsid w:val="00CB63B7"/>
    <w:rsid w:val="00CE1ACE"/>
    <w:rsid w:val="00CE5F79"/>
    <w:rsid w:val="00D4644C"/>
    <w:rsid w:val="00DA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C1B158-18CE-4F70-A95A-3C60B902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19C0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1E19C0"/>
    <w:pPr>
      <w:numPr>
        <w:numId w:val="1"/>
      </w:numPr>
      <w:contextualSpacing/>
    </w:pPr>
    <w:rPr>
      <w:lang w:val="en-US"/>
    </w:rPr>
  </w:style>
  <w:style w:type="character" w:customStyle="1" w:styleId="accession">
    <w:name w:val="accession"/>
    <w:basedOn w:val="DefaultParagraphFont"/>
    <w:rsid w:val="001E19C0"/>
  </w:style>
  <w:style w:type="character" w:customStyle="1" w:styleId="highwire-cite-metadata-doi">
    <w:name w:val="highwire-cite-metadata-doi"/>
    <w:basedOn w:val="DefaultParagraphFont"/>
    <w:rsid w:val="001E19C0"/>
  </w:style>
  <w:style w:type="paragraph" w:styleId="Header">
    <w:name w:val="header"/>
    <w:basedOn w:val="Normal"/>
    <w:link w:val="HeaderChar"/>
    <w:uiPriority w:val="99"/>
    <w:unhideWhenUsed/>
    <w:rsid w:val="002639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97C"/>
  </w:style>
  <w:style w:type="paragraph" w:styleId="Footer">
    <w:name w:val="footer"/>
    <w:basedOn w:val="Normal"/>
    <w:link w:val="FooterChar"/>
    <w:uiPriority w:val="99"/>
    <w:unhideWhenUsed/>
    <w:rsid w:val="002639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97C"/>
  </w:style>
  <w:style w:type="paragraph" w:styleId="BalloonText">
    <w:name w:val="Balloon Text"/>
    <w:basedOn w:val="Normal"/>
    <w:link w:val="BalloonTextChar"/>
    <w:uiPriority w:val="99"/>
    <w:semiHidden/>
    <w:unhideWhenUsed/>
    <w:rsid w:val="0078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ioproject/PRJNA494285" TargetMode="External"/><Relationship Id="rId13" Type="http://schemas.openxmlformats.org/officeDocument/2006/relationships/hyperlink" Target="https://www.ncbi.nlm.nih.gov/pubmed/?term=Imanishi%20T%5BAuthor%5D&amp;cauthor=true&amp;cauthor_uid=276113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bioproject/PRJNA494285" TargetMode="External"/><Relationship Id="rId12" Type="http://schemas.openxmlformats.org/officeDocument/2006/relationships/hyperlink" Target="https://www.ncbi.nlm.nih.gov/pubmed/?term=Kryukov%20K%5BAuthor%5D&amp;cauthor=true&amp;cauthor_uid=2761132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01/027607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sra/" TargetMode="External"/><Relationship Id="rId14" Type="http://schemas.openxmlformats.org/officeDocument/2006/relationships/hyperlink" Target="https://www.ncbi.nlm.nih.gov/pubmed/27611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Seweryn Bialasiewicz</dc:creator>
  <cp:keywords/>
  <dc:description/>
  <cp:lastModifiedBy>Seweryn Bialasiewicz</cp:lastModifiedBy>
  <cp:revision>3</cp:revision>
  <dcterms:created xsi:type="dcterms:W3CDTF">2019-07-18T23:01:00Z</dcterms:created>
  <dcterms:modified xsi:type="dcterms:W3CDTF">2019-07-19T01:03:00Z</dcterms:modified>
</cp:coreProperties>
</file>