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266B66" w14:textId="72D7A39F" w:rsidR="00B21514" w:rsidRDefault="00B21514" w:rsidP="00B21514">
      <w:pPr>
        <w:rPr>
          <w:b/>
          <w:bCs/>
        </w:rPr>
      </w:pPr>
      <w:r>
        <w:rPr>
          <w:b/>
          <w:bCs/>
        </w:rPr>
        <w:t>Supplemental Methods:</w:t>
      </w:r>
    </w:p>
    <w:p w14:paraId="1EA05B20" w14:textId="77777777" w:rsidR="00AB4839" w:rsidRDefault="00AB4839" w:rsidP="00AB4839">
      <w:pPr>
        <w:rPr>
          <w:b/>
          <w:bCs/>
        </w:rPr>
      </w:pPr>
    </w:p>
    <w:p w14:paraId="08D4A2DC" w14:textId="787A28A4" w:rsidR="00AB4839" w:rsidRDefault="00AB4839" w:rsidP="00866C10">
      <w:pPr>
        <w:rPr>
          <w:bCs/>
        </w:rPr>
      </w:pPr>
      <w:r>
        <w:rPr>
          <w:b/>
          <w:bCs/>
        </w:rPr>
        <w:tab/>
      </w:r>
      <w:r w:rsidRPr="00AB6305">
        <w:rPr>
          <w:bCs/>
        </w:rPr>
        <w:t xml:space="preserve">Written informed consent was obtained from the </w:t>
      </w:r>
      <w:r>
        <w:rPr>
          <w:bCs/>
        </w:rPr>
        <w:t xml:space="preserve">parents of the patient prior to the review of patient’s charts and case presentation. Metagenomic sequencing analysis of clinical sample and whole genome analysis of bacteria isolated from the patient were approved by the </w:t>
      </w:r>
      <w:r w:rsidRPr="000F376F">
        <w:rPr>
          <w:bCs/>
        </w:rPr>
        <w:t>institutional review boa</w:t>
      </w:r>
      <w:r>
        <w:rPr>
          <w:bCs/>
        </w:rPr>
        <w:t xml:space="preserve">rd (IRB) of Sidra Medicine, as part of other ongoing research projects. Unless otherwise mentioned, all laboratory tests were performed according to established procedures in the Pathology Department of Sidra Medicine, or its partner referral centers. Bacteria were isolated in sheep blood agar medium (BD, USA), and DNA from bacteria and a serum specimen were extracted </w:t>
      </w:r>
      <w:r w:rsidRPr="005B0F03">
        <w:rPr>
          <w:bCs/>
        </w:rPr>
        <w:t xml:space="preserve">using the automated </w:t>
      </w:r>
      <w:r>
        <w:rPr>
          <w:bCs/>
        </w:rPr>
        <w:t xml:space="preserve">nucleic acid extraction </w:t>
      </w:r>
      <w:r w:rsidRPr="005B0F03">
        <w:rPr>
          <w:bCs/>
        </w:rPr>
        <w:t xml:space="preserve">platform </w:t>
      </w:r>
      <w:proofErr w:type="spellStart"/>
      <w:r w:rsidRPr="005B0F03">
        <w:rPr>
          <w:bCs/>
        </w:rPr>
        <w:t>NucliSENS</w:t>
      </w:r>
      <w:proofErr w:type="spellEnd"/>
      <w:r w:rsidRPr="005B0F03">
        <w:rPr>
          <w:bCs/>
        </w:rPr>
        <w:t xml:space="preserve"> </w:t>
      </w:r>
      <w:proofErr w:type="spellStart"/>
      <w:r w:rsidRPr="005B0F03">
        <w:rPr>
          <w:bCs/>
        </w:rPr>
        <w:t>easyMag</w:t>
      </w:r>
      <w:proofErr w:type="spellEnd"/>
      <w:r w:rsidRPr="005B0F03">
        <w:rPr>
          <w:bCs/>
        </w:rPr>
        <w:t xml:space="preserve"> (</w:t>
      </w:r>
      <w:proofErr w:type="spellStart"/>
      <w:r w:rsidRPr="005B0F03">
        <w:rPr>
          <w:bCs/>
        </w:rPr>
        <w:t>bioMérieux</w:t>
      </w:r>
      <w:proofErr w:type="spellEnd"/>
      <w:r w:rsidRPr="005B0F03">
        <w:rPr>
          <w:bCs/>
        </w:rPr>
        <w:t xml:space="preserve">) and </w:t>
      </w:r>
      <w:r>
        <w:rPr>
          <w:bCs/>
        </w:rPr>
        <w:t xml:space="preserve">DNA concentration was </w:t>
      </w:r>
      <w:r w:rsidRPr="005B0F03">
        <w:rPr>
          <w:bCs/>
        </w:rPr>
        <w:t xml:space="preserve">quantified </w:t>
      </w:r>
      <w:r>
        <w:rPr>
          <w:bCs/>
        </w:rPr>
        <w:t>using</w:t>
      </w:r>
      <w:r w:rsidRPr="005B0F03">
        <w:rPr>
          <w:bCs/>
        </w:rPr>
        <w:t xml:space="preserve"> </w:t>
      </w:r>
      <w:r>
        <w:rPr>
          <w:bCs/>
        </w:rPr>
        <w:t xml:space="preserve">a </w:t>
      </w:r>
      <w:r w:rsidRPr="005B0F03">
        <w:rPr>
          <w:bCs/>
        </w:rPr>
        <w:t xml:space="preserve">Qubit </w:t>
      </w:r>
      <w:r>
        <w:rPr>
          <w:bCs/>
        </w:rPr>
        <w:t xml:space="preserve">fluorometer </w:t>
      </w:r>
      <w:r w:rsidRPr="005B0F03">
        <w:rPr>
          <w:bCs/>
        </w:rPr>
        <w:t xml:space="preserve">(Thermo Fisher, Waltham, MA). The paired-end DNA libraries were constructed </w:t>
      </w:r>
      <w:r>
        <w:rPr>
          <w:bCs/>
        </w:rPr>
        <w:t>from bacterial DNA or serum DNA extracts using</w:t>
      </w:r>
      <w:r w:rsidRPr="005B0F03">
        <w:rPr>
          <w:bCs/>
        </w:rPr>
        <w:t xml:space="preserve"> </w:t>
      </w:r>
      <w:r>
        <w:rPr>
          <w:bCs/>
        </w:rPr>
        <w:t>the</w:t>
      </w:r>
      <w:r w:rsidRPr="005B0F03">
        <w:rPr>
          <w:bCs/>
        </w:rPr>
        <w:t xml:space="preserve"> </w:t>
      </w:r>
      <w:proofErr w:type="spellStart"/>
      <w:r w:rsidRPr="005B0F03">
        <w:rPr>
          <w:bCs/>
        </w:rPr>
        <w:t>Nextera</w:t>
      </w:r>
      <w:proofErr w:type="spellEnd"/>
      <w:r w:rsidRPr="005B0F03">
        <w:rPr>
          <w:bCs/>
        </w:rPr>
        <w:t xml:space="preserve"> XT kit (Illumina, San Diego, CA) according to the manufacturer’s instructions and sequenced on an Illumina </w:t>
      </w:r>
      <w:proofErr w:type="spellStart"/>
      <w:r w:rsidRPr="005B0F03">
        <w:rPr>
          <w:bCs/>
        </w:rPr>
        <w:t>MiSeq</w:t>
      </w:r>
      <w:proofErr w:type="spellEnd"/>
      <w:r w:rsidRPr="005B0F03">
        <w:rPr>
          <w:bCs/>
        </w:rPr>
        <w:t xml:space="preserve"> machine with 2 × 300-bp cycles</w:t>
      </w:r>
      <w:r>
        <w:rPr>
          <w:bCs/>
        </w:rPr>
        <w:t xml:space="preserve"> and 2 × 250-bp cycles, respectively. For the metagenomics sample, prepared NGS library was quantified </w:t>
      </w:r>
      <w:r w:rsidRPr="0078768A">
        <w:t>by Kappa qPCR according to manufacturer’s instructions (Roche)</w:t>
      </w:r>
      <w:r>
        <w:t xml:space="preserve">. NGS libraries were normalized according to manufacturer’s instructions. </w:t>
      </w:r>
      <w:r>
        <w:rPr>
          <w:bCs/>
        </w:rPr>
        <w:t xml:space="preserve">Metagenomic sequence data was analyzed using </w:t>
      </w:r>
      <w:proofErr w:type="spellStart"/>
      <w:r>
        <w:rPr>
          <w:bCs/>
        </w:rPr>
        <w:t>Geneious</w:t>
      </w:r>
      <w:proofErr w:type="spellEnd"/>
      <w:r>
        <w:rPr>
          <w:bCs/>
        </w:rPr>
        <w:t xml:space="preserve"> 11.1.5. software (</w:t>
      </w:r>
      <w:proofErr w:type="spellStart"/>
      <w:r>
        <w:rPr>
          <w:bCs/>
        </w:rPr>
        <w:t>Geneious</w:t>
      </w:r>
      <w:proofErr w:type="spellEnd"/>
      <w:r>
        <w:rPr>
          <w:bCs/>
        </w:rPr>
        <w:t xml:space="preserve">) to obtain UL97 and UL54 sequences in the CMV strain in the patients’ blood. The UL97 and UL54 sequences retrieved from metagenomic sequences were uploaded to </w:t>
      </w:r>
      <w:hyperlink r:id="rId4" w:history="1">
        <w:r w:rsidRPr="00E61B54">
          <w:rPr>
            <w:rStyle w:val="Hyperlink"/>
          </w:rPr>
          <w:t>https://www.informatik.uni-ulm.de/ni/mitarbeiter/HKestler/mra/app/index.php?plugin=</w:t>
        </w:r>
        <w:r w:rsidRPr="006A43EE">
          <w:rPr>
            <w:rStyle w:val="Hyperlink"/>
          </w:rPr>
          <w:t>form</w:t>
        </w:r>
      </w:hyperlink>
      <w:r>
        <w:rPr>
          <w:rStyle w:val="Hyperlink"/>
        </w:rPr>
        <w:t xml:space="preserve"> </w:t>
      </w:r>
      <w:r w:rsidRPr="00782FD8">
        <w:rPr>
          <w:rStyle w:val="Hyperlink"/>
        </w:rPr>
        <w:t>for mutation analysis and drug resistance</w:t>
      </w:r>
      <w:r w:rsidR="00866C10">
        <w:rPr>
          <w:rStyle w:val="Hyperlink"/>
        </w:rPr>
        <w:t xml:space="preserve"> prediction</w:t>
      </w:r>
      <w:r>
        <w:rPr>
          <w:rStyle w:val="Hyperlink"/>
        </w:rPr>
        <w:t xml:space="preserve"> </w:t>
      </w:r>
      <w:r w:rsidR="00866C10">
        <w:rPr>
          <w:rStyle w:val="Hyperlink"/>
        </w:rPr>
        <w:t>[</w:t>
      </w:r>
      <w:r w:rsidR="00866C10">
        <w:t>9</w:t>
      </w:r>
      <w:proofErr w:type="gramStart"/>
      <w:r w:rsidR="00866C10">
        <w:t>,10</w:t>
      </w:r>
      <w:proofErr w:type="gramEnd"/>
      <w:r w:rsidR="00866C10">
        <w:t xml:space="preserve">]. </w:t>
      </w:r>
      <w:r w:rsidRPr="006A43EE">
        <w:rPr>
          <w:bCs/>
        </w:rPr>
        <w:t>Bacterial</w:t>
      </w:r>
      <w:r>
        <w:rPr>
          <w:bCs/>
        </w:rPr>
        <w:t xml:space="preserve"> whole genome sequencing data </w:t>
      </w:r>
      <w:proofErr w:type="gramStart"/>
      <w:r>
        <w:rPr>
          <w:bCs/>
        </w:rPr>
        <w:t>were a</w:t>
      </w:r>
      <w:r w:rsidR="00866C10">
        <w:rPr>
          <w:bCs/>
        </w:rPr>
        <w:t>nalyzed</w:t>
      </w:r>
      <w:proofErr w:type="gramEnd"/>
      <w:r w:rsidR="00866C10">
        <w:rPr>
          <w:bCs/>
        </w:rPr>
        <w:t xml:space="preserve"> as described previously [11].</w:t>
      </w:r>
    </w:p>
    <w:p w14:paraId="40B4015C" w14:textId="77777777" w:rsidR="007421BD" w:rsidRDefault="007421BD"/>
    <w:p w14:paraId="0D12DF9C" w14:textId="0EE25583" w:rsidR="000549D2" w:rsidRDefault="00866C10" w:rsidP="00002F3C">
      <w:pPr>
        <w:pStyle w:val="EndNoteBibliography"/>
      </w:pPr>
      <w:bookmarkStart w:id="0" w:name="_GoBack"/>
      <w:bookmarkEnd w:id="0"/>
    </w:p>
    <w:sectPr w:rsidR="000549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ediatric Infectious Dis J&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B21514"/>
    <w:rsid w:val="00002F3C"/>
    <w:rsid w:val="00404EF8"/>
    <w:rsid w:val="004B300D"/>
    <w:rsid w:val="00646B65"/>
    <w:rsid w:val="006A43EE"/>
    <w:rsid w:val="006A49B0"/>
    <w:rsid w:val="006F4D60"/>
    <w:rsid w:val="007421BD"/>
    <w:rsid w:val="00782FD8"/>
    <w:rsid w:val="00866C10"/>
    <w:rsid w:val="00875CE7"/>
    <w:rsid w:val="008B00DA"/>
    <w:rsid w:val="00963ED7"/>
    <w:rsid w:val="00AA3EB7"/>
    <w:rsid w:val="00AB4839"/>
    <w:rsid w:val="00B21514"/>
    <w:rsid w:val="00B9086C"/>
    <w:rsid w:val="00BD41EB"/>
    <w:rsid w:val="00C3201F"/>
    <w:rsid w:val="00C5374F"/>
    <w:rsid w:val="00CF1487"/>
    <w:rsid w:val="00E03E61"/>
    <w:rsid w:val="00E77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8BB4E"/>
  <w15:chartTrackingRefBased/>
  <w15:docId w15:val="{A04C8388-9230-4910-A027-3DD2BA2A3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151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43EE"/>
    <w:rPr>
      <w:color w:val="0000FF"/>
      <w:u w:val="single"/>
    </w:rPr>
  </w:style>
  <w:style w:type="paragraph" w:customStyle="1" w:styleId="EndNoteBibliographyTitle">
    <w:name w:val="EndNote Bibliography Title"/>
    <w:basedOn w:val="Normal"/>
    <w:link w:val="EndNoteBibliographyTitleChar"/>
    <w:rsid w:val="007421BD"/>
    <w:pPr>
      <w:jc w:val="center"/>
    </w:pPr>
    <w:rPr>
      <w:noProof/>
    </w:rPr>
  </w:style>
  <w:style w:type="character" w:customStyle="1" w:styleId="EndNoteBibliographyTitleChar">
    <w:name w:val="EndNote Bibliography Title Char"/>
    <w:basedOn w:val="DefaultParagraphFont"/>
    <w:link w:val="EndNoteBibliographyTitle"/>
    <w:rsid w:val="007421BD"/>
    <w:rPr>
      <w:rFonts w:ascii="Times New Roman" w:eastAsia="Times New Roman" w:hAnsi="Times New Roman" w:cs="Times New Roman"/>
      <w:noProof/>
      <w:sz w:val="24"/>
      <w:szCs w:val="24"/>
    </w:rPr>
  </w:style>
  <w:style w:type="paragraph" w:customStyle="1" w:styleId="EndNoteBibliography">
    <w:name w:val="EndNote Bibliography"/>
    <w:basedOn w:val="Normal"/>
    <w:link w:val="EndNoteBibliographyChar"/>
    <w:rsid w:val="007421BD"/>
    <w:rPr>
      <w:noProof/>
    </w:rPr>
  </w:style>
  <w:style w:type="character" w:customStyle="1" w:styleId="EndNoteBibliographyChar">
    <w:name w:val="EndNote Bibliography Char"/>
    <w:basedOn w:val="DefaultParagraphFont"/>
    <w:link w:val="EndNoteBibliography"/>
    <w:rsid w:val="007421BD"/>
    <w:rPr>
      <w:rFonts w:ascii="Times New Roman" w:eastAsia="Times New Roman" w:hAnsi="Times New Roman" w:cs="Times New Roman"/>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informatik.uni-ulm.de/ni/mitarbeiter/HKestler/mra/app/index.php?plugin=fo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288</Words>
  <Characters>1642</Characters>
  <Application>Microsoft Office Word</Application>
  <DocSecurity>0</DocSecurity>
  <Lines>13</Lines>
  <Paragraphs>3</Paragraphs>
  <ScaleCrop>false</ScaleCrop>
  <Company>Sidra Medical &amp; Research Center</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Hasan</dc:creator>
  <cp:keywords/>
  <dc:description/>
  <cp:lastModifiedBy>Mohammad Hasan</cp:lastModifiedBy>
  <cp:revision>22</cp:revision>
  <dcterms:created xsi:type="dcterms:W3CDTF">2019-09-25T08:51:00Z</dcterms:created>
  <dcterms:modified xsi:type="dcterms:W3CDTF">2019-11-07T04:31:00Z</dcterms:modified>
</cp:coreProperties>
</file>