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554" w:rsidRPr="006F291B" w:rsidRDefault="00DD4554" w:rsidP="006F291B">
      <w:pPr>
        <w:pStyle w:val="a5"/>
        <w:numPr>
          <w:ilvl w:val="0"/>
          <w:numId w:val="1"/>
        </w:numPr>
        <w:autoSpaceDE w:val="0"/>
        <w:autoSpaceDN w:val="0"/>
        <w:adjustRightInd w:val="0"/>
        <w:spacing w:line="360" w:lineRule="auto"/>
        <w:ind w:firstLineChars="0"/>
        <w:jc w:val="left"/>
        <w:rPr>
          <w:rFonts w:ascii="Times New Roman" w:hAnsi="Times New Roman" w:cs="Times New Roman"/>
          <w:b/>
          <w:color w:val="131413"/>
          <w:kern w:val="0"/>
          <w:szCs w:val="21"/>
        </w:rPr>
      </w:pPr>
      <w:r w:rsidRPr="006F291B">
        <w:rPr>
          <w:rFonts w:ascii="Times New Roman" w:hAnsi="Times New Roman" w:cs="Times New Roman"/>
          <w:b/>
          <w:color w:val="131413"/>
          <w:kern w:val="0"/>
          <w:szCs w:val="21"/>
        </w:rPr>
        <w:t xml:space="preserve">Methods of </w:t>
      </w:r>
      <w:r w:rsidRPr="006F291B">
        <w:rPr>
          <w:rFonts w:ascii="Times New Roman" w:hAnsi="Times New Roman" w:cs="Times New Roman"/>
          <w:b/>
          <w:kern w:val="0"/>
          <w:szCs w:val="21"/>
        </w:rPr>
        <w:t>next-generation sequencing</w:t>
      </w:r>
    </w:p>
    <w:p w:rsidR="00150E9D" w:rsidRPr="006F291B" w:rsidRDefault="00150E9D" w:rsidP="006F291B">
      <w:pPr>
        <w:autoSpaceDE w:val="0"/>
        <w:autoSpaceDN w:val="0"/>
        <w:adjustRightInd w:val="0"/>
        <w:spacing w:line="360" w:lineRule="auto"/>
        <w:jc w:val="left"/>
        <w:rPr>
          <w:rFonts w:ascii="Times New Roman" w:hAnsi="Times New Roman" w:cs="Times New Roman"/>
          <w:color w:val="000033"/>
          <w:szCs w:val="21"/>
          <w:shd w:val="clear" w:color="auto" w:fill="FFFFFF"/>
        </w:rPr>
      </w:pPr>
      <w:r w:rsidRPr="006F291B">
        <w:rPr>
          <w:rFonts w:ascii="Times New Roman" w:hAnsi="Times New Roman" w:cs="Times New Roman"/>
          <w:color w:val="000033"/>
          <w:szCs w:val="21"/>
          <w:shd w:val="clear" w:color="auto" w:fill="FFFFFF"/>
        </w:rPr>
        <w:t>The methodology about NGS in this manuscript is based on the Methods in this reference:</w:t>
      </w:r>
    </w:p>
    <w:p w:rsidR="00150E9D" w:rsidRPr="006F291B" w:rsidRDefault="00150E9D" w:rsidP="006F291B">
      <w:pPr>
        <w:autoSpaceDE w:val="0"/>
        <w:autoSpaceDN w:val="0"/>
        <w:adjustRightInd w:val="0"/>
        <w:spacing w:line="360" w:lineRule="auto"/>
        <w:jc w:val="left"/>
        <w:rPr>
          <w:rFonts w:ascii="Times New Roman" w:hAnsi="Times New Roman" w:cs="Times New Roman"/>
          <w:color w:val="000033"/>
          <w:szCs w:val="21"/>
          <w:shd w:val="clear" w:color="auto" w:fill="FFFFFF"/>
        </w:rPr>
      </w:pPr>
      <w:r w:rsidRPr="006F291B">
        <w:rPr>
          <w:rFonts w:ascii="Times New Roman" w:hAnsi="Times New Roman" w:cs="Times New Roman"/>
          <w:color w:val="000033"/>
          <w:szCs w:val="21"/>
          <w:shd w:val="clear" w:color="auto" w:fill="FFFFFF"/>
        </w:rPr>
        <w:t>Blauwkamp TA, Thair S, Rosen MJ, et al. Analytical and clinical validation of a microbial cell-free DNA sequencing test for infectious disease. Nat Microbiol, 2019,4(4):663-674.</w:t>
      </w:r>
    </w:p>
    <w:p w:rsidR="00FD7869" w:rsidRPr="006F291B" w:rsidRDefault="00FD7869" w:rsidP="006F291B">
      <w:pPr>
        <w:autoSpaceDE w:val="0"/>
        <w:autoSpaceDN w:val="0"/>
        <w:adjustRightInd w:val="0"/>
        <w:spacing w:line="360" w:lineRule="auto"/>
        <w:jc w:val="left"/>
        <w:rPr>
          <w:rFonts w:ascii="Times New Roman" w:hAnsi="Times New Roman" w:cs="Times New Roman"/>
          <w:b/>
          <w:color w:val="131413"/>
          <w:kern w:val="0"/>
          <w:szCs w:val="21"/>
        </w:rPr>
      </w:pPr>
    </w:p>
    <w:p w:rsidR="00B807E7" w:rsidRPr="006F291B" w:rsidRDefault="00B807E7" w:rsidP="006F291B">
      <w:pPr>
        <w:autoSpaceDE w:val="0"/>
        <w:autoSpaceDN w:val="0"/>
        <w:adjustRightInd w:val="0"/>
        <w:spacing w:line="360" w:lineRule="auto"/>
        <w:jc w:val="left"/>
        <w:rPr>
          <w:rFonts w:ascii="Times New Roman" w:hAnsi="Times New Roman" w:cs="Times New Roman"/>
          <w:b/>
          <w:color w:val="131413"/>
          <w:kern w:val="0"/>
          <w:szCs w:val="21"/>
        </w:rPr>
      </w:pPr>
      <w:r w:rsidRPr="006F291B">
        <w:rPr>
          <w:rFonts w:ascii="Times New Roman" w:hAnsi="Times New Roman" w:cs="Times New Roman"/>
          <w:b/>
          <w:color w:val="131413"/>
          <w:kern w:val="0"/>
          <w:szCs w:val="21"/>
        </w:rPr>
        <w:t>Sample collection and information</w:t>
      </w:r>
    </w:p>
    <w:p w:rsidR="00B807E7" w:rsidRPr="006F291B" w:rsidRDefault="00B807E7" w:rsidP="006F291B">
      <w:pPr>
        <w:autoSpaceDE w:val="0"/>
        <w:autoSpaceDN w:val="0"/>
        <w:adjustRightInd w:val="0"/>
        <w:spacing w:line="360" w:lineRule="auto"/>
        <w:jc w:val="left"/>
        <w:rPr>
          <w:rFonts w:ascii="Times New Roman" w:hAnsi="Times New Roman" w:cs="Times New Roman"/>
          <w:color w:val="131413"/>
          <w:kern w:val="0"/>
          <w:szCs w:val="21"/>
        </w:rPr>
      </w:pPr>
      <w:r w:rsidRPr="006F291B">
        <w:rPr>
          <w:rFonts w:ascii="Times New Roman" w:hAnsi="Times New Roman" w:cs="Times New Roman"/>
          <w:color w:val="131413"/>
          <w:kern w:val="0"/>
          <w:szCs w:val="21"/>
        </w:rPr>
        <w:t>The CSF of the 4 patients were collected from the Department of Neurology in Northern Jiangsu People’s Hospital according to standard procedures (Case report</w:t>
      </w:r>
      <w:r w:rsidR="00553C58" w:rsidRPr="006F291B">
        <w:rPr>
          <w:rFonts w:ascii="Times New Roman" w:hAnsi="Times New Roman" w:cs="Times New Roman"/>
          <w:color w:val="131413"/>
          <w:kern w:val="0"/>
          <w:szCs w:val="21"/>
        </w:rPr>
        <w:t>,</w:t>
      </w:r>
      <w:r w:rsidRPr="006F291B">
        <w:rPr>
          <w:rFonts w:ascii="Times New Roman" w:hAnsi="Times New Roman" w:cs="Times New Roman"/>
          <w:color w:val="131413"/>
          <w:kern w:val="0"/>
          <w:szCs w:val="21"/>
        </w:rPr>
        <w:t xml:space="preserve"> Case No. 1, paragraph 2; Case No. 2, paragraph 1; Case No. 3, paragraph 1; Case No. 4, paragraph 1). </w:t>
      </w:r>
      <w:r w:rsidRPr="006F291B">
        <w:rPr>
          <w:rFonts w:ascii="Times New Roman" w:hAnsi="Times New Roman" w:cs="Times New Roman"/>
          <w:kern w:val="0"/>
          <w:szCs w:val="21"/>
        </w:rPr>
        <w:t>The 4 CSF samples (each more than 2 milliliter) were immediately sent for pathogen detection by next-generation sequencing (NGS) at Vision Medicals</w:t>
      </w:r>
      <w:r w:rsidRPr="006F291B">
        <w:rPr>
          <w:rFonts w:ascii="Times New Roman" w:hAnsi="Times New Roman" w:cs="Times New Roman"/>
          <w:color w:val="131413"/>
          <w:kern w:val="0"/>
          <w:szCs w:val="21"/>
        </w:rPr>
        <w:t>. The patients had signed informed consent, and samples were used for research only. The Institu</w:t>
      </w:r>
      <w:bookmarkStart w:id="0" w:name="_GoBack"/>
      <w:bookmarkEnd w:id="0"/>
      <w:r w:rsidRPr="006F291B">
        <w:rPr>
          <w:rFonts w:ascii="Times New Roman" w:hAnsi="Times New Roman" w:cs="Times New Roman"/>
          <w:color w:val="131413"/>
          <w:kern w:val="0"/>
          <w:szCs w:val="21"/>
        </w:rPr>
        <w:t>tional Review Board of Northern Jiangsu People’s Hospital approved this study. The Ethics Committee of Northern Jiangsu People’s Hospital approved the use of human subjects for this study. All the patients provided written (signed) informed consent to participate in this study.</w:t>
      </w:r>
    </w:p>
    <w:p w:rsidR="00FC214C" w:rsidRPr="006F291B" w:rsidRDefault="00FC214C" w:rsidP="006F291B">
      <w:pPr>
        <w:autoSpaceDE w:val="0"/>
        <w:autoSpaceDN w:val="0"/>
        <w:adjustRightInd w:val="0"/>
        <w:spacing w:line="360" w:lineRule="auto"/>
        <w:jc w:val="left"/>
        <w:rPr>
          <w:rFonts w:ascii="Times New Roman" w:hAnsi="Times New Roman" w:cs="Times New Roman"/>
          <w:color w:val="131413"/>
          <w:kern w:val="0"/>
          <w:szCs w:val="21"/>
        </w:rPr>
      </w:pPr>
    </w:p>
    <w:p w:rsidR="00B807E7" w:rsidRPr="006F291B" w:rsidRDefault="00B807E7" w:rsidP="006F291B">
      <w:pPr>
        <w:autoSpaceDE w:val="0"/>
        <w:autoSpaceDN w:val="0"/>
        <w:adjustRightInd w:val="0"/>
        <w:spacing w:line="360" w:lineRule="auto"/>
        <w:jc w:val="left"/>
        <w:rPr>
          <w:rFonts w:ascii="Times New Roman" w:hAnsi="Times New Roman" w:cs="Times New Roman"/>
          <w:b/>
          <w:color w:val="131413"/>
          <w:kern w:val="0"/>
          <w:szCs w:val="21"/>
        </w:rPr>
      </w:pPr>
      <w:r w:rsidRPr="006F291B">
        <w:rPr>
          <w:rFonts w:ascii="Times New Roman" w:hAnsi="Times New Roman" w:cs="Times New Roman"/>
          <w:b/>
          <w:color w:val="131413"/>
          <w:kern w:val="0"/>
          <w:szCs w:val="21"/>
        </w:rPr>
        <w:t>DNA extraction, library preparation, and sequencing</w:t>
      </w:r>
      <w:r w:rsidR="00FC214C" w:rsidRPr="006F291B">
        <w:rPr>
          <w:rFonts w:ascii="Times New Roman" w:hAnsi="Times New Roman" w:cs="Times New Roman"/>
          <w:b/>
          <w:color w:val="131413"/>
          <w:kern w:val="0"/>
          <w:szCs w:val="21"/>
        </w:rPr>
        <w:t xml:space="preserve"> </w:t>
      </w:r>
      <w:r w:rsidR="00553C58" w:rsidRPr="006F291B">
        <w:rPr>
          <w:rFonts w:ascii="Times New Roman" w:hAnsi="Times New Roman" w:cs="Times New Roman"/>
          <w:color w:val="131413"/>
          <w:kern w:val="0"/>
          <w:szCs w:val="21"/>
        </w:rPr>
        <w:t>(Case report, Case No. 1, paragraph 2; Case No. 2, paragraph 1; Case No. 3, paragraph 1; Case No. 4, paragraph 1)</w:t>
      </w:r>
    </w:p>
    <w:p w:rsidR="00B807E7" w:rsidRPr="006F291B" w:rsidRDefault="00B807E7" w:rsidP="006F291B">
      <w:pPr>
        <w:adjustRightInd w:val="0"/>
        <w:snapToGrid w:val="0"/>
        <w:spacing w:line="360" w:lineRule="auto"/>
        <w:rPr>
          <w:rFonts w:ascii="Times New Roman" w:hAnsi="Times New Roman" w:cs="Times New Roman"/>
          <w:szCs w:val="21"/>
        </w:rPr>
      </w:pPr>
      <w:r w:rsidRPr="006F291B">
        <w:rPr>
          <w:rFonts w:ascii="Times New Roman" w:hAnsi="Times New Roman" w:cs="Times New Roman"/>
          <w:szCs w:val="21"/>
        </w:rPr>
        <w:t xml:space="preserve">CSF sample from patient was collected according to standard procedures, and centrifuged at 2000 RPM for 5 min. 300 uL supernatant were subjected to nucleotides purification with TIANamp Micro DNA Kit (DP316, TianGen Biotech) according to the manufacturer’s recommendation. </w:t>
      </w:r>
    </w:p>
    <w:p w:rsidR="00B807E7" w:rsidRPr="006F291B" w:rsidRDefault="00B807E7" w:rsidP="006F291B">
      <w:pPr>
        <w:adjustRightInd w:val="0"/>
        <w:snapToGrid w:val="0"/>
        <w:spacing w:line="360" w:lineRule="auto"/>
        <w:rPr>
          <w:rFonts w:ascii="Times New Roman" w:hAnsi="Times New Roman" w:cs="Times New Roman"/>
          <w:szCs w:val="21"/>
        </w:rPr>
      </w:pPr>
      <w:r w:rsidRPr="006F291B">
        <w:rPr>
          <w:rFonts w:ascii="Times New Roman" w:hAnsi="Times New Roman" w:cs="Times New Roman"/>
          <w:szCs w:val="21"/>
        </w:rPr>
        <w:t xml:space="preserve">DNA were sheared under power 50 for 155 seconds by using focused-ultrasonicators (Covaris). Total 100 ng sheared DNA were subjected to library construction with VAHTS Universal DNA Library Prep Kit for Illumina V3 kit (ND607-2, </w:t>
      </w:r>
      <w:bookmarkStart w:id="1" w:name="OLE_LINK1"/>
      <w:bookmarkStart w:id="2" w:name="OLE_LINK2"/>
      <w:r w:rsidRPr="006F291B">
        <w:rPr>
          <w:rFonts w:ascii="Times New Roman" w:hAnsi="Times New Roman" w:cs="Times New Roman"/>
          <w:szCs w:val="21"/>
        </w:rPr>
        <w:t>Vazym</w:t>
      </w:r>
      <w:bookmarkEnd w:id="1"/>
      <w:bookmarkEnd w:id="2"/>
      <w:r w:rsidRPr="006F291B">
        <w:rPr>
          <w:rFonts w:ascii="Times New Roman" w:hAnsi="Times New Roman" w:cs="Times New Roman"/>
          <w:szCs w:val="21"/>
        </w:rPr>
        <w:t>e Biotech). After purification and sorting, the DNA length of the library was profiled by Agilent 2100 bioanalyzer. Library with 300</w:t>
      </w:r>
      <w:r w:rsidRPr="006F291B">
        <w:rPr>
          <w:rFonts w:ascii="Times New Roman" w:eastAsia="等线" w:hAnsi="Times New Roman" w:cs="Times New Roman"/>
          <w:szCs w:val="21"/>
        </w:rPr>
        <w:t>±</w:t>
      </w:r>
      <w:r w:rsidRPr="006F291B">
        <w:rPr>
          <w:rFonts w:ascii="Times New Roman" w:hAnsi="Times New Roman" w:cs="Times New Roman"/>
          <w:szCs w:val="21"/>
        </w:rPr>
        <w:t>50 bp peak passed and was subjected to library pooling. Pooled libraries</w:t>
      </w:r>
      <w:r w:rsidR="00212F8F" w:rsidRPr="006F291B">
        <w:rPr>
          <w:rFonts w:ascii="Times New Roman" w:hAnsi="Times New Roman" w:cs="Times New Roman"/>
          <w:szCs w:val="21"/>
        </w:rPr>
        <w:t xml:space="preserve"> were diluted and up to 24 libraries per batch were multiplexed and subjected to I</w:t>
      </w:r>
      <w:r w:rsidRPr="006F291B">
        <w:rPr>
          <w:rFonts w:ascii="Times New Roman" w:hAnsi="Times New Roman" w:cs="Times New Roman"/>
          <w:szCs w:val="21"/>
        </w:rPr>
        <w:t>llumina Next</w:t>
      </w:r>
      <w:r w:rsidR="00212F8F" w:rsidRPr="006F291B">
        <w:rPr>
          <w:rFonts w:ascii="Times New Roman" w:hAnsi="Times New Roman" w:cs="Times New Roman"/>
          <w:szCs w:val="21"/>
        </w:rPr>
        <w:t>Seq</w:t>
      </w:r>
      <w:r w:rsidRPr="006F291B">
        <w:rPr>
          <w:rFonts w:ascii="Times New Roman" w:hAnsi="Times New Roman" w:cs="Times New Roman"/>
          <w:szCs w:val="21"/>
        </w:rPr>
        <w:t xml:space="preserve"> 550 sequencing platform </w:t>
      </w:r>
      <w:r w:rsidR="00212F8F" w:rsidRPr="006F291B">
        <w:rPr>
          <w:rFonts w:ascii="Times New Roman" w:hAnsi="Times New Roman" w:cs="Times New Roman"/>
          <w:szCs w:val="21"/>
        </w:rPr>
        <w:t xml:space="preserve">using a 75-cycle single-end, </w:t>
      </w:r>
      <w:r w:rsidRPr="006F291B">
        <w:rPr>
          <w:rFonts w:ascii="Times New Roman" w:hAnsi="Times New Roman" w:cs="Times New Roman"/>
          <w:szCs w:val="21"/>
        </w:rPr>
        <w:t>following manual instruction.</w:t>
      </w:r>
    </w:p>
    <w:p w:rsidR="00B807E7" w:rsidRPr="006F291B" w:rsidRDefault="00B807E7" w:rsidP="006F291B">
      <w:pPr>
        <w:autoSpaceDE w:val="0"/>
        <w:autoSpaceDN w:val="0"/>
        <w:adjustRightInd w:val="0"/>
        <w:spacing w:line="360" w:lineRule="auto"/>
        <w:jc w:val="left"/>
        <w:rPr>
          <w:rFonts w:ascii="Times New Roman" w:hAnsi="Times New Roman" w:cs="Times New Roman"/>
          <w:b/>
          <w:color w:val="131413"/>
          <w:kern w:val="0"/>
          <w:szCs w:val="21"/>
        </w:rPr>
      </w:pPr>
      <w:r w:rsidRPr="006F291B">
        <w:rPr>
          <w:rFonts w:ascii="Times New Roman" w:hAnsi="Times New Roman" w:cs="Times New Roman"/>
          <w:b/>
          <w:color w:val="131413"/>
          <w:kern w:val="0"/>
          <w:szCs w:val="21"/>
        </w:rPr>
        <w:t>Data treatment and analysis</w:t>
      </w:r>
      <w:r w:rsidR="00FC214C" w:rsidRPr="006F291B">
        <w:rPr>
          <w:rFonts w:ascii="Times New Roman" w:hAnsi="Times New Roman" w:cs="Times New Roman"/>
          <w:b/>
          <w:color w:val="131413"/>
          <w:kern w:val="0"/>
          <w:szCs w:val="21"/>
        </w:rPr>
        <w:t xml:space="preserve"> </w:t>
      </w:r>
      <w:r w:rsidR="00553C58" w:rsidRPr="006F291B">
        <w:rPr>
          <w:rFonts w:ascii="Times New Roman" w:hAnsi="Times New Roman" w:cs="Times New Roman"/>
          <w:color w:val="131413"/>
          <w:kern w:val="0"/>
          <w:szCs w:val="21"/>
        </w:rPr>
        <w:t>(Case report, Case No. 1, paragraph 2; Case No. 2, paragraph 1; Case No. 3, paragraph 1; Case No. 4, paragraph 1)</w:t>
      </w:r>
    </w:p>
    <w:p w:rsidR="00B807E7" w:rsidRPr="006F291B" w:rsidRDefault="00B807E7" w:rsidP="006F291B">
      <w:pPr>
        <w:adjustRightInd w:val="0"/>
        <w:snapToGrid w:val="0"/>
        <w:spacing w:line="360" w:lineRule="auto"/>
        <w:rPr>
          <w:rFonts w:ascii="Times New Roman" w:hAnsi="Times New Roman" w:cs="Times New Roman"/>
          <w:szCs w:val="21"/>
        </w:rPr>
      </w:pPr>
      <w:r w:rsidRPr="006F291B">
        <w:rPr>
          <w:rFonts w:ascii="Times New Roman" w:hAnsi="Times New Roman" w:cs="Times New Roman"/>
          <w:szCs w:val="21"/>
        </w:rPr>
        <w:t xml:space="preserve">High-quality sequencing data were generated by removing low-quality, and short (length &lt; 35bp) reads, followed by computational substraction of human host sequences mapped to the human reference genome (hg19) using Burrows-Wheeler Alignment. The remaining data by removal of </w:t>
      </w:r>
      <w:r w:rsidRPr="006F291B">
        <w:rPr>
          <w:rFonts w:ascii="Times New Roman" w:hAnsi="Times New Roman" w:cs="Times New Roman"/>
          <w:szCs w:val="21"/>
        </w:rPr>
        <w:lastRenderedPageBreak/>
        <w:t>low-complexity reads were classified by simultaneously aligning to four Microbial Genome Databases, consisting of viruses, bacteria, fungi, and parasites. The classification reference databases were downloaded from NCBI (ftp://ftp.ncbi.nlm.nih.gov/genomes/). RefSeq or Genebank contains 5348 whole genome sequence of viral taxa, 4170 bacterial genomes or scaffolds, 393 fungi related to human infection, and 140 parasites associated with human diseases.</w:t>
      </w:r>
    </w:p>
    <w:p w:rsidR="00150E9D" w:rsidRPr="006F291B" w:rsidRDefault="00150E9D" w:rsidP="006F291B">
      <w:pPr>
        <w:adjustRightInd w:val="0"/>
        <w:snapToGrid w:val="0"/>
        <w:spacing w:line="360" w:lineRule="auto"/>
        <w:rPr>
          <w:rFonts w:ascii="Times New Roman" w:hAnsi="Times New Roman" w:cs="Times New Roman"/>
          <w:szCs w:val="21"/>
        </w:rPr>
      </w:pPr>
    </w:p>
    <w:p w:rsidR="00150E9D" w:rsidRPr="006F291B" w:rsidRDefault="008703E7" w:rsidP="006F291B">
      <w:pPr>
        <w:pStyle w:val="a5"/>
        <w:numPr>
          <w:ilvl w:val="0"/>
          <w:numId w:val="1"/>
        </w:numPr>
        <w:adjustRightInd w:val="0"/>
        <w:snapToGrid w:val="0"/>
        <w:spacing w:line="360" w:lineRule="auto"/>
        <w:ind w:firstLineChars="0"/>
        <w:rPr>
          <w:rFonts w:ascii="Times New Roman" w:hAnsi="Times New Roman" w:cs="Times New Roman"/>
          <w:b/>
          <w:szCs w:val="21"/>
        </w:rPr>
      </w:pPr>
      <w:r w:rsidRPr="006F291B">
        <w:rPr>
          <w:rFonts w:ascii="Times New Roman" w:hAnsi="Times New Roman" w:cs="Times New Roman"/>
          <w:b/>
          <w:kern w:val="0"/>
          <w:szCs w:val="21"/>
        </w:rPr>
        <w:t>The results of Sanger sequencing</w:t>
      </w:r>
    </w:p>
    <w:p w:rsidR="00150E9D" w:rsidRPr="006F291B" w:rsidRDefault="00150E9D" w:rsidP="006F291B">
      <w:pPr>
        <w:autoSpaceDE w:val="0"/>
        <w:autoSpaceDN w:val="0"/>
        <w:adjustRightInd w:val="0"/>
        <w:spacing w:line="360" w:lineRule="auto"/>
        <w:jc w:val="left"/>
        <w:rPr>
          <w:rFonts w:ascii="Times New Roman" w:hAnsi="Times New Roman" w:cs="Times New Roman"/>
          <w:szCs w:val="21"/>
          <w:shd w:val="clear" w:color="auto" w:fill="FFFFFF"/>
        </w:rPr>
      </w:pPr>
      <w:r w:rsidRPr="006F291B">
        <w:rPr>
          <w:rFonts w:ascii="Times New Roman" w:hAnsi="Times New Roman" w:cs="Times New Roman"/>
          <w:kern w:val="0"/>
          <w:szCs w:val="21"/>
        </w:rPr>
        <w:t>The Sanger sequencing identification of VZV was carried out to validate the NGS results for the 4 cases. The specific primers used for the gene amplification were VZV-F2 (GACAATATCATATACATGGAATGTG) and VZV-R2 (GCGGTAGTAACAGAGAATTTCTT). The results showed that the read from Sanger sequencing was co</w:t>
      </w:r>
      <w:r w:rsidR="004607F5">
        <w:rPr>
          <w:rFonts w:ascii="Times New Roman" w:hAnsi="Times New Roman" w:cs="Times New Roman"/>
          <w:kern w:val="0"/>
          <w:szCs w:val="21"/>
        </w:rPr>
        <w:t>nsistent with VZV genome (Fig.</w:t>
      </w:r>
      <w:r w:rsidRPr="006F291B">
        <w:rPr>
          <w:rFonts w:ascii="Times New Roman" w:hAnsi="Times New Roman" w:cs="Times New Roman"/>
          <w:kern w:val="0"/>
          <w:szCs w:val="21"/>
        </w:rPr>
        <w:t xml:space="preserve"> 2).</w:t>
      </w:r>
    </w:p>
    <w:p w:rsidR="00CD0E9D" w:rsidRPr="006F291B" w:rsidRDefault="00CD0E9D" w:rsidP="006F291B">
      <w:pPr>
        <w:widowControl/>
        <w:shd w:val="clear" w:color="auto" w:fill="FFFFFF"/>
        <w:spacing w:line="360" w:lineRule="auto"/>
        <w:jc w:val="left"/>
        <w:rPr>
          <w:rFonts w:ascii="Times New Roman" w:eastAsia="宋体" w:hAnsi="Times New Roman" w:cs="Times New Roman"/>
          <w:color w:val="333333"/>
          <w:kern w:val="0"/>
          <w:szCs w:val="21"/>
        </w:rPr>
      </w:pPr>
    </w:p>
    <w:p w:rsidR="00CD6860"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b/>
          <w:color w:val="333333"/>
          <w:kern w:val="0"/>
          <w:szCs w:val="21"/>
        </w:rPr>
        <w:t xml:space="preserve">The </w:t>
      </w:r>
      <w:r w:rsidR="00CD0E9D" w:rsidRPr="006F291B">
        <w:rPr>
          <w:rFonts w:ascii="Times New Roman" w:eastAsia="宋体" w:hAnsi="Times New Roman" w:cs="Times New Roman"/>
          <w:b/>
          <w:color w:val="333333"/>
          <w:kern w:val="0"/>
          <w:szCs w:val="21"/>
        </w:rPr>
        <w:t>result</w:t>
      </w:r>
      <w:r w:rsidRPr="006F291B">
        <w:rPr>
          <w:rFonts w:ascii="Times New Roman" w:eastAsia="宋体" w:hAnsi="Times New Roman" w:cs="Times New Roman"/>
          <w:b/>
          <w:color w:val="333333"/>
          <w:kern w:val="0"/>
          <w:szCs w:val="21"/>
        </w:rPr>
        <w:t xml:space="preserve"> for case no. 1</w:t>
      </w:r>
      <w:r w:rsidR="00CD6860">
        <w:rPr>
          <w:rFonts w:ascii="Times New Roman" w:eastAsia="宋体" w:hAnsi="Times New Roman" w:cs="Times New Roman"/>
          <w:color w:val="333333"/>
          <w:kern w:val="0"/>
          <w:szCs w:val="21"/>
        </w:rPr>
        <w:t xml:space="preserve"> </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&gt;TGACAATATCAATACATGGAATGTGTTAAAGCGGGGGTCAAACTTATCCC</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CACGAAAGTCGATTTCCCCCCAAATATTCACGCGTCTAGGCCAGGGGCTG</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GAACAACGAAAATCCAGAATCGGAACTTCTTTTCCATTACAGTAAACTTT</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AGGCGGTCGACTAAGTGTACCGACGTGAACCCCCTTTCGTTCTTCCATGG</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GCACATCTTCATCTAAACATTTAGGGGCCAAAAATTGAAACGATGACATG</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GTAGTTTTGTAACTATGAAGAAATTCTCTGTTACTACCGCA</w:t>
      </w:r>
    </w:p>
    <w:p w:rsidR="00CD0E9D" w:rsidRPr="006F291B" w:rsidRDefault="00CD0E9D" w:rsidP="006F291B">
      <w:pPr>
        <w:widowControl/>
        <w:shd w:val="clear" w:color="auto" w:fill="FFFFFF"/>
        <w:spacing w:line="360" w:lineRule="auto"/>
        <w:jc w:val="left"/>
        <w:rPr>
          <w:rFonts w:ascii="Times New Roman" w:eastAsia="宋体" w:hAnsi="Times New Roman" w:cs="Times New Roman"/>
          <w:color w:val="333333"/>
          <w:kern w:val="0"/>
          <w:szCs w:val="21"/>
        </w:rPr>
      </w:pPr>
    </w:p>
    <w:p w:rsidR="008703E7" w:rsidRPr="006F291B" w:rsidRDefault="008703E7" w:rsidP="006F291B">
      <w:pPr>
        <w:widowControl/>
        <w:shd w:val="clear" w:color="auto" w:fill="FFFFFF"/>
        <w:spacing w:line="360" w:lineRule="auto"/>
        <w:jc w:val="left"/>
        <w:rPr>
          <w:rFonts w:ascii="Times New Roman" w:eastAsia="宋体" w:hAnsi="Times New Roman" w:cs="Times New Roman"/>
          <w:b/>
          <w:color w:val="333333"/>
          <w:kern w:val="0"/>
          <w:szCs w:val="21"/>
        </w:rPr>
      </w:pPr>
      <w:r w:rsidRPr="006F291B">
        <w:rPr>
          <w:rFonts w:ascii="Times New Roman" w:eastAsia="宋体" w:hAnsi="Times New Roman" w:cs="Times New Roman"/>
          <w:b/>
          <w:color w:val="333333"/>
          <w:kern w:val="0"/>
          <w:szCs w:val="21"/>
        </w:rPr>
        <w:t>The result for case no. 2</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&gt;TGACAATATCAATACATGGAATGTGTTAAAGCGGGGGTCAAACTTATCCC</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CACGAAAGTCGATTTCCCCCCAAATATTCACGCGTCTAGGCCAGGGGCTG</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GAACAACGAAAATCCAGAATCGGAACTTCTTTTCCATTACAGTAAACTTT</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AGGCGGTCGACTAAGTGTACCGACGTGAACCCCCTTTCGTTCTTCCATGG</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GCACATCTTCATCTAAACATTTAGGGGCCAAAAATTGAAACGATGACATG</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GTAGTTTTGTAACTATGAAGAAATTCTCTGTTACTACCGCA</w:t>
      </w:r>
    </w:p>
    <w:p w:rsidR="00CD0E9D" w:rsidRPr="006F291B" w:rsidRDefault="00CD0E9D" w:rsidP="006F291B">
      <w:pPr>
        <w:widowControl/>
        <w:shd w:val="clear" w:color="auto" w:fill="FFFFFF"/>
        <w:spacing w:line="360" w:lineRule="auto"/>
        <w:jc w:val="left"/>
        <w:rPr>
          <w:rFonts w:ascii="Times New Roman" w:eastAsia="宋体" w:hAnsi="Times New Roman" w:cs="Times New Roman"/>
          <w:color w:val="333333"/>
          <w:kern w:val="0"/>
          <w:szCs w:val="21"/>
        </w:rPr>
      </w:pPr>
    </w:p>
    <w:p w:rsidR="008703E7" w:rsidRPr="006F291B" w:rsidRDefault="008703E7" w:rsidP="006F291B">
      <w:pPr>
        <w:widowControl/>
        <w:shd w:val="clear" w:color="auto" w:fill="FFFFFF"/>
        <w:spacing w:line="360" w:lineRule="auto"/>
        <w:jc w:val="left"/>
        <w:rPr>
          <w:rFonts w:ascii="Times New Roman" w:eastAsia="宋体" w:hAnsi="Times New Roman" w:cs="Times New Roman"/>
          <w:b/>
          <w:color w:val="333333"/>
          <w:kern w:val="0"/>
          <w:szCs w:val="21"/>
        </w:rPr>
      </w:pPr>
      <w:r w:rsidRPr="006F291B">
        <w:rPr>
          <w:rFonts w:ascii="Times New Roman" w:eastAsia="宋体" w:hAnsi="Times New Roman" w:cs="Times New Roman"/>
          <w:b/>
          <w:color w:val="333333"/>
          <w:kern w:val="0"/>
          <w:szCs w:val="21"/>
        </w:rPr>
        <w:t>The result for case no. 3</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&gt;TACATGGAATGTGTTAAAGCGGGGGTCAAACTTATCCCCACGAAAGTCGATT</w:t>
      </w:r>
      <w:r w:rsidR="00AB056B" w:rsidRPr="006F291B">
        <w:rPr>
          <w:rFonts w:ascii="Times New Roman" w:eastAsia="宋体" w:hAnsi="Times New Roman" w:cs="Times New Roman"/>
          <w:color w:val="333333"/>
          <w:kern w:val="0"/>
          <w:szCs w:val="21"/>
        </w:rPr>
        <w:t>TCC</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lastRenderedPageBreak/>
        <w:t>CCCCAAATATTCACGCGTCTAGGCCAGGGGCTGGAACAACGAAAATCCAGAATC</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GGAACTTCTTTTCCATTACAGTAAACTTTAGGCGGTCGACTAAGTGTACCGACGTGAA</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CCCCCTTTCGTTCTTCCATGGGCACATCTTCATCTAAACATTTAGGGGCCAAAAATTGAAACGATGACATGGTAGTTTTGTAACTATGAAGAAATTCTCTGTTACTACCG</w:t>
      </w:r>
    </w:p>
    <w:p w:rsidR="00CD0E9D" w:rsidRPr="006F291B" w:rsidRDefault="00CD0E9D" w:rsidP="006F291B">
      <w:pPr>
        <w:widowControl/>
        <w:shd w:val="clear" w:color="auto" w:fill="FFFFFF"/>
        <w:spacing w:line="360" w:lineRule="auto"/>
        <w:jc w:val="left"/>
        <w:rPr>
          <w:rFonts w:ascii="Times New Roman" w:eastAsia="宋体" w:hAnsi="Times New Roman" w:cs="Times New Roman"/>
          <w:color w:val="333333"/>
          <w:kern w:val="0"/>
          <w:szCs w:val="21"/>
        </w:rPr>
      </w:pPr>
    </w:p>
    <w:p w:rsidR="008703E7" w:rsidRPr="006F291B" w:rsidRDefault="008703E7" w:rsidP="006F291B">
      <w:pPr>
        <w:widowControl/>
        <w:shd w:val="clear" w:color="auto" w:fill="FFFFFF"/>
        <w:spacing w:line="360" w:lineRule="auto"/>
        <w:jc w:val="left"/>
        <w:rPr>
          <w:rFonts w:ascii="Times New Roman" w:eastAsia="宋体" w:hAnsi="Times New Roman" w:cs="Times New Roman"/>
          <w:b/>
          <w:color w:val="333333"/>
          <w:kern w:val="0"/>
          <w:szCs w:val="21"/>
        </w:rPr>
      </w:pPr>
      <w:r w:rsidRPr="006F291B">
        <w:rPr>
          <w:rFonts w:ascii="Times New Roman" w:eastAsia="宋体" w:hAnsi="Times New Roman" w:cs="Times New Roman"/>
          <w:b/>
          <w:color w:val="333333"/>
          <w:kern w:val="0"/>
          <w:szCs w:val="21"/>
        </w:rPr>
        <w:t>The result for case no. 4</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&gt;ATACATGGAATGTGTTAAAGCGGGGGTCAAACTTATCCCCACGAAAGTCG</w:t>
      </w:r>
      <w:r w:rsidR="00AB056B" w:rsidRPr="006F291B">
        <w:rPr>
          <w:rFonts w:ascii="Times New Roman" w:eastAsia="宋体" w:hAnsi="Times New Roman" w:cs="Times New Roman"/>
          <w:color w:val="333333"/>
          <w:kern w:val="0"/>
          <w:szCs w:val="21"/>
        </w:rPr>
        <w:t>ATTTC</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CCCCCAAATATTCACGCGTCTAGGCCAGGGGCTGGAACAACGAAAATC</w:t>
      </w:r>
      <w:r w:rsidR="00AB056B" w:rsidRPr="006F291B">
        <w:rPr>
          <w:rFonts w:ascii="Times New Roman" w:eastAsia="宋体" w:hAnsi="Times New Roman" w:cs="Times New Roman"/>
          <w:color w:val="333333"/>
          <w:kern w:val="0"/>
          <w:szCs w:val="21"/>
        </w:rPr>
        <w:t>CAGAATC</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GGAACTTCTTTTCCATTACAGTAAACTTTAGGCGGTCGACTAAGTGTACCG</w:t>
      </w:r>
      <w:r w:rsidR="00AB056B" w:rsidRPr="006F291B">
        <w:rPr>
          <w:rFonts w:ascii="Times New Roman" w:eastAsia="宋体" w:hAnsi="Times New Roman" w:cs="Times New Roman"/>
          <w:color w:val="333333"/>
          <w:kern w:val="0"/>
          <w:szCs w:val="21"/>
        </w:rPr>
        <w:t>ACGTG</w:t>
      </w:r>
    </w:p>
    <w:p w:rsidR="008703E7" w:rsidRPr="006F291B" w:rsidRDefault="008703E7" w:rsidP="006F291B">
      <w:pPr>
        <w:widowControl/>
        <w:shd w:val="clear" w:color="auto" w:fill="FFFFFF"/>
        <w:spacing w:line="360" w:lineRule="auto"/>
        <w:jc w:val="left"/>
        <w:rPr>
          <w:rFonts w:ascii="Times New Roman" w:eastAsia="宋体" w:hAnsi="Times New Roman" w:cs="Times New Roman"/>
          <w:color w:val="333333"/>
          <w:kern w:val="0"/>
          <w:szCs w:val="21"/>
        </w:rPr>
      </w:pPr>
      <w:r w:rsidRPr="006F291B">
        <w:rPr>
          <w:rFonts w:ascii="Times New Roman" w:eastAsia="宋体" w:hAnsi="Times New Roman" w:cs="Times New Roman"/>
          <w:color w:val="333333"/>
          <w:kern w:val="0"/>
          <w:szCs w:val="21"/>
        </w:rPr>
        <w:t>AACCCCCTTTCGTTCTTCCATGGGCACATCTTCATCTAAACATTTAGGGGCCAAA</w:t>
      </w:r>
      <w:r w:rsidR="00AB056B" w:rsidRPr="006F291B">
        <w:rPr>
          <w:rFonts w:ascii="Times New Roman" w:eastAsia="宋体" w:hAnsi="Times New Roman" w:cs="Times New Roman"/>
          <w:color w:val="333333"/>
          <w:kern w:val="0"/>
          <w:szCs w:val="21"/>
        </w:rPr>
        <w:t>AA</w:t>
      </w:r>
    </w:p>
    <w:p w:rsidR="008703E7" w:rsidRPr="00DB2211" w:rsidRDefault="008703E7" w:rsidP="00DB2211">
      <w:pPr>
        <w:widowControl/>
        <w:shd w:val="clear" w:color="auto" w:fill="FFFFFF"/>
        <w:spacing w:line="360" w:lineRule="auto"/>
        <w:jc w:val="left"/>
        <w:rPr>
          <w:rFonts w:ascii="Times New Roman" w:eastAsia="宋体" w:hAnsi="Times New Roman" w:cs="Times New Roman" w:hint="eastAsia"/>
          <w:color w:val="333333"/>
          <w:kern w:val="0"/>
          <w:szCs w:val="21"/>
        </w:rPr>
      </w:pPr>
      <w:r w:rsidRPr="006F291B">
        <w:rPr>
          <w:rFonts w:ascii="Times New Roman" w:eastAsia="宋体" w:hAnsi="Times New Roman" w:cs="Times New Roman"/>
          <w:color w:val="333333"/>
          <w:kern w:val="0"/>
          <w:szCs w:val="21"/>
        </w:rPr>
        <w:t>TTGAAACGATGACATGGTAGTTTTGTAACTATGAAGAAATTCTCTGTTACTACCGCAA</w:t>
      </w:r>
    </w:p>
    <w:sectPr w:rsidR="008703E7" w:rsidRPr="00DB22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166" w:rsidRDefault="00130166" w:rsidP="00F35DA3">
      <w:r>
        <w:separator/>
      </w:r>
    </w:p>
  </w:endnote>
  <w:endnote w:type="continuationSeparator" w:id="0">
    <w:p w:rsidR="00130166" w:rsidRDefault="00130166" w:rsidP="00F3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pjnfqAdvTTb8864ccf.B">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166" w:rsidRDefault="00130166" w:rsidP="00F35DA3">
      <w:r>
        <w:separator/>
      </w:r>
    </w:p>
  </w:footnote>
  <w:footnote w:type="continuationSeparator" w:id="0">
    <w:p w:rsidR="00130166" w:rsidRDefault="00130166" w:rsidP="00F35D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A63C6F"/>
    <w:multiLevelType w:val="hybridMultilevel"/>
    <w:tmpl w:val="2B163F2E"/>
    <w:lvl w:ilvl="0" w:tplc="B94C4234">
      <w:start w:val="1"/>
      <w:numFmt w:val="decimal"/>
      <w:lvlText w:val="%1."/>
      <w:lvlJc w:val="left"/>
      <w:pPr>
        <w:ind w:left="360" w:hanging="360"/>
      </w:pPr>
      <w:rPr>
        <w:rFonts w:ascii="XpjnfqAdvTTb8864ccf.B" w:hAnsi="XpjnfqAdvTTb8864ccf.B" w:cs="XpjnfqAdvTTb8864ccf.B" w:hint="default"/>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5B0"/>
    <w:rsid w:val="00130166"/>
    <w:rsid w:val="00150E9D"/>
    <w:rsid w:val="00212F8F"/>
    <w:rsid w:val="004607F5"/>
    <w:rsid w:val="00553C58"/>
    <w:rsid w:val="005F015F"/>
    <w:rsid w:val="006F291B"/>
    <w:rsid w:val="006F41F2"/>
    <w:rsid w:val="00745853"/>
    <w:rsid w:val="007C25B0"/>
    <w:rsid w:val="008703E7"/>
    <w:rsid w:val="009B2002"/>
    <w:rsid w:val="00AB056B"/>
    <w:rsid w:val="00B130AB"/>
    <w:rsid w:val="00B77986"/>
    <w:rsid w:val="00B807E7"/>
    <w:rsid w:val="00CD0E9D"/>
    <w:rsid w:val="00CD6860"/>
    <w:rsid w:val="00DB2211"/>
    <w:rsid w:val="00DD4554"/>
    <w:rsid w:val="00F35DA3"/>
    <w:rsid w:val="00FC214C"/>
    <w:rsid w:val="00FD7869"/>
    <w:rsid w:val="00FF0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2E11DF-98D7-4FF8-94EC-FE40B7159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5D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35DA3"/>
    <w:rPr>
      <w:sz w:val="18"/>
      <w:szCs w:val="18"/>
    </w:rPr>
  </w:style>
  <w:style w:type="paragraph" w:styleId="a4">
    <w:name w:val="footer"/>
    <w:basedOn w:val="a"/>
    <w:link w:val="Char0"/>
    <w:uiPriority w:val="99"/>
    <w:unhideWhenUsed/>
    <w:rsid w:val="00F35DA3"/>
    <w:pPr>
      <w:tabs>
        <w:tab w:val="center" w:pos="4153"/>
        <w:tab w:val="right" w:pos="8306"/>
      </w:tabs>
      <w:snapToGrid w:val="0"/>
      <w:jc w:val="left"/>
    </w:pPr>
    <w:rPr>
      <w:sz w:val="18"/>
      <w:szCs w:val="18"/>
    </w:rPr>
  </w:style>
  <w:style w:type="character" w:customStyle="1" w:styleId="Char0">
    <w:name w:val="页脚 Char"/>
    <w:basedOn w:val="a0"/>
    <w:link w:val="a4"/>
    <w:uiPriority w:val="99"/>
    <w:rsid w:val="00F35DA3"/>
    <w:rPr>
      <w:sz w:val="18"/>
      <w:szCs w:val="18"/>
    </w:rPr>
  </w:style>
  <w:style w:type="paragraph" w:styleId="a5">
    <w:name w:val="List Paragraph"/>
    <w:basedOn w:val="a"/>
    <w:uiPriority w:val="34"/>
    <w:qFormat/>
    <w:rsid w:val="008703E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700</Words>
  <Characters>3993</Characters>
  <Application>Microsoft Office Word</Application>
  <DocSecurity>0</DocSecurity>
  <Lines>33</Lines>
  <Paragraphs>9</Paragraphs>
  <ScaleCrop>false</ScaleCrop>
  <Company/>
  <LinksUpToDate>false</LinksUpToDate>
  <CharactersWithSpaces>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15</cp:revision>
  <dcterms:created xsi:type="dcterms:W3CDTF">2019-10-20T11:36:00Z</dcterms:created>
  <dcterms:modified xsi:type="dcterms:W3CDTF">2020-04-04T03:05:00Z</dcterms:modified>
</cp:coreProperties>
</file>