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3D0" w:rsidRPr="00CE357A" w:rsidRDefault="009B03D0" w:rsidP="001C75A7">
      <w:pPr>
        <w:spacing w:line="480" w:lineRule="auto"/>
        <w:rPr>
          <w:b/>
          <w:sz w:val="22"/>
        </w:rPr>
      </w:pPr>
      <w:r w:rsidRPr="00CE357A">
        <w:rPr>
          <w:b/>
          <w:sz w:val="22"/>
        </w:rPr>
        <w:t xml:space="preserve">Annex </w:t>
      </w:r>
      <w:proofErr w:type="spellStart"/>
      <w:r w:rsidRPr="00CE357A">
        <w:rPr>
          <w:b/>
          <w:sz w:val="22"/>
        </w:rPr>
        <w:t>Process</w:t>
      </w:r>
      <w:proofErr w:type="spellEnd"/>
      <w:r w:rsidRPr="00CE357A">
        <w:rPr>
          <w:b/>
          <w:sz w:val="22"/>
        </w:rPr>
        <w:t xml:space="preserve"> </w:t>
      </w:r>
      <w:proofErr w:type="spellStart"/>
      <w:r w:rsidRPr="00CE357A">
        <w:rPr>
          <w:b/>
          <w:sz w:val="22"/>
        </w:rPr>
        <w:t>indicators</w:t>
      </w:r>
      <w:proofErr w:type="spellEnd"/>
    </w:p>
    <w:p w:rsidR="009B03D0" w:rsidRPr="00CE357A" w:rsidRDefault="009B03D0" w:rsidP="001C75A7">
      <w:pPr>
        <w:spacing w:line="480" w:lineRule="auto"/>
        <w:rPr>
          <w:b/>
          <w:sz w:val="22"/>
        </w:rPr>
      </w:pPr>
    </w:p>
    <w:p w:rsidR="009B03D0" w:rsidRPr="00CE357A" w:rsidRDefault="0035792D" w:rsidP="001C75A7">
      <w:pPr>
        <w:pStyle w:val="Listenabsatz"/>
        <w:numPr>
          <w:ilvl w:val="0"/>
          <w:numId w:val="3"/>
        </w:numPr>
        <w:rPr>
          <w:b/>
          <w:sz w:val="22"/>
          <w:szCs w:val="22"/>
          <w:lang w:val="en-US"/>
        </w:rPr>
      </w:pPr>
      <w:r w:rsidRPr="00CE357A">
        <w:rPr>
          <w:rFonts w:asciiTheme="minorHAnsi" w:hAnsiTheme="minorHAnsi" w:cstheme="minorHAnsi"/>
          <w:b/>
          <w:sz w:val="22"/>
          <w:szCs w:val="22"/>
          <w:lang w:val="en-US"/>
        </w:rPr>
        <w:t>Continuous p</w:t>
      </w:r>
      <w:r w:rsidR="009B03D0" w:rsidRPr="00CE357A">
        <w:rPr>
          <w:rFonts w:asciiTheme="minorHAnsi" w:hAnsiTheme="minorHAnsi" w:cstheme="minorHAnsi"/>
          <w:b/>
          <w:sz w:val="22"/>
          <w:szCs w:val="22"/>
          <w:lang w:val="en-US"/>
        </w:rPr>
        <w:t xml:space="preserve">rocess indicators </w:t>
      </w:r>
      <w:r w:rsidRPr="00CE357A">
        <w:rPr>
          <w:rFonts w:asciiTheme="minorHAnsi" w:hAnsiTheme="minorHAnsi" w:cstheme="minorHAnsi"/>
          <w:b/>
          <w:sz w:val="22"/>
          <w:szCs w:val="22"/>
          <w:lang w:val="en-US"/>
        </w:rPr>
        <w:t>(</w:t>
      </w:r>
      <w:r w:rsidR="009B03D0" w:rsidRPr="00CE357A">
        <w:rPr>
          <w:rFonts w:asciiTheme="minorHAnsi" w:hAnsiTheme="minorHAnsi" w:cstheme="minorHAnsi"/>
          <w:b/>
          <w:sz w:val="22"/>
          <w:szCs w:val="22"/>
          <w:lang w:val="en-US"/>
        </w:rPr>
        <w:t>collected o</w:t>
      </w:r>
      <w:r w:rsidRPr="00CE357A">
        <w:rPr>
          <w:rFonts w:asciiTheme="minorHAnsi" w:hAnsiTheme="minorHAnsi" w:cstheme="minorHAnsi"/>
          <w:b/>
          <w:sz w:val="22"/>
          <w:szCs w:val="22"/>
          <w:lang w:val="en-US"/>
        </w:rPr>
        <w:t>n department level in total patient population</w:t>
      </w:r>
      <w:r w:rsidR="009B03D0" w:rsidRPr="00CE357A">
        <w:rPr>
          <w:rFonts w:asciiTheme="minorHAnsi" w:hAnsiTheme="minorHAnsi" w:cstheme="minorHAnsi"/>
          <w:b/>
          <w:sz w:val="22"/>
          <w:szCs w:val="22"/>
          <w:lang w:val="en-US"/>
        </w:rPr>
        <w:t>)</w:t>
      </w:r>
    </w:p>
    <w:p w:rsidR="009B03D0" w:rsidRPr="00CE357A" w:rsidRDefault="009B03D0" w:rsidP="001C75A7">
      <w:pPr>
        <w:spacing w:line="480" w:lineRule="auto"/>
        <w:rPr>
          <w:sz w:val="22"/>
          <w:lang w:val="en-GB"/>
        </w:rPr>
      </w:pPr>
    </w:p>
    <w:p w:rsidR="009B03D0" w:rsidRPr="00CE357A" w:rsidRDefault="009B03D0" w:rsidP="001C75A7">
      <w:pPr>
        <w:pStyle w:val="Listenabsatz"/>
        <w:ind w:left="720"/>
        <w:rPr>
          <w:rFonts w:asciiTheme="minorHAnsi" w:hAnsiTheme="minorHAnsi" w:cstheme="minorHAnsi"/>
          <w:color w:val="auto"/>
          <w:sz w:val="22"/>
          <w:szCs w:val="22"/>
        </w:rPr>
      </w:pPr>
      <w:r w:rsidRPr="00CE357A">
        <w:rPr>
          <w:rFonts w:asciiTheme="minorHAnsi" w:hAnsiTheme="minorHAnsi" w:cstheme="minorHAnsi"/>
          <w:b/>
          <w:color w:val="auto"/>
          <w:sz w:val="22"/>
          <w:szCs w:val="22"/>
        </w:rPr>
        <w:t>Oral care</w:t>
      </w:r>
      <w:r w:rsidRPr="00CE357A">
        <w:rPr>
          <w:rFonts w:asciiTheme="minorHAnsi" w:hAnsiTheme="minorHAnsi" w:cstheme="minorHAnsi"/>
          <w:color w:val="auto"/>
          <w:sz w:val="22"/>
          <w:szCs w:val="22"/>
        </w:rPr>
        <w:t>. Documented nurse-assisted executions of oral care per 1000 patient days.</w:t>
      </w:r>
    </w:p>
    <w:p w:rsidR="009B03D0" w:rsidRPr="00CE357A" w:rsidRDefault="0006453D" w:rsidP="001C75A7">
      <w:pPr>
        <w:pStyle w:val="Listenabsatz"/>
        <w:ind w:left="720"/>
        <w:rPr>
          <w:rFonts w:asciiTheme="minorHAnsi" w:hAnsiTheme="minorHAnsi" w:cstheme="minorHAnsi"/>
          <w:color w:val="auto"/>
          <w:sz w:val="22"/>
          <w:szCs w:val="22"/>
        </w:rPr>
      </w:pPr>
      <w:r w:rsidRPr="00CE357A">
        <w:rPr>
          <w:rFonts w:asciiTheme="minorHAnsi" w:hAnsiTheme="minorHAnsi" w:cstheme="minorHAnsi"/>
          <w:b/>
          <w:color w:val="auto"/>
          <w:sz w:val="22"/>
          <w:szCs w:val="22"/>
        </w:rPr>
        <w:t>Prevention of dysphagia-related aspiration</w:t>
      </w:r>
      <w:r w:rsidR="009B03D0" w:rsidRPr="00CE357A">
        <w:rPr>
          <w:rFonts w:asciiTheme="minorHAnsi" w:hAnsiTheme="minorHAnsi" w:cstheme="minorHAnsi"/>
          <w:color w:val="auto"/>
          <w:sz w:val="22"/>
          <w:szCs w:val="22"/>
        </w:rPr>
        <w:t xml:space="preserve">. Execution of MSA dysphagia screening per </w:t>
      </w:r>
      <w:r w:rsidR="00B70018" w:rsidRPr="00CE357A">
        <w:rPr>
          <w:rFonts w:asciiTheme="minorHAnsi" w:hAnsiTheme="minorHAnsi" w:cstheme="minorHAnsi"/>
          <w:color w:val="auto"/>
          <w:sz w:val="22"/>
          <w:szCs w:val="22"/>
        </w:rPr>
        <w:t>1000 patient days.</w:t>
      </w:r>
    </w:p>
    <w:p w:rsidR="009B03D0" w:rsidRPr="00CE357A" w:rsidRDefault="009B03D0" w:rsidP="001C75A7">
      <w:pPr>
        <w:pStyle w:val="Listenabsatz"/>
        <w:ind w:left="720"/>
        <w:rPr>
          <w:rFonts w:asciiTheme="minorHAnsi" w:hAnsiTheme="minorHAnsi" w:cstheme="minorHAnsi"/>
          <w:color w:val="auto"/>
          <w:sz w:val="22"/>
          <w:szCs w:val="22"/>
        </w:rPr>
      </w:pPr>
      <w:r w:rsidRPr="00CE357A">
        <w:rPr>
          <w:rFonts w:asciiTheme="minorHAnsi" w:hAnsiTheme="minorHAnsi" w:cstheme="minorHAnsi"/>
          <w:b/>
          <w:color w:val="auto"/>
          <w:sz w:val="22"/>
          <w:szCs w:val="22"/>
        </w:rPr>
        <w:t>Mobilization</w:t>
      </w:r>
      <w:r w:rsidRPr="00CE357A">
        <w:rPr>
          <w:rFonts w:asciiTheme="minorHAnsi" w:hAnsiTheme="minorHAnsi" w:cstheme="minorHAnsi"/>
          <w:color w:val="auto"/>
          <w:sz w:val="22"/>
          <w:szCs w:val="22"/>
        </w:rPr>
        <w:t>. Documented nurse-assisted mobilizations per 1000 patient days and physiotherapy sessions per 1000 patient days.</w:t>
      </w:r>
    </w:p>
    <w:p w:rsidR="009B03D0" w:rsidRPr="00CE357A" w:rsidRDefault="009B03D0" w:rsidP="001C75A7">
      <w:pPr>
        <w:pStyle w:val="Listenabsatz"/>
        <w:ind w:left="720"/>
        <w:rPr>
          <w:rFonts w:asciiTheme="minorHAnsi" w:hAnsiTheme="minorHAnsi" w:cstheme="minorHAnsi"/>
          <w:color w:val="auto"/>
          <w:sz w:val="22"/>
          <w:szCs w:val="22"/>
        </w:rPr>
      </w:pPr>
      <w:r w:rsidRPr="00CE357A">
        <w:rPr>
          <w:rFonts w:asciiTheme="minorHAnsi" w:hAnsiTheme="minorHAnsi" w:cstheme="minorHAnsi"/>
          <w:b/>
          <w:color w:val="auto"/>
          <w:sz w:val="22"/>
          <w:szCs w:val="22"/>
        </w:rPr>
        <w:t>Stopping PPI and antacids if not indicated</w:t>
      </w:r>
      <w:r w:rsidRPr="00CE357A">
        <w:rPr>
          <w:rFonts w:asciiTheme="minorHAnsi" w:hAnsiTheme="minorHAnsi" w:cstheme="minorHAnsi"/>
          <w:color w:val="auto"/>
          <w:sz w:val="22"/>
          <w:szCs w:val="22"/>
        </w:rPr>
        <w:t>. Consumption of ‘Drugs for Acid related disorders’ (ATC group A02) according to the WHO Anatomical Therapeutic Chemical (ATC) and its subgroups ‘Antacids’ (ATC group A02a) and ‘Drugs for peptic ulcer and gastro-oesophageal reflux disease’ (ATC group A02b) per 1000 patient days.</w:t>
      </w:r>
    </w:p>
    <w:p w:rsidR="009B03D0" w:rsidRPr="00CE357A" w:rsidRDefault="009B03D0" w:rsidP="001C75A7">
      <w:pPr>
        <w:pStyle w:val="Listenabsatz"/>
        <w:ind w:left="720"/>
        <w:rPr>
          <w:rFonts w:asciiTheme="minorHAnsi" w:hAnsiTheme="minorHAnsi" w:cstheme="minorHAnsi"/>
          <w:color w:val="auto"/>
          <w:sz w:val="22"/>
          <w:szCs w:val="22"/>
        </w:rPr>
      </w:pPr>
      <w:r w:rsidRPr="00CE357A">
        <w:rPr>
          <w:rFonts w:asciiTheme="minorHAnsi" w:hAnsiTheme="minorHAnsi" w:cstheme="minorHAnsi"/>
          <w:b/>
          <w:color w:val="auto"/>
          <w:sz w:val="22"/>
          <w:szCs w:val="22"/>
        </w:rPr>
        <w:t>Respiratory therapy</w:t>
      </w:r>
      <w:r w:rsidRPr="00CE357A">
        <w:rPr>
          <w:rFonts w:asciiTheme="minorHAnsi" w:hAnsiTheme="minorHAnsi" w:cstheme="minorHAnsi"/>
          <w:color w:val="auto"/>
          <w:sz w:val="22"/>
          <w:szCs w:val="22"/>
        </w:rPr>
        <w:t xml:space="preserve">. Physiotherapy sessions per 1000 patient days and use of </w:t>
      </w:r>
      <w:proofErr w:type="spellStart"/>
      <w:r w:rsidRPr="00CE357A">
        <w:rPr>
          <w:rFonts w:asciiTheme="minorHAnsi" w:hAnsiTheme="minorHAnsi" w:cstheme="minorHAnsi"/>
          <w:color w:val="auto"/>
          <w:sz w:val="22"/>
          <w:szCs w:val="22"/>
        </w:rPr>
        <w:t>EzPAP</w:t>
      </w:r>
      <w:proofErr w:type="spellEnd"/>
      <w:r w:rsidRPr="00CE357A">
        <w:rPr>
          <w:rFonts w:asciiTheme="minorHAnsi" w:hAnsiTheme="minorHAnsi" w:cstheme="minorHAnsi"/>
          <w:color w:val="auto"/>
          <w:sz w:val="22"/>
          <w:szCs w:val="22"/>
        </w:rPr>
        <w:t>® (Positive Airway Pressure System) per 1000 patient days.</w:t>
      </w:r>
    </w:p>
    <w:p w:rsidR="00C57F87" w:rsidRPr="00CE357A" w:rsidRDefault="00C57F87" w:rsidP="001C75A7">
      <w:pPr>
        <w:pStyle w:val="Listenabsatz"/>
        <w:ind w:left="720"/>
        <w:rPr>
          <w:rFonts w:asciiTheme="minorHAnsi" w:hAnsiTheme="minorHAnsi" w:cstheme="minorHAnsi"/>
          <w:color w:val="auto"/>
          <w:sz w:val="22"/>
          <w:szCs w:val="22"/>
        </w:rPr>
      </w:pPr>
    </w:p>
    <w:p w:rsidR="001C75A7" w:rsidRPr="00CE357A" w:rsidRDefault="001C75A7" w:rsidP="001C75A7">
      <w:pPr>
        <w:pStyle w:val="Listenabsatz"/>
        <w:ind w:left="720"/>
        <w:rPr>
          <w:rFonts w:asciiTheme="minorHAnsi" w:hAnsiTheme="minorHAnsi" w:cstheme="minorHAnsi"/>
          <w:color w:val="auto"/>
          <w:sz w:val="22"/>
          <w:szCs w:val="22"/>
        </w:rPr>
      </w:pPr>
    </w:p>
    <w:p w:rsidR="00C57F87" w:rsidRPr="00CE357A" w:rsidRDefault="0035792D" w:rsidP="001C75A7">
      <w:pPr>
        <w:pStyle w:val="Listenabsatz"/>
        <w:numPr>
          <w:ilvl w:val="0"/>
          <w:numId w:val="3"/>
        </w:numPr>
        <w:rPr>
          <w:b/>
          <w:sz w:val="22"/>
        </w:rPr>
      </w:pPr>
      <w:r w:rsidRPr="00CE357A">
        <w:rPr>
          <w:b/>
          <w:sz w:val="22"/>
        </w:rPr>
        <w:t>Intermittent p</w:t>
      </w:r>
      <w:r w:rsidR="00C57F87" w:rsidRPr="00CE357A">
        <w:rPr>
          <w:b/>
          <w:sz w:val="22"/>
        </w:rPr>
        <w:t xml:space="preserve">rocess indicators </w:t>
      </w:r>
      <w:r w:rsidRPr="00CE357A">
        <w:rPr>
          <w:b/>
          <w:sz w:val="22"/>
        </w:rPr>
        <w:t>(</w:t>
      </w:r>
      <w:r w:rsidR="00C57F87" w:rsidRPr="00CE357A">
        <w:rPr>
          <w:b/>
          <w:sz w:val="22"/>
        </w:rPr>
        <w:t xml:space="preserve">collected on </w:t>
      </w:r>
      <w:r w:rsidRPr="00CE357A">
        <w:rPr>
          <w:b/>
          <w:sz w:val="22"/>
        </w:rPr>
        <w:t>a sample basis at four different time points per department)</w:t>
      </w:r>
    </w:p>
    <w:p w:rsidR="001C75A7" w:rsidRPr="00CE357A" w:rsidRDefault="001C75A7" w:rsidP="001C75A7">
      <w:pPr>
        <w:spacing w:line="480" w:lineRule="auto"/>
        <w:ind w:left="360"/>
        <w:rPr>
          <w:rFonts w:asciiTheme="minorHAnsi" w:hAnsiTheme="minorHAnsi" w:cstheme="minorHAnsi"/>
          <w:sz w:val="22"/>
          <w:lang w:val="en-US"/>
        </w:rPr>
      </w:pPr>
      <w:r w:rsidRPr="00CE357A">
        <w:rPr>
          <w:rFonts w:asciiTheme="minorHAnsi" w:hAnsiTheme="minorHAnsi" w:cstheme="minorHAnsi"/>
          <w:b/>
          <w:sz w:val="22"/>
          <w:lang w:val="en-US"/>
        </w:rPr>
        <w:t>Oral care</w:t>
      </w:r>
      <w:r w:rsidRPr="00CE357A">
        <w:rPr>
          <w:rFonts w:asciiTheme="minorHAnsi" w:hAnsiTheme="minorHAnsi" w:cstheme="minorHAnsi"/>
          <w:sz w:val="22"/>
          <w:lang w:val="en-US"/>
        </w:rPr>
        <w:t>. Data collection happens for the preceding day. The EMR is consulted for documented mechanical oral care (i.e. tooth brushing) either provided by nurses or executed by the patient himself. The presence of dysphagia is assessed. If necessary, the patient is visited and questioned about oral care. Adherence to ‘oral care’ is considered accomplished if a patient not suffering from dysphagia had at least one oral care episode, or a patient suffering from dysphagia had three oral care episodes.</w:t>
      </w:r>
    </w:p>
    <w:p w:rsidR="001C75A7" w:rsidRPr="00CE357A" w:rsidRDefault="0006453D" w:rsidP="001C75A7">
      <w:pPr>
        <w:spacing w:line="480" w:lineRule="auto"/>
        <w:ind w:left="360"/>
        <w:rPr>
          <w:rFonts w:asciiTheme="minorHAnsi" w:hAnsiTheme="minorHAnsi" w:cstheme="minorHAnsi"/>
          <w:sz w:val="22"/>
          <w:lang w:val="en-US"/>
        </w:rPr>
      </w:pPr>
      <w:r w:rsidRPr="00CE357A">
        <w:rPr>
          <w:rFonts w:asciiTheme="minorHAnsi" w:hAnsiTheme="minorHAnsi" w:cstheme="minorHAnsi"/>
          <w:b/>
          <w:sz w:val="22"/>
          <w:lang w:val="en-US"/>
        </w:rPr>
        <w:lastRenderedPageBreak/>
        <w:t>Prevention of dysphagia-related aspiration</w:t>
      </w:r>
      <w:r w:rsidR="001C75A7" w:rsidRPr="00CE357A">
        <w:rPr>
          <w:rFonts w:asciiTheme="minorHAnsi" w:hAnsiTheme="minorHAnsi" w:cstheme="minorHAnsi"/>
          <w:sz w:val="22"/>
          <w:lang w:val="en-US"/>
        </w:rPr>
        <w:t xml:space="preserve">. Data collection happens after patient discharge overseeing the total hospital stay. The EMR is assessed for appointments with </w:t>
      </w:r>
      <w:proofErr w:type="spellStart"/>
      <w:r w:rsidR="001C75A7" w:rsidRPr="00CE357A">
        <w:rPr>
          <w:rFonts w:asciiTheme="minorHAnsi" w:hAnsiTheme="minorHAnsi" w:cstheme="minorHAnsi"/>
          <w:sz w:val="22"/>
          <w:lang w:val="en-US"/>
        </w:rPr>
        <w:t>facio</w:t>
      </w:r>
      <w:proofErr w:type="spellEnd"/>
      <w:r w:rsidR="001C75A7" w:rsidRPr="00CE357A">
        <w:rPr>
          <w:rFonts w:asciiTheme="minorHAnsi" w:hAnsiTheme="minorHAnsi" w:cstheme="minorHAnsi"/>
          <w:sz w:val="22"/>
          <w:lang w:val="en-US"/>
        </w:rPr>
        <w:t xml:space="preserve">-oral tract therapist or a speech therapist, and predefined medical indications for screening for dysphagia (i.e. need for assisted oral care, neurological or neuromuscular disease, or thoracic, cardiac, and </w:t>
      </w:r>
      <w:proofErr w:type="spellStart"/>
      <w:r w:rsidR="001C75A7" w:rsidRPr="00CE357A">
        <w:rPr>
          <w:rFonts w:asciiTheme="minorHAnsi" w:hAnsiTheme="minorHAnsi" w:cstheme="minorHAnsi"/>
          <w:sz w:val="22"/>
          <w:lang w:val="en-US"/>
        </w:rPr>
        <w:t>facio</w:t>
      </w:r>
      <w:proofErr w:type="spellEnd"/>
      <w:r w:rsidR="001C75A7" w:rsidRPr="00CE357A">
        <w:rPr>
          <w:rFonts w:asciiTheme="minorHAnsi" w:hAnsiTheme="minorHAnsi" w:cstheme="minorHAnsi"/>
          <w:sz w:val="22"/>
          <w:lang w:val="en-US"/>
        </w:rPr>
        <w:t xml:space="preserve">-oral surgery). Execution and result of MSA screening for dysphagia, and the prescribed diet until screening is recorded. Adherence to this bundle element is considered accomplished if the patient either had no indication for screening, had dysphagia screening, or had an appointment with </w:t>
      </w:r>
      <w:proofErr w:type="spellStart"/>
      <w:r w:rsidR="001C75A7" w:rsidRPr="00CE357A">
        <w:rPr>
          <w:rFonts w:asciiTheme="minorHAnsi" w:hAnsiTheme="minorHAnsi" w:cstheme="minorHAnsi"/>
          <w:sz w:val="22"/>
          <w:lang w:val="en-US"/>
        </w:rPr>
        <w:t>facio</w:t>
      </w:r>
      <w:proofErr w:type="spellEnd"/>
      <w:r w:rsidR="001C75A7" w:rsidRPr="00CE357A">
        <w:rPr>
          <w:rFonts w:asciiTheme="minorHAnsi" w:hAnsiTheme="minorHAnsi" w:cstheme="minorHAnsi"/>
          <w:sz w:val="22"/>
          <w:lang w:val="en-US"/>
        </w:rPr>
        <w:t xml:space="preserve">-oral tract therapist or a speech therapist. In patients ‘at risk for aspiration’ the prescribed diet from dysphagia screening to consultation with </w:t>
      </w:r>
      <w:proofErr w:type="spellStart"/>
      <w:r w:rsidR="001C75A7" w:rsidRPr="00CE357A">
        <w:rPr>
          <w:rFonts w:asciiTheme="minorHAnsi" w:hAnsiTheme="minorHAnsi" w:cstheme="minorHAnsi"/>
          <w:sz w:val="22"/>
          <w:lang w:val="en-US"/>
        </w:rPr>
        <w:t>facio</w:t>
      </w:r>
      <w:proofErr w:type="spellEnd"/>
      <w:r w:rsidR="001C75A7" w:rsidRPr="00CE357A">
        <w:rPr>
          <w:rFonts w:asciiTheme="minorHAnsi" w:hAnsiTheme="minorHAnsi" w:cstheme="minorHAnsi"/>
          <w:sz w:val="22"/>
          <w:lang w:val="en-US"/>
        </w:rPr>
        <w:t xml:space="preserve">-oral tract therapist or a speech therapist has to be either ‘nil per </w:t>
      </w:r>
      <w:proofErr w:type="spellStart"/>
      <w:r w:rsidR="001C75A7" w:rsidRPr="00CE357A">
        <w:rPr>
          <w:rFonts w:asciiTheme="minorHAnsi" w:hAnsiTheme="minorHAnsi" w:cstheme="minorHAnsi"/>
          <w:sz w:val="22"/>
          <w:lang w:val="en-US"/>
        </w:rPr>
        <w:t>os’</w:t>
      </w:r>
      <w:proofErr w:type="spellEnd"/>
      <w:r w:rsidR="001C75A7" w:rsidRPr="00CE357A">
        <w:rPr>
          <w:rFonts w:asciiTheme="minorHAnsi" w:hAnsiTheme="minorHAnsi" w:cstheme="minorHAnsi"/>
          <w:sz w:val="22"/>
          <w:lang w:val="en-US"/>
        </w:rPr>
        <w:t xml:space="preserve"> or texture modified.</w:t>
      </w:r>
    </w:p>
    <w:p w:rsidR="001C75A7" w:rsidRPr="00CE357A" w:rsidRDefault="001C75A7" w:rsidP="001C75A7">
      <w:pPr>
        <w:spacing w:line="480" w:lineRule="auto"/>
        <w:ind w:left="360"/>
        <w:rPr>
          <w:rFonts w:asciiTheme="minorHAnsi" w:hAnsiTheme="minorHAnsi" w:cstheme="minorHAnsi"/>
          <w:sz w:val="22"/>
          <w:lang w:val="en-US"/>
        </w:rPr>
      </w:pPr>
      <w:r w:rsidRPr="00CE357A">
        <w:rPr>
          <w:rFonts w:asciiTheme="minorHAnsi" w:hAnsiTheme="minorHAnsi" w:cstheme="minorHAnsi"/>
          <w:b/>
          <w:sz w:val="22"/>
          <w:lang w:val="en-US"/>
        </w:rPr>
        <w:t>Mobilization</w:t>
      </w:r>
      <w:r w:rsidRPr="00CE357A">
        <w:rPr>
          <w:rFonts w:asciiTheme="minorHAnsi" w:hAnsiTheme="minorHAnsi" w:cstheme="minorHAnsi"/>
          <w:sz w:val="22"/>
          <w:lang w:val="en-US"/>
        </w:rPr>
        <w:t>. Data collection happens for the preceding day. The EMR is screened for documented mobilization either provided by nurses/physiotherapists, or by the patient himself. The presence of surgical procedure at the preceding day, contraindications for mobilization, and a daily assessed nursing score about activity level of the patient (</w:t>
      </w:r>
      <w:proofErr w:type="spellStart"/>
      <w:r w:rsidRPr="00CE357A">
        <w:rPr>
          <w:rFonts w:asciiTheme="minorHAnsi" w:hAnsiTheme="minorHAnsi" w:cstheme="minorHAnsi"/>
          <w:sz w:val="22"/>
          <w:lang w:val="en-US"/>
        </w:rPr>
        <w:t>ePA</w:t>
      </w:r>
      <w:proofErr w:type="spellEnd"/>
      <w:r w:rsidRPr="00CE357A">
        <w:rPr>
          <w:rFonts w:asciiTheme="minorHAnsi" w:hAnsiTheme="minorHAnsi" w:cstheme="minorHAnsi"/>
          <w:sz w:val="22"/>
          <w:lang w:val="en-US"/>
        </w:rPr>
        <w:t>-AC, ‘</w:t>
      </w:r>
      <w:proofErr w:type="spellStart"/>
      <w:r w:rsidRPr="00CE357A">
        <w:rPr>
          <w:rFonts w:asciiTheme="minorHAnsi" w:hAnsiTheme="minorHAnsi" w:cstheme="minorHAnsi"/>
          <w:sz w:val="22"/>
          <w:lang w:val="en-US"/>
        </w:rPr>
        <w:t>ergebnisorientierte</w:t>
      </w:r>
      <w:proofErr w:type="spellEnd"/>
      <w:r w:rsidRPr="00CE357A">
        <w:rPr>
          <w:rFonts w:asciiTheme="minorHAnsi" w:hAnsiTheme="minorHAnsi" w:cstheme="minorHAnsi"/>
          <w:sz w:val="22"/>
          <w:lang w:val="en-US"/>
        </w:rPr>
        <w:t xml:space="preserve"> </w:t>
      </w:r>
      <w:proofErr w:type="spellStart"/>
      <w:r w:rsidRPr="00CE357A">
        <w:rPr>
          <w:rFonts w:asciiTheme="minorHAnsi" w:hAnsiTheme="minorHAnsi" w:cstheme="minorHAnsi"/>
          <w:sz w:val="22"/>
          <w:lang w:val="en-US"/>
        </w:rPr>
        <w:t>PflegeAssessment</w:t>
      </w:r>
      <w:proofErr w:type="spellEnd"/>
      <w:r w:rsidRPr="00CE357A">
        <w:rPr>
          <w:rFonts w:asciiTheme="minorHAnsi" w:hAnsiTheme="minorHAnsi" w:cstheme="minorHAnsi"/>
          <w:sz w:val="22"/>
          <w:lang w:val="en-US"/>
        </w:rPr>
        <w:t xml:space="preserve"> in acute care’, in English, ‘performance-orientated nursing assessment in acute care’) are recorded. If necessary, the patient is visited and questioned about mobilization during the preceding day. Adherence to ‘mobilization’ is considered accomplished if the patient had mobilization at least once at the day of surgery, twice at every other day, had a normal activity level, or had contraindications for mobilization. </w:t>
      </w:r>
    </w:p>
    <w:p w:rsidR="001C75A7" w:rsidRPr="00CE357A" w:rsidRDefault="001C75A7" w:rsidP="001C75A7">
      <w:pPr>
        <w:spacing w:line="480" w:lineRule="auto"/>
        <w:ind w:left="360"/>
        <w:rPr>
          <w:rFonts w:asciiTheme="minorHAnsi" w:hAnsiTheme="minorHAnsi" w:cstheme="minorHAnsi"/>
          <w:sz w:val="22"/>
          <w:lang w:val="en-US"/>
        </w:rPr>
      </w:pPr>
      <w:r w:rsidRPr="00CE357A">
        <w:rPr>
          <w:rFonts w:asciiTheme="minorHAnsi" w:hAnsiTheme="minorHAnsi" w:cstheme="minorHAnsi"/>
          <w:b/>
          <w:sz w:val="22"/>
          <w:lang w:val="en-US"/>
        </w:rPr>
        <w:t>Stopping PPI and antacids if not indicated</w:t>
      </w:r>
      <w:r w:rsidRPr="00CE357A">
        <w:rPr>
          <w:rFonts w:asciiTheme="minorHAnsi" w:hAnsiTheme="minorHAnsi" w:cstheme="minorHAnsi"/>
          <w:sz w:val="22"/>
          <w:lang w:val="en-US"/>
        </w:rPr>
        <w:t xml:space="preserve">. Data collection happens after patient discharge overseeing the total hospital stay. The EMR is consulted to assess if patient had PPI or antacids (according to the WHO Anatomical Therapeutic Chemical (ATC), ‘Drugs for Acid related disorders’, code A02) during his stay, if </w:t>
      </w:r>
      <w:r w:rsidR="00F15BFD" w:rsidRPr="00CE357A">
        <w:rPr>
          <w:rFonts w:asciiTheme="minorHAnsi" w:hAnsiTheme="minorHAnsi" w:cstheme="minorHAnsi"/>
          <w:sz w:val="22"/>
          <w:lang w:val="en-US"/>
        </w:rPr>
        <w:t>an</w:t>
      </w:r>
      <w:r w:rsidRPr="00CE357A">
        <w:rPr>
          <w:rFonts w:asciiTheme="minorHAnsi" w:hAnsiTheme="minorHAnsi" w:cstheme="minorHAnsi"/>
          <w:sz w:val="22"/>
          <w:lang w:val="en-US"/>
        </w:rPr>
        <w:t xml:space="preserve"> indication fo</w:t>
      </w:r>
      <w:r w:rsidR="00F15BFD" w:rsidRPr="00CE357A">
        <w:rPr>
          <w:rFonts w:asciiTheme="minorHAnsi" w:hAnsiTheme="minorHAnsi" w:cstheme="minorHAnsi"/>
          <w:sz w:val="22"/>
          <w:lang w:val="en-US"/>
        </w:rPr>
        <w:t>r the medication was documented</w:t>
      </w:r>
      <w:r w:rsidRPr="00CE357A">
        <w:rPr>
          <w:rFonts w:asciiTheme="minorHAnsi" w:hAnsiTheme="minorHAnsi" w:cstheme="minorHAnsi"/>
          <w:sz w:val="22"/>
          <w:lang w:val="en-US"/>
        </w:rPr>
        <w:t xml:space="preserve">, and if the PPI/antacids were stopped during hospital stay. Adherence to ‘Stopping PPI and antacids if not indicated’ is considered accomplished if </w:t>
      </w:r>
      <w:r w:rsidRPr="00CE357A">
        <w:rPr>
          <w:rFonts w:asciiTheme="minorHAnsi" w:hAnsiTheme="minorHAnsi" w:cstheme="minorHAnsi"/>
          <w:sz w:val="22"/>
          <w:lang w:val="en-US"/>
        </w:rPr>
        <w:lastRenderedPageBreak/>
        <w:t xml:space="preserve">the patient either never had PPI/antacid, PPI/antacid were stopped during hospital stay, or if there </w:t>
      </w:r>
      <w:r w:rsidR="00685DFC" w:rsidRPr="00CE357A">
        <w:rPr>
          <w:rFonts w:asciiTheme="minorHAnsi" w:hAnsiTheme="minorHAnsi" w:cstheme="minorHAnsi"/>
          <w:sz w:val="22"/>
          <w:lang w:val="en-US"/>
        </w:rPr>
        <w:t xml:space="preserve">was </w:t>
      </w:r>
      <w:r w:rsidR="00F15BFD" w:rsidRPr="00CE357A">
        <w:rPr>
          <w:rFonts w:asciiTheme="minorHAnsi" w:hAnsiTheme="minorHAnsi" w:cstheme="minorHAnsi"/>
          <w:sz w:val="22"/>
          <w:lang w:val="en-US"/>
        </w:rPr>
        <w:t>an</w:t>
      </w:r>
      <w:r w:rsidRPr="00CE357A">
        <w:rPr>
          <w:rFonts w:asciiTheme="minorHAnsi" w:hAnsiTheme="minorHAnsi" w:cstheme="minorHAnsi"/>
          <w:sz w:val="22"/>
          <w:lang w:val="en-US"/>
        </w:rPr>
        <w:t xml:space="preserve"> indication for PPI/antacid.</w:t>
      </w:r>
    </w:p>
    <w:p w:rsidR="001C75A7" w:rsidRPr="00F15BFD" w:rsidRDefault="001C75A7" w:rsidP="001C75A7">
      <w:pPr>
        <w:spacing w:line="480" w:lineRule="auto"/>
        <w:ind w:left="360"/>
        <w:rPr>
          <w:rFonts w:asciiTheme="minorHAnsi" w:hAnsiTheme="minorHAnsi" w:cstheme="minorHAnsi"/>
          <w:sz w:val="22"/>
          <w:lang w:val="en-US"/>
        </w:rPr>
      </w:pPr>
      <w:r w:rsidRPr="00CE357A">
        <w:rPr>
          <w:rFonts w:asciiTheme="minorHAnsi" w:hAnsiTheme="minorHAnsi" w:cstheme="minorHAnsi"/>
          <w:b/>
          <w:sz w:val="22"/>
          <w:lang w:val="en-US"/>
        </w:rPr>
        <w:t>Respiratory therapy</w:t>
      </w:r>
      <w:r w:rsidRPr="00CE357A">
        <w:rPr>
          <w:rFonts w:asciiTheme="minorHAnsi" w:hAnsiTheme="minorHAnsi" w:cstheme="minorHAnsi"/>
          <w:sz w:val="22"/>
          <w:lang w:val="en-US"/>
        </w:rPr>
        <w:t>. Data collection happens after patient discharge overseeing the total hospital stay. The EMR is screened for the medical indications for respiratory therapy (i.e. presence of chronic pulmonary disease, abdominal or thoracic surgery or injury, oxygen saturation &lt;93% with oxygen supply of &gt;3l/min) and the execution of physiotherapy. Adherence to ‘Respiratory therapy’ is considered accomplished if the patient either had physiotherapy (in the UHZ respiratory therapy is performed by physiotherapists) or did not have an indication for respiratory therapy.</w:t>
      </w:r>
      <w:bookmarkStart w:id="0" w:name="_GoBack"/>
      <w:bookmarkEnd w:id="0"/>
    </w:p>
    <w:p w:rsidR="009B03D0" w:rsidRPr="00C57F87" w:rsidRDefault="009B03D0" w:rsidP="001C75A7">
      <w:pPr>
        <w:spacing w:line="480" w:lineRule="auto"/>
        <w:rPr>
          <w:sz w:val="22"/>
          <w:lang w:val="en-GB"/>
        </w:rPr>
      </w:pPr>
    </w:p>
    <w:sectPr w:rsidR="009B03D0" w:rsidRPr="00C57F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346C8"/>
    <w:multiLevelType w:val="multilevel"/>
    <w:tmpl w:val="48DEE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3133"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6D029F4"/>
    <w:multiLevelType w:val="multilevel"/>
    <w:tmpl w:val="4C222C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256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823114B"/>
    <w:multiLevelType w:val="hybridMultilevel"/>
    <w:tmpl w:val="12B8A258"/>
    <w:lvl w:ilvl="0" w:tplc="0F302300">
      <w:start w:val="1"/>
      <w:numFmt w:val="decimal"/>
      <w:lvlText w:val="%1."/>
      <w:lvlJc w:val="left"/>
      <w:pPr>
        <w:ind w:left="720" w:hanging="360"/>
      </w:pPr>
      <w:rPr>
        <w:rFonts w:asciiTheme="minorHAnsi" w:hAnsiTheme="minorHAnsi" w:cstheme="minorHAnsi"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3D0"/>
    <w:rsid w:val="00043FC3"/>
    <w:rsid w:val="0006453D"/>
    <w:rsid w:val="001C75A7"/>
    <w:rsid w:val="0035792D"/>
    <w:rsid w:val="00685DFC"/>
    <w:rsid w:val="007F078A"/>
    <w:rsid w:val="009B03D0"/>
    <w:rsid w:val="00A5659B"/>
    <w:rsid w:val="00B70018"/>
    <w:rsid w:val="00BF1F82"/>
    <w:rsid w:val="00C57F87"/>
    <w:rsid w:val="00CE357A"/>
    <w:rsid w:val="00E171CB"/>
    <w:rsid w:val="00F15B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A28F0-F283-4DC3-8E08-94685298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43FC3"/>
    <w:rPr>
      <w:rFonts w:ascii="Arial" w:hAnsi="Arial"/>
      <w:sz w:val="20"/>
    </w:rPr>
  </w:style>
  <w:style w:type="paragraph" w:styleId="berschrift1">
    <w:name w:val="heading 1"/>
    <w:basedOn w:val="Standard"/>
    <w:next w:val="Standard"/>
    <w:link w:val="berschrift1Zchn"/>
    <w:uiPriority w:val="9"/>
    <w:qFormat/>
    <w:rsid w:val="009B03D0"/>
    <w:pPr>
      <w:keepNext/>
      <w:keepLines/>
      <w:spacing w:before="240" w:after="0"/>
      <w:outlineLvl w:val="0"/>
    </w:pPr>
    <w:rPr>
      <w:rFonts w:asciiTheme="majorHAnsi" w:eastAsiaTheme="majorEastAsia" w:hAnsiTheme="majorHAnsi" w:cstheme="majorBidi"/>
      <w:color w:val="2C759A" w:themeColor="accent1" w:themeShade="BF"/>
      <w:sz w:val="32"/>
      <w:szCs w:val="32"/>
    </w:rPr>
  </w:style>
  <w:style w:type="paragraph" w:styleId="berschrift2">
    <w:name w:val="heading 2"/>
    <w:basedOn w:val="Standard"/>
    <w:next w:val="Standard"/>
    <w:link w:val="berschrift2Zchn"/>
    <w:uiPriority w:val="9"/>
    <w:unhideWhenUsed/>
    <w:qFormat/>
    <w:rsid w:val="009B03D0"/>
    <w:pPr>
      <w:keepNext/>
      <w:keepLines/>
      <w:spacing w:before="40" w:after="0"/>
      <w:outlineLvl w:val="1"/>
    </w:pPr>
    <w:rPr>
      <w:rFonts w:asciiTheme="majorHAnsi" w:eastAsiaTheme="majorEastAsia" w:hAnsiTheme="majorHAnsi" w:cstheme="majorBidi"/>
      <w:color w:val="2C759A" w:themeColor="accent1" w:themeShade="BF"/>
      <w:sz w:val="26"/>
      <w:szCs w:val="26"/>
    </w:rPr>
  </w:style>
  <w:style w:type="paragraph" w:styleId="berschrift3">
    <w:name w:val="heading 3"/>
    <w:basedOn w:val="Standard"/>
    <w:link w:val="berschrift3Zchn"/>
    <w:uiPriority w:val="9"/>
    <w:unhideWhenUsed/>
    <w:qFormat/>
    <w:rsid w:val="009B03D0"/>
    <w:pPr>
      <w:keepNext/>
      <w:keepLines/>
      <w:spacing w:before="200" w:line="480" w:lineRule="auto"/>
      <w:ind w:left="720" w:hanging="720"/>
      <w:outlineLvl w:val="2"/>
    </w:pPr>
    <w:rPr>
      <w:rFonts w:eastAsiaTheme="majorEastAsia" w:cstheme="majorBidi"/>
      <w:b/>
      <w:bCs/>
      <w:color w:val="00000A"/>
      <w:sz w:val="22"/>
      <w:szCs w:val="20"/>
      <w:lang w:val="en-GB"/>
    </w:rPr>
  </w:style>
  <w:style w:type="paragraph" w:styleId="berschrift4">
    <w:name w:val="heading 4"/>
    <w:basedOn w:val="Standard"/>
    <w:link w:val="berschrift4Zchn"/>
    <w:uiPriority w:val="9"/>
    <w:unhideWhenUsed/>
    <w:qFormat/>
    <w:rsid w:val="009B03D0"/>
    <w:pPr>
      <w:keepNext/>
      <w:keepLines/>
      <w:spacing w:before="200" w:line="480" w:lineRule="auto"/>
      <w:ind w:left="3133" w:hanging="864"/>
      <w:outlineLvl w:val="3"/>
    </w:pPr>
    <w:rPr>
      <w:rFonts w:eastAsiaTheme="majorEastAsia" w:cstheme="majorBidi"/>
      <w:b/>
      <w:bCs/>
      <w:iCs/>
      <w:color w:val="00000A"/>
      <w:szCs w:val="20"/>
      <w:lang w:val="en-GB"/>
    </w:rPr>
  </w:style>
  <w:style w:type="paragraph" w:styleId="berschrift5">
    <w:name w:val="heading 5"/>
    <w:basedOn w:val="Standard"/>
    <w:link w:val="berschrift5Zchn"/>
    <w:uiPriority w:val="9"/>
    <w:unhideWhenUsed/>
    <w:qFormat/>
    <w:rsid w:val="009B03D0"/>
    <w:pPr>
      <w:keepNext/>
      <w:keepLines/>
      <w:spacing w:before="200" w:line="480" w:lineRule="auto"/>
      <w:ind w:left="1008" w:hanging="1008"/>
      <w:outlineLvl w:val="4"/>
    </w:pPr>
    <w:rPr>
      <w:rFonts w:eastAsiaTheme="majorEastAsia" w:cstheme="majorBidi"/>
      <w:b/>
      <w:color w:val="00000A"/>
      <w:szCs w:val="20"/>
      <w:lang w:val="en-GB"/>
    </w:rPr>
  </w:style>
  <w:style w:type="paragraph" w:styleId="berschrift6">
    <w:name w:val="heading 6"/>
    <w:basedOn w:val="Standard"/>
    <w:link w:val="berschrift6Zchn"/>
    <w:uiPriority w:val="9"/>
    <w:semiHidden/>
    <w:unhideWhenUsed/>
    <w:qFormat/>
    <w:rsid w:val="009B03D0"/>
    <w:pPr>
      <w:keepNext/>
      <w:keepLines/>
      <w:spacing w:before="200" w:line="480" w:lineRule="auto"/>
      <w:ind w:left="1152" w:hanging="1152"/>
      <w:outlineLvl w:val="5"/>
    </w:pPr>
    <w:rPr>
      <w:rFonts w:eastAsiaTheme="majorEastAsia" w:cstheme="majorBidi"/>
      <w:b/>
      <w:iCs/>
      <w:color w:val="1D4D67" w:themeColor="accent1" w:themeShade="7F"/>
      <w:szCs w:val="20"/>
      <w:lang w:val="en-GB"/>
    </w:rPr>
  </w:style>
  <w:style w:type="paragraph" w:styleId="berschrift7">
    <w:name w:val="heading 7"/>
    <w:basedOn w:val="Standard"/>
    <w:link w:val="berschrift7Zchn"/>
    <w:uiPriority w:val="9"/>
    <w:semiHidden/>
    <w:unhideWhenUsed/>
    <w:qFormat/>
    <w:rsid w:val="009B03D0"/>
    <w:pPr>
      <w:keepNext/>
      <w:keepLines/>
      <w:spacing w:before="40" w:after="0" w:line="480" w:lineRule="auto"/>
      <w:ind w:left="1296" w:hanging="1296"/>
      <w:outlineLvl w:val="6"/>
    </w:pPr>
    <w:rPr>
      <w:rFonts w:asciiTheme="majorHAnsi" w:eastAsiaTheme="majorEastAsia" w:hAnsiTheme="majorHAnsi" w:cstheme="majorBidi"/>
      <w:i/>
      <w:iCs/>
      <w:color w:val="1D4D67" w:themeColor="accent1" w:themeShade="7F"/>
      <w:szCs w:val="20"/>
      <w:lang w:val="en-GB"/>
    </w:rPr>
  </w:style>
  <w:style w:type="paragraph" w:styleId="berschrift8">
    <w:name w:val="heading 8"/>
    <w:basedOn w:val="Standard"/>
    <w:link w:val="berschrift8Zchn"/>
    <w:uiPriority w:val="9"/>
    <w:semiHidden/>
    <w:unhideWhenUsed/>
    <w:qFormat/>
    <w:rsid w:val="009B03D0"/>
    <w:pPr>
      <w:keepNext/>
      <w:keepLines/>
      <w:spacing w:before="40" w:after="0" w:line="480" w:lineRule="auto"/>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berschrift9">
    <w:name w:val="heading 9"/>
    <w:basedOn w:val="Standard"/>
    <w:link w:val="berschrift9Zchn"/>
    <w:uiPriority w:val="9"/>
    <w:semiHidden/>
    <w:unhideWhenUsed/>
    <w:qFormat/>
    <w:rsid w:val="009B03D0"/>
    <w:pPr>
      <w:keepNext/>
      <w:keepLines/>
      <w:spacing w:before="40" w:after="0" w:line="480" w:lineRule="auto"/>
      <w:ind w:left="1584" w:hanging="1584"/>
      <w:outlineLvl w:val="8"/>
    </w:pPr>
    <w:rPr>
      <w:rFonts w:asciiTheme="majorHAnsi" w:eastAsiaTheme="majorEastAsia" w:hAnsiTheme="majorHAnsi" w:cstheme="majorBidi"/>
      <w:i/>
      <w:iCs/>
      <w:color w:val="272727" w:themeColor="text1" w:themeTint="D8"/>
      <w:sz w:val="21"/>
      <w:szCs w:val="21"/>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B03D0"/>
    <w:pPr>
      <w:spacing w:line="480" w:lineRule="auto"/>
      <w:ind w:left="357" w:hanging="357"/>
      <w:contextualSpacing/>
    </w:pPr>
    <w:rPr>
      <w:rFonts w:eastAsiaTheme="minorEastAsia"/>
      <w:color w:val="00000A"/>
      <w:szCs w:val="20"/>
      <w:lang w:val="en-GB"/>
    </w:rPr>
  </w:style>
  <w:style w:type="character" w:customStyle="1" w:styleId="berschrift1Zchn">
    <w:name w:val="Überschrift 1 Zchn"/>
    <w:basedOn w:val="Absatz-Standardschriftart"/>
    <w:link w:val="berschrift1"/>
    <w:uiPriority w:val="9"/>
    <w:rsid w:val="009B03D0"/>
    <w:rPr>
      <w:rFonts w:asciiTheme="majorHAnsi" w:eastAsiaTheme="majorEastAsia" w:hAnsiTheme="majorHAnsi" w:cstheme="majorBidi"/>
      <w:color w:val="2C759A" w:themeColor="accent1" w:themeShade="BF"/>
      <w:sz w:val="32"/>
      <w:szCs w:val="32"/>
    </w:rPr>
  </w:style>
  <w:style w:type="character" w:customStyle="1" w:styleId="berschrift2Zchn">
    <w:name w:val="Überschrift 2 Zchn"/>
    <w:basedOn w:val="Absatz-Standardschriftart"/>
    <w:link w:val="berschrift2"/>
    <w:uiPriority w:val="9"/>
    <w:rsid w:val="009B03D0"/>
    <w:rPr>
      <w:rFonts w:asciiTheme="majorHAnsi" w:eastAsiaTheme="majorEastAsia" w:hAnsiTheme="majorHAnsi" w:cstheme="majorBidi"/>
      <w:color w:val="2C759A" w:themeColor="accent1" w:themeShade="BF"/>
      <w:sz w:val="26"/>
      <w:szCs w:val="26"/>
    </w:rPr>
  </w:style>
  <w:style w:type="character" w:customStyle="1" w:styleId="berschrift3Zchn">
    <w:name w:val="Überschrift 3 Zchn"/>
    <w:basedOn w:val="Absatz-Standardschriftart"/>
    <w:link w:val="berschrift3"/>
    <w:uiPriority w:val="9"/>
    <w:rsid w:val="009B03D0"/>
    <w:rPr>
      <w:rFonts w:ascii="Arial" w:eastAsiaTheme="majorEastAsia" w:hAnsi="Arial" w:cstheme="majorBidi"/>
      <w:b/>
      <w:bCs/>
      <w:color w:val="00000A"/>
      <w:szCs w:val="20"/>
      <w:lang w:val="en-GB"/>
    </w:rPr>
  </w:style>
  <w:style w:type="character" w:customStyle="1" w:styleId="berschrift4Zchn">
    <w:name w:val="Überschrift 4 Zchn"/>
    <w:basedOn w:val="Absatz-Standardschriftart"/>
    <w:link w:val="berschrift4"/>
    <w:uiPriority w:val="9"/>
    <w:rsid w:val="009B03D0"/>
    <w:rPr>
      <w:rFonts w:ascii="Arial" w:eastAsiaTheme="majorEastAsia" w:hAnsi="Arial" w:cstheme="majorBidi"/>
      <w:b/>
      <w:bCs/>
      <w:iCs/>
      <w:color w:val="00000A"/>
      <w:sz w:val="20"/>
      <w:szCs w:val="20"/>
      <w:lang w:val="en-GB"/>
    </w:rPr>
  </w:style>
  <w:style w:type="character" w:customStyle="1" w:styleId="berschrift5Zchn">
    <w:name w:val="Überschrift 5 Zchn"/>
    <w:basedOn w:val="Absatz-Standardschriftart"/>
    <w:link w:val="berschrift5"/>
    <w:uiPriority w:val="9"/>
    <w:rsid w:val="009B03D0"/>
    <w:rPr>
      <w:rFonts w:ascii="Arial" w:eastAsiaTheme="majorEastAsia" w:hAnsi="Arial" w:cstheme="majorBidi"/>
      <w:b/>
      <w:color w:val="00000A"/>
      <w:sz w:val="20"/>
      <w:szCs w:val="20"/>
      <w:lang w:val="en-GB"/>
    </w:rPr>
  </w:style>
  <w:style w:type="character" w:customStyle="1" w:styleId="berschrift6Zchn">
    <w:name w:val="Überschrift 6 Zchn"/>
    <w:basedOn w:val="Absatz-Standardschriftart"/>
    <w:link w:val="berschrift6"/>
    <w:uiPriority w:val="9"/>
    <w:semiHidden/>
    <w:rsid w:val="009B03D0"/>
    <w:rPr>
      <w:rFonts w:ascii="Arial" w:eastAsiaTheme="majorEastAsia" w:hAnsi="Arial" w:cstheme="majorBidi"/>
      <w:b/>
      <w:iCs/>
      <w:color w:val="1D4D67" w:themeColor="accent1" w:themeShade="7F"/>
      <w:sz w:val="20"/>
      <w:szCs w:val="20"/>
      <w:lang w:val="en-GB"/>
    </w:rPr>
  </w:style>
  <w:style w:type="character" w:customStyle="1" w:styleId="berschrift7Zchn">
    <w:name w:val="Überschrift 7 Zchn"/>
    <w:basedOn w:val="Absatz-Standardschriftart"/>
    <w:link w:val="berschrift7"/>
    <w:uiPriority w:val="9"/>
    <w:semiHidden/>
    <w:rsid w:val="009B03D0"/>
    <w:rPr>
      <w:rFonts w:asciiTheme="majorHAnsi" w:eastAsiaTheme="majorEastAsia" w:hAnsiTheme="majorHAnsi" w:cstheme="majorBidi"/>
      <w:i/>
      <w:iCs/>
      <w:color w:val="1D4D67" w:themeColor="accent1" w:themeShade="7F"/>
      <w:sz w:val="20"/>
      <w:szCs w:val="20"/>
      <w:lang w:val="en-GB"/>
    </w:rPr>
  </w:style>
  <w:style w:type="character" w:customStyle="1" w:styleId="berschrift8Zchn">
    <w:name w:val="Überschrift 8 Zchn"/>
    <w:basedOn w:val="Absatz-Standardschriftart"/>
    <w:link w:val="berschrift8"/>
    <w:uiPriority w:val="9"/>
    <w:semiHidden/>
    <w:rsid w:val="009B03D0"/>
    <w:rPr>
      <w:rFonts w:asciiTheme="majorHAnsi" w:eastAsiaTheme="majorEastAsia" w:hAnsiTheme="majorHAnsi" w:cstheme="majorBidi"/>
      <w:color w:val="272727" w:themeColor="text1" w:themeTint="D8"/>
      <w:sz w:val="21"/>
      <w:szCs w:val="21"/>
      <w:lang w:val="en-GB"/>
    </w:rPr>
  </w:style>
  <w:style w:type="character" w:customStyle="1" w:styleId="berschrift9Zchn">
    <w:name w:val="Überschrift 9 Zchn"/>
    <w:basedOn w:val="Absatz-Standardschriftart"/>
    <w:link w:val="berschrift9"/>
    <w:uiPriority w:val="9"/>
    <w:semiHidden/>
    <w:rsid w:val="009B03D0"/>
    <w:rPr>
      <w:rFonts w:asciiTheme="majorHAnsi" w:eastAsiaTheme="majorEastAsia" w:hAnsiTheme="majorHAnsi" w:cstheme="majorBidi"/>
      <w:i/>
      <w:iCs/>
      <w:color w:val="272727" w:themeColor="text1" w:themeTint="D8"/>
      <w:sz w:val="21"/>
      <w:szCs w:val="21"/>
      <w:lang w:val="en-GB"/>
    </w:rPr>
  </w:style>
  <w:style w:type="paragraph" w:styleId="Sprechblasentext">
    <w:name w:val="Balloon Text"/>
    <w:basedOn w:val="Standard"/>
    <w:link w:val="SprechblasentextZchn"/>
    <w:uiPriority w:val="99"/>
    <w:semiHidden/>
    <w:unhideWhenUsed/>
    <w:rsid w:val="00A5659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65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USZ">
  <a:themeElements>
    <a:clrScheme name="USZ">
      <a:dk1>
        <a:sysClr val="windowText" lastClr="000000"/>
      </a:dk1>
      <a:lt1>
        <a:sysClr val="window" lastClr="FFFFFF"/>
      </a:lt1>
      <a:dk2>
        <a:srgbClr val="0057A2"/>
      </a:dk2>
      <a:lt2>
        <a:srgbClr val="E5EAED"/>
      </a:lt2>
      <a:accent1>
        <a:srgbClr val="419BC9"/>
      </a:accent1>
      <a:accent2>
        <a:srgbClr val="86929A"/>
      </a:accent2>
      <a:accent3>
        <a:srgbClr val="FABC34"/>
      </a:accent3>
      <a:accent4>
        <a:srgbClr val="478B7D"/>
      </a:accent4>
      <a:accent5>
        <a:srgbClr val="A64633"/>
      </a:accent5>
      <a:accent6>
        <a:srgbClr val="8F699C"/>
      </a:accent6>
      <a:hlink>
        <a:srgbClr val="0000FF"/>
      </a:hlink>
      <a:folHlink>
        <a:srgbClr val="800080"/>
      </a:folHlink>
    </a:clrScheme>
    <a:fontScheme name="USZ_Powerpoint">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613</Words>
  <Characters>3863</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UniversitätsSpital Zürich</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Wolfensberger Aline</dc:creator>
  <cp:keywords/>
  <dc:description/>
  <cp:lastModifiedBy>Wolfensberger Aline</cp:lastModifiedBy>
  <cp:revision>5</cp:revision>
  <dcterms:created xsi:type="dcterms:W3CDTF">2020-03-22T19:08:00Z</dcterms:created>
  <dcterms:modified xsi:type="dcterms:W3CDTF">2020-07-16T20:02:00Z</dcterms:modified>
</cp:coreProperties>
</file>