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FAF" w:rsidRPr="00243997" w:rsidRDefault="00365FAF" w:rsidP="00365FAF">
      <w:pPr>
        <w:spacing w:line="480" w:lineRule="auto"/>
        <w:rPr>
          <w:rFonts w:ascii="Cambria" w:hAnsi="Cambria"/>
          <w:lang w:val="en-GB"/>
        </w:rPr>
      </w:pPr>
      <w:r w:rsidRPr="00243997">
        <w:rPr>
          <w:rFonts w:ascii="Cambria" w:eastAsia="Times New Roman" w:hAnsi="Cambria" w:cs="Times New Roman"/>
          <w:b/>
          <w:bCs/>
          <w:color w:val="000000"/>
          <w:lang w:val="en-GB"/>
        </w:rPr>
        <w:t>Supplementary table 2.</w:t>
      </w:r>
      <w:r w:rsidRPr="00243997">
        <w:rPr>
          <w:rFonts w:ascii="Cambria" w:eastAsia="Times New Roman" w:hAnsi="Cambria" w:cs="Times New Roman"/>
          <w:bCs/>
          <w:color w:val="000000"/>
          <w:lang w:val="en-GB"/>
        </w:rPr>
        <w:t xml:space="preserve"> Blood culture isolates detected in hospitalised people who inject drugs.</w:t>
      </w:r>
    </w:p>
    <w:tbl>
      <w:tblPr>
        <w:tblpPr w:leftFromText="142" w:rightFromText="142" w:vertAnchor="text" w:horzAnchor="margin" w:tblpY="31"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5"/>
        <w:gridCol w:w="623"/>
        <w:gridCol w:w="1272"/>
        <w:gridCol w:w="1276"/>
        <w:gridCol w:w="1134"/>
        <w:gridCol w:w="1469"/>
        <w:gridCol w:w="1224"/>
      </w:tblGrid>
      <w:tr w:rsidR="00365FAF" w:rsidRPr="00243997" w:rsidTr="00C21F08">
        <w:trPr>
          <w:trHeight w:val="284"/>
        </w:trPr>
        <w:tc>
          <w:tcPr>
            <w:tcW w:w="3055" w:type="dxa"/>
            <w:vMerge w:val="restart"/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rPr>
                <w:rFonts w:ascii="Cambria" w:eastAsia="Times New Roman" w:hAnsi="Cambria" w:cs="Times New Roman"/>
                <w:b/>
                <w:iCs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iCs/>
                <w:color w:val="000000"/>
                <w:sz w:val="20"/>
                <w:lang w:val="en-GB"/>
              </w:rPr>
              <w:t>Microorganism</w:t>
            </w:r>
          </w:p>
        </w:tc>
        <w:tc>
          <w:tcPr>
            <w:tcW w:w="1895" w:type="dxa"/>
            <w:gridSpan w:val="2"/>
            <w:vMerge w:val="restart"/>
            <w:shd w:val="clear" w:color="000000" w:fill="FFFFFF"/>
            <w:noWrap/>
          </w:tcPr>
          <w:p w:rsidR="00365FAF" w:rsidRPr="00243997" w:rsidRDefault="00365FAF" w:rsidP="00C21F08">
            <w:pPr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All patients</w:t>
            </w:r>
          </w:p>
        </w:tc>
        <w:tc>
          <w:tcPr>
            <w:tcW w:w="5103" w:type="dxa"/>
            <w:gridSpan w:val="4"/>
            <w:shd w:val="clear" w:color="000000" w:fill="FFFFFF"/>
            <w:noWrap/>
            <w:vAlign w:val="bottom"/>
          </w:tcPr>
          <w:p w:rsidR="00365FAF" w:rsidRPr="00243997" w:rsidRDefault="00365FAF" w:rsidP="00C21F08">
            <w:pPr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Patients with recurrent episodes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vMerge/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</w:pPr>
          </w:p>
        </w:tc>
        <w:tc>
          <w:tcPr>
            <w:tcW w:w="1895" w:type="dxa"/>
            <w:gridSpan w:val="2"/>
            <w:vMerge/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keepLines/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10" w:type="dxa"/>
            <w:gridSpan w:val="2"/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keepLines/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Findings in 1st episode</w:t>
            </w:r>
          </w:p>
        </w:tc>
        <w:tc>
          <w:tcPr>
            <w:tcW w:w="2693" w:type="dxa"/>
            <w:gridSpan w:val="2"/>
            <w:shd w:val="clear" w:color="000000" w:fill="FFFFFF"/>
            <w:vAlign w:val="center"/>
          </w:tcPr>
          <w:p w:rsidR="00365FAF" w:rsidRPr="00243997" w:rsidRDefault="00365FAF" w:rsidP="00C21F08">
            <w:pPr>
              <w:keepLines/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Findings in 2nd episode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vMerge/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</w:pP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%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(n)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%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(n)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%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b/>
                <w:color w:val="000000"/>
                <w:sz w:val="20"/>
                <w:lang w:val="en-GB"/>
              </w:rPr>
              <w:t>(n)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  <w:hideMark/>
          </w:tcPr>
          <w:p w:rsidR="00365FAF" w:rsidRPr="003130E8" w:rsidRDefault="00365FAF" w:rsidP="00C21F08">
            <w:pPr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  <w:t>Staphylococcus aureus</w:t>
            </w: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41.1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(24)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34.5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(10)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31.0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(9</w:t>
            </w:r>
            <w:r w:rsidRPr="00243997">
              <w:rPr>
                <w:rFonts w:ascii="Cambria" w:eastAsia="Times New Roman" w:hAnsi="Cambria" w:cs="Times New Roman"/>
                <w:color w:val="000000"/>
                <w:sz w:val="20"/>
                <w:vertAlign w:val="superscript"/>
                <w:lang w:val="en-GB"/>
              </w:rPr>
              <w:t>A</w:t>
            </w: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  <w:hideMark/>
          </w:tcPr>
          <w:p w:rsidR="00365FAF" w:rsidRPr="003130E8" w:rsidRDefault="00365FAF" w:rsidP="00C21F08">
            <w:pPr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  <w:t>Streptococcus pneumoniae</w:t>
            </w: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10.3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(6)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6.9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6.9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  <w:hideMark/>
          </w:tcPr>
          <w:p w:rsidR="00365FAF" w:rsidRPr="004E007B" w:rsidRDefault="00365FAF" w:rsidP="00C21F08">
            <w:pPr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i/>
                <w:color w:val="000000"/>
                <w:sz w:val="20"/>
                <w:lang w:val="en-GB"/>
              </w:rPr>
              <w:t>Streptococcus pyogenes</w:t>
            </w: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 xml:space="preserve"> (Gr A)</w:t>
            </w: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5.2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(3)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(0)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(0)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  <w:hideMark/>
          </w:tcPr>
          <w:p w:rsidR="00365FAF" w:rsidRPr="004E007B" w:rsidRDefault="00365FAF" w:rsidP="00C21F08">
            <w:pPr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  <w:t>Strept</w:t>
            </w:r>
            <w:r w:rsidRPr="004E007B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  <w:t xml:space="preserve">ococcus </w:t>
            </w:r>
            <w:proofErr w:type="spellStart"/>
            <w:r w:rsidRPr="004E007B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lang w:val="en-GB"/>
              </w:rPr>
              <w:t>oralis</w:t>
            </w:r>
            <w:proofErr w:type="spellEnd"/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6.9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(4)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6.9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(0)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  <w:hideMark/>
          </w:tcPr>
          <w:p w:rsidR="00365FAF" w:rsidRPr="003130E8" w:rsidRDefault="00365FAF" w:rsidP="00C21F08">
            <w:pPr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Other non-</w:t>
            </w:r>
            <w:proofErr w:type="spellStart"/>
            <w:r w:rsidRPr="003130E8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hemolytic</w:t>
            </w:r>
            <w:proofErr w:type="spellEnd"/>
            <w:r w:rsidRPr="003130E8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 xml:space="preserve"> streptococci</w:t>
            </w: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(0)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(0)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10.3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(3)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</w:tcPr>
          <w:p w:rsidR="00365FAF" w:rsidRPr="003130E8" w:rsidRDefault="00365FAF" w:rsidP="00C21F08">
            <w:pPr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Others</w:t>
            </w: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36.2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(21)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51.7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(15)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243997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51.7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243997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(15)</w:t>
            </w:r>
          </w:p>
        </w:tc>
      </w:tr>
      <w:tr w:rsidR="00365FAF" w:rsidRPr="00243997" w:rsidTr="00C21F08">
        <w:trPr>
          <w:trHeight w:val="284"/>
        </w:trPr>
        <w:tc>
          <w:tcPr>
            <w:tcW w:w="3055" w:type="dxa"/>
            <w:shd w:val="clear" w:color="000000" w:fill="FFFFFF"/>
            <w:noWrap/>
            <w:vAlign w:val="center"/>
            <w:hideMark/>
          </w:tcPr>
          <w:p w:rsidR="00365FAF" w:rsidRPr="003130E8" w:rsidRDefault="00365FAF" w:rsidP="00C21F08">
            <w:pPr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3130E8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Total</w:t>
            </w:r>
          </w:p>
        </w:tc>
        <w:tc>
          <w:tcPr>
            <w:tcW w:w="623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100</w:t>
            </w:r>
          </w:p>
        </w:tc>
        <w:tc>
          <w:tcPr>
            <w:tcW w:w="1272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(58)</w:t>
            </w:r>
          </w:p>
        </w:tc>
        <w:tc>
          <w:tcPr>
            <w:tcW w:w="1276" w:type="dxa"/>
            <w:tcBorders>
              <w:right w:val="nil"/>
            </w:tcBorders>
            <w:shd w:val="clear" w:color="000000" w:fill="FFFFFF"/>
            <w:noWrap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100</w:t>
            </w:r>
          </w:p>
        </w:tc>
        <w:tc>
          <w:tcPr>
            <w:tcW w:w="1134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(29)</w:t>
            </w:r>
          </w:p>
        </w:tc>
        <w:tc>
          <w:tcPr>
            <w:tcW w:w="1469" w:type="dxa"/>
            <w:tcBorders>
              <w:right w:val="nil"/>
            </w:tcBorders>
            <w:shd w:val="clear" w:color="000000" w:fill="FFFFFF"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100</w:t>
            </w:r>
          </w:p>
        </w:tc>
        <w:tc>
          <w:tcPr>
            <w:tcW w:w="1224" w:type="dxa"/>
            <w:tcBorders>
              <w:left w:val="nil"/>
            </w:tcBorders>
            <w:shd w:val="clear" w:color="000000" w:fill="FFFFFF"/>
            <w:vAlign w:val="center"/>
          </w:tcPr>
          <w:p w:rsidR="00365FAF" w:rsidRPr="004E007B" w:rsidRDefault="00365FAF" w:rsidP="00C21F08">
            <w:pPr>
              <w:widowControl w:val="0"/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</w:pP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(29</w:t>
            </w:r>
            <w:r w:rsidRPr="004E007B">
              <w:rPr>
                <w:rFonts w:ascii="Cambria" w:eastAsia="Times New Roman" w:hAnsi="Cambria" w:cs="Times New Roman"/>
                <w:color w:val="000000"/>
                <w:sz w:val="20"/>
                <w:vertAlign w:val="superscript"/>
                <w:lang w:val="en-GB"/>
              </w:rPr>
              <w:t>B</w:t>
            </w:r>
            <w:r w:rsidRPr="004E007B">
              <w:rPr>
                <w:rFonts w:ascii="Cambria" w:eastAsia="Times New Roman" w:hAnsi="Cambria" w:cs="Times New Roman"/>
                <w:color w:val="000000"/>
                <w:sz w:val="20"/>
                <w:lang w:val="en-GB"/>
              </w:rPr>
              <w:t>)</w:t>
            </w:r>
          </w:p>
        </w:tc>
      </w:tr>
    </w:tbl>
    <w:p w:rsidR="00365FAF" w:rsidRPr="004E007B" w:rsidRDefault="00365FAF" w:rsidP="00365FAF">
      <w:pPr>
        <w:spacing w:line="480" w:lineRule="auto"/>
        <w:rPr>
          <w:rFonts w:ascii="Cambria" w:hAnsi="Cambria"/>
          <w:sz w:val="18"/>
          <w:vertAlign w:val="superscript"/>
          <w:lang w:val="en-GB"/>
        </w:rPr>
      </w:pPr>
    </w:p>
    <w:p w:rsidR="00365FAF" w:rsidRPr="004E007B" w:rsidRDefault="00365FAF" w:rsidP="00365FAF">
      <w:pPr>
        <w:rPr>
          <w:rFonts w:ascii="Cambria" w:hAnsi="Cambria"/>
          <w:sz w:val="18"/>
          <w:vertAlign w:val="superscript"/>
          <w:lang w:val="en-GB"/>
        </w:rPr>
      </w:pPr>
    </w:p>
    <w:p w:rsidR="00365FAF" w:rsidRDefault="00365FAF" w:rsidP="00365FAF">
      <w:pPr>
        <w:rPr>
          <w:rFonts w:ascii="Cambria" w:hAnsi="Cambria"/>
          <w:sz w:val="22"/>
          <w:lang w:val="en-GB"/>
        </w:rPr>
      </w:pPr>
      <w:r w:rsidRPr="004E007B">
        <w:rPr>
          <w:rFonts w:ascii="Cambria" w:hAnsi="Cambria"/>
          <w:sz w:val="22"/>
          <w:vertAlign w:val="superscript"/>
          <w:lang w:val="en-GB"/>
        </w:rPr>
        <w:t>A</w:t>
      </w:r>
      <w:r w:rsidRPr="004E007B">
        <w:rPr>
          <w:rFonts w:ascii="Cambria" w:hAnsi="Cambria"/>
          <w:sz w:val="22"/>
          <w:lang w:val="en-GB"/>
        </w:rPr>
        <w:t xml:space="preserve"> 6/9 (67 %) with presumed same microorganisms as in the first episode. </w:t>
      </w:r>
    </w:p>
    <w:p w:rsidR="00365FAF" w:rsidRPr="004E007B" w:rsidRDefault="00365FAF" w:rsidP="00365FAF">
      <w:pPr>
        <w:rPr>
          <w:rFonts w:ascii="Cambria" w:hAnsi="Cambria"/>
          <w:sz w:val="22"/>
          <w:lang w:val="en-GB"/>
        </w:rPr>
      </w:pPr>
      <w:r w:rsidRPr="004E007B">
        <w:rPr>
          <w:rFonts w:ascii="Cambria" w:hAnsi="Cambria"/>
          <w:sz w:val="22"/>
          <w:vertAlign w:val="superscript"/>
          <w:lang w:val="en-GB"/>
        </w:rPr>
        <w:t>B</w:t>
      </w:r>
      <w:r w:rsidRPr="004E007B">
        <w:rPr>
          <w:rFonts w:ascii="Cambria" w:hAnsi="Cambria"/>
          <w:sz w:val="22"/>
          <w:lang w:val="en-GB"/>
        </w:rPr>
        <w:t xml:space="preserve"> 6/29 (21 %) with presumed same microorganisms as in the first episode. </w:t>
      </w:r>
    </w:p>
    <w:p w:rsidR="00365FAF" w:rsidRPr="004E007B" w:rsidRDefault="00365FAF" w:rsidP="00365FAF">
      <w:pPr>
        <w:spacing w:line="480" w:lineRule="auto"/>
        <w:rPr>
          <w:rFonts w:ascii="Cambria" w:hAnsi="Cambria"/>
          <w:sz w:val="22"/>
          <w:lang w:val="en-GB"/>
        </w:rPr>
      </w:pPr>
    </w:p>
    <w:p w:rsidR="0019619A" w:rsidRPr="00365FAF" w:rsidRDefault="00365FAF">
      <w:pPr>
        <w:rPr>
          <w:lang w:val="en-GB"/>
        </w:rPr>
      </w:pPr>
      <w:bookmarkStart w:id="0" w:name="_GoBack"/>
      <w:bookmarkEnd w:id="0"/>
    </w:p>
    <w:sectPr w:rsidR="0019619A" w:rsidRPr="00365FA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AF"/>
    <w:rsid w:val="001F2411"/>
    <w:rsid w:val="003615F2"/>
    <w:rsid w:val="003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E522E-A5B8-4A33-88DD-90150AAB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FAF"/>
    <w:pPr>
      <w:spacing w:after="0" w:line="240" w:lineRule="auto"/>
    </w:pPr>
    <w:rPr>
      <w:rFonts w:eastAsiaTheme="minorEastAsia"/>
      <w:sz w:val="24"/>
      <w:szCs w:val="24"/>
      <w:lang w:val="sv-SE" w:eastAsia="sv-S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Serum Institut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Thønnings</dc:creator>
  <cp:keywords/>
  <dc:description/>
  <cp:lastModifiedBy>Sara Thønnings</cp:lastModifiedBy>
  <cp:revision>1</cp:revision>
  <dcterms:created xsi:type="dcterms:W3CDTF">2019-12-10T09:26:00Z</dcterms:created>
  <dcterms:modified xsi:type="dcterms:W3CDTF">2019-12-10T09:26:00Z</dcterms:modified>
</cp:coreProperties>
</file>