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D2" w:rsidRPr="00E43EC7" w:rsidRDefault="003B0CD2" w:rsidP="003B0CD2">
      <w:pPr>
        <w:spacing w:line="360" w:lineRule="auto"/>
        <w:rPr>
          <w:bCs/>
          <w:sz w:val="22"/>
          <w:szCs w:val="22"/>
          <w:lang w:val="en-US"/>
        </w:rPr>
      </w:pPr>
      <w:r w:rsidRPr="00E43EC7">
        <w:rPr>
          <w:rFonts w:asciiTheme="minorHAnsi" w:hAnsiTheme="minorHAnsi" w:cstheme="minorHAnsi"/>
          <w:b/>
          <w:bCs/>
          <w:sz w:val="22"/>
          <w:szCs w:val="22"/>
          <w:lang w:val="en-US"/>
        </w:rPr>
        <w:t>Table A2. Characteristics of household contacts by incident tuberculosis status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729"/>
        <w:gridCol w:w="2729"/>
        <w:gridCol w:w="2731"/>
        <w:gridCol w:w="1387"/>
      </w:tblGrid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Incident TB</w:t>
            </w:r>
          </w:p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gramStart"/>
            <w:r w:rsidRPr="00E43EC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No incident TB</w:t>
            </w:r>
          </w:p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gramStart"/>
            <w:r w:rsidRPr="00E43EC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1,165 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 (28)</w:t>
            </w:r>
          </w:p>
        </w:tc>
        <w:tc>
          <w:tcPr>
            <w:tcW w:w="1426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331 (28)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0.955</w:t>
            </w: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41 (72)</w:t>
            </w:r>
          </w:p>
        </w:tc>
        <w:tc>
          <w:tcPr>
            <w:tcW w:w="1426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834 (72)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15-24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 (21)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440 (38)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 (26)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146 (13)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 (21)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114 (10)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35-39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 (7)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96 (8)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40-49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7 (12)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151 (13)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50+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7 (12)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218 (19)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HIV status 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negative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19 (33)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862 (74)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positive, no ARV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32 (56)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261 (22)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HIV positive &amp; ARV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 (11)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29 (2)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425" w:type="pct"/>
            <w:shd w:val="clear" w:color="auto" w:fill="auto"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13 (1)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QFT outcome (IFN-g)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B0CD2" w:rsidRPr="00E43EC7" w:rsidTr="00A409DF"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1.8 (0.2-6.2)* 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1.0 (0.1-5.4)**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3B0CD2" w:rsidRPr="00E43EC7" w:rsidRDefault="003B0CD2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0.109</w:t>
            </w: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</w:tr>
    </w:tbl>
    <w:p w:rsidR="003B0CD2" w:rsidRPr="00E43EC7" w:rsidRDefault="003B0CD2" w:rsidP="003B0CD2">
      <w:pPr>
        <w:spacing w:line="360" w:lineRule="auto"/>
        <w:rPr>
          <w:lang w:val="en-US"/>
        </w:rPr>
      </w:pPr>
    </w:p>
    <w:p w:rsidR="003B0CD2" w:rsidRPr="00E43EC7" w:rsidRDefault="003B0CD2" w:rsidP="003B0CD2">
      <w:pPr>
        <w:spacing w:line="360" w:lineRule="auto"/>
        <w:rPr>
          <w:sz w:val="20"/>
          <w:szCs w:val="20"/>
          <w:lang w:val="en-US"/>
        </w:rPr>
      </w:pPr>
      <w:proofErr w:type="gramStart"/>
      <w:r w:rsidRPr="00E43EC7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1</w:t>
      </w:r>
      <w:proofErr w:type="gramEnd"/>
      <w:r w:rsidRPr="00E43EC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E43EC7">
        <w:rPr>
          <w:rFonts w:asciiTheme="minorHAnsi" w:hAnsiTheme="minorHAnsi" w:cstheme="minorHAnsi"/>
          <w:color w:val="202124"/>
          <w:sz w:val="20"/>
          <w:szCs w:val="20"/>
          <w:lang w:val="en-US"/>
        </w:rPr>
        <w:t>Pearson's chi</w:t>
      </w:r>
      <w:r w:rsidRPr="00E43EC7">
        <w:rPr>
          <w:rFonts w:asciiTheme="minorHAnsi" w:hAnsiTheme="minorHAnsi" w:cstheme="minorHAnsi"/>
          <w:color w:val="202124"/>
          <w:sz w:val="20"/>
          <w:szCs w:val="20"/>
          <w:shd w:val="clear" w:color="auto" w:fill="FFFFFF"/>
          <w:lang w:val="en-US"/>
        </w:rPr>
        <w:t>-</w:t>
      </w:r>
      <w:r w:rsidRPr="00E43EC7">
        <w:rPr>
          <w:rFonts w:asciiTheme="minorHAnsi" w:hAnsiTheme="minorHAnsi" w:cstheme="minorHAnsi"/>
          <w:color w:val="202124"/>
          <w:sz w:val="20"/>
          <w:szCs w:val="20"/>
          <w:lang w:val="en-US"/>
        </w:rPr>
        <w:t>squared</w:t>
      </w:r>
      <w:r w:rsidRPr="00E43EC7">
        <w:rPr>
          <w:rFonts w:asciiTheme="minorHAnsi" w:hAnsiTheme="minorHAnsi" w:cstheme="minorHAnsi"/>
          <w:color w:val="202124"/>
          <w:sz w:val="20"/>
          <w:szCs w:val="20"/>
          <w:shd w:val="clear" w:color="auto" w:fill="FFFFFF"/>
          <w:lang w:val="en-US"/>
        </w:rPr>
        <w:t xml:space="preserve"> test</w:t>
      </w:r>
      <w:r w:rsidRPr="00E43EC7">
        <w:rPr>
          <w:rFonts w:asciiTheme="minorHAnsi" w:hAnsiTheme="minorHAnsi" w:cstheme="minorHAnsi"/>
          <w:sz w:val="20"/>
          <w:szCs w:val="20"/>
          <w:lang w:val="en-US"/>
        </w:rPr>
        <w:t>, unless stated otherwise</w:t>
      </w:r>
    </w:p>
    <w:p w:rsidR="003B0CD2" w:rsidRPr="00E43EC7" w:rsidRDefault="003B0CD2" w:rsidP="003B0CD2">
      <w:pPr>
        <w:spacing w:line="360" w:lineRule="auto"/>
        <w:rPr>
          <w:bCs/>
          <w:sz w:val="20"/>
          <w:szCs w:val="20"/>
          <w:lang w:val="en-US"/>
        </w:rPr>
      </w:pPr>
      <w:r w:rsidRPr="00E43EC7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2</w:t>
      </w:r>
      <w:r w:rsidRPr="00E43EC7">
        <w:rPr>
          <w:rFonts w:asciiTheme="minorHAnsi" w:hAnsiTheme="minorHAnsi" w:cstheme="minorHAnsi"/>
          <w:sz w:val="20"/>
          <w:szCs w:val="20"/>
          <w:lang w:val="en-US"/>
        </w:rPr>
        <w:t xml:space="preserve"> Two-sample Wilcoxon rank-sum (Mann-Whitney) test.</w:t>
      </w:r>
    </w:p>
    <w:p w:rsidR="003B0CD2" w:rsidRPr="00E43EC7" w:rsidRDefault="003B0CD2" w:rsidP="003B0CD2">
      <w:pPr>
        <w:spacing w:line="360" w:lineRule="auto"/>
        <w:rPr>
          <w:sz w:val="20"/>
          <w:szCs w:val="20"/>
          <w:lang w:val="en-US"/>
        </w:rPr>
      </w:pPr>
    </w:p>
    <w:p w:rsidR="003B0CD2" w:rsidRPr="00E43EC7" w:rsidRDefault="003B0CD2" w:rsidP="003B0CD2">
      <w:pPr>
        <w:spacing w:line="360" w:lineRule="auto"/>
        <w:rPr>
          <w:sz w:val="20"/>
          <w:szCs w:val="20"/>
          <w:lang w:val="en-US"/>
        </w:rPr>
      </w:pPr>
      <w:r w:rsidRPr="00E43EC7">
        <w:rPr>
          <w:rFonts w:asciiTheme="minorHAnsi" w:hAnsiTheme="minorHAnsi" w:cstheme="minorHAnsi"/>
          <w:sz w:val="20"/>
          <w:szCs w:val="20"/>
          <w:lang w:val="en-US"/>
        </w:rPr>
        <w:t>* The most recently available QFT test result prior to TB diagnosis was used. For n=40 contacts who developed TB between V1-V2, this was QFT test result at visit 1. For n=17 contacts who developed TB between V2-V3, this was QFT test result at visit 2 (n=12), or at visit 1 when visit 2 QFT test result was missing (n=5).</w:t>
      </w:r>
    </w:p>
    <w:p w:rsidR="003B0CD2" w:rsidRPr="00E43EC7" w:rsidRDefault="003B0CD2" w:rsidP="003B0CD2">
      <w:pPr>
        <w:spacing w:line="360" w:lineRule="auto"/>
        <w:rPr>
          <w:sz w:val="20"/>
          <w:szCs w:val="20"/>
          <w:lang w:val="en-US"/>
        </w:rPr>
      </w:pPr>
      <w:r w:rsidRPr="00E43EC7">
        <w:rPr>
          <w:rFonts w:asciiTheme="minorHAnsi" w:hAnsiTheme="minorHAnsi" w:cstheme="minorHAnsi"/>
          <w:sz w:val="20"/>
          <w:szCs w:val="20"/>
          <w:lang w:val="en-US"/>
        </w:rPr>
        <w:t xml:space="preserve">** QFT test result at visit 1 was used for the 1,165 contacts </w:t>
      </w:r>
      <w:proofErr w:type="gramStart"/>
      <w:r w:rsidRPr="00E43EC7">
        <w:rPr>
          <w:rFonts w:asciiTheme="minorHAnsi" w:hAnsiTheme="minorHAnsi" w:cstheme="minorHAnsi"/>
          <w:sz w:val="20"/>
          <w:szCs w:val="20"/>
          <w:lang w:val="en-US"/>
        </w:rPr>
        <w:t>who</w:t>
      </w:r>
      <w:proofErr w:type="gramEnd"/>
      <w:r w:rsidRPr="00E43EC7">
        <w:rPr>
          <w:rFonts w:asciiTheme="minorHAnsi" w:hAnsiTheme="minorHAnsi" w:cstheme="minorHAnsi"/>
          <w:sz w:val="20"/>
          <w:szCs w:val="20"/>
          <w:lang w:val="en-US"/>
        </w:rPr>
        <w:t xml:space="preserve"> did not develop TB during follow-up.</w:t>
      </w:r>
    </w:p>
    <w:p w:rsidR="00C26C68" w:rsidRDefault="00C26C68">
      <w:bookmarkStart w:id="0" w:name="_GoBack"/>
      <w:bookmarkEnd w:id="0"/>
    </w:p>
    <w:sectPr w:rsidR="00C26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D2"/>
    <w:rsid w:val="003B0CD2"/>
    <w:rsid w:val="007E5B75"/>
    <w:rsid w:val="00C2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950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2020-10-07T02:37:00Z</dcterms:created>
  <dcterms:modified xsi:type="dcterms:W3CDTF">2020-10-07T02:38:00Z</dcterms:modified>
</cp:coreProperties>
</file>