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9BB37" w14:textId="04982D50" w:rsidR="008C61E6" w:rsidRPr="00A00DCF" w:rsidRDefault="009E249B">
      <w:pPr>
        <w:rPr>
          <w:rFonts w:ascii="Times New Roman" w:hAnsi="Times New Roman" w:cs="Times New Roman"/>
          <w:b/>
          <w:bCs/>
          <w:sz w:val="22"/>
          <w:szCs w:val="24"/>
        </w:rPr>
      </w:pPr>
      <w:r w:rsidRPr="00A00DCF">
        <w:rPr>
          <w:rFonts w:ascii="Times New Roman" w:hAnsi="Times New Roman" w:cs="Times New Roman"/>
          <w:b/>
          <w:bCs/>
          <w:sz w:val="22"/>
          <w:szCs w:val="24"/>
        </w:rPr>
        <w:t>Definitions of the main variables of Japan TB Surveillance System analyzed in this study</w:t>
      </w:r>
    </w:p>
    <w:p w14:paraId="5D0F11DB" w14:textId="07ECE342" w:rsidR="009E249B" w:rsidRPr="00A00DCF" w:rsidRDefault="009E249B">
      <w:pPr>
        <w:rPr>
          <w:rFonts w:ascii="Times New Roman" w:hAnsi="Times New Roman" w:cs="Times New Roman"/>
        </w:rPr>
      </w:pPr>
    </w:p>
    <w:p w14:paraId="47B6B9C7" w14:textId="77777777" w:rsidR="009E249B" w:rsidRPr="00A00DCF" w:rsidRDefault="009E249B" w:rsidP="009E249B">
      <w:pPr>
        <w:spacing w:line="480" w:lineRule="auto"/>
        <w:ind w:firstLineChars="300" w:firstLine="630"/>
        <w:rPr>
          <w:rFonts w:ascii="Times New Roman" w:hAnsi="Times New Roman" w:cs="Times New Roman"/>
          <w:szCs w:val="21"/>
        </w:rPr>
      </w:pPr>
      <w:r w:rsidRPr="00A00DCF">
        <w:rPr>
          <w:rFonts w:ascii="Times New Roman" w:hAnsi="Times New Roman" w:cs="Times New Roman"/>
          <w:i/>
          <w:iCs/>
          <w:szCs w:val="21"/>
        </w:rPr>
        <w:t>Country of birth</w:t>
      </w:r>
      <w:r w:rsidRPr="00A00DCF">
        <w:rPr>
          <w:rFonts w:ascii="Times New Roman" w:hAnsi="Times New Roman" w:cs="Times New Roman"/>
          <w:szCs w:val="21"/>
        </w:rPr>
        <w:t>: Information regarding nationality (either “Japanese” or “non-Japanese”) was added to JTBS in 1998, and country name and the year of entry (either “within five years”, or “more than five years” or “unknown”) in 2007.  In 2012, the category of nationality was changed to country of birth (either “Japan-born”, “foreign-born” or “unknown”), and the exact year of entry to Japan. Those whose country of birth was unknown were excluded from the analysis.</w:t>
      </w:r>
    </w:p>
    <w:p w14:paraId="4801D465" w14:textId="56301EF6" w:rsidR="009E249B" w:rsidRPr="00A00DCF" w:rsidRDefault="009E249B" w:rsidP="009E249B">
      <w:pPr>
        <w:spacing w:line="480" w:lineRule="auto"/>
        <w:ind w:firstLineChars="300" w:firstLine="630"/>
        <w:rPr>
          <w:rFonts w:ascii="Times New Roman" w:hAnsi="Times New Roman" w:cs="Times New Roman"/>
          <w:szCs w:val="21"/>
        </w:rPr>
      </w:pPr>
      <w:r w:rsidRPr="00A00DCF">
        <w:rPr>
          <w:rFonts w:ascii="Times New Roman" w:hAnsi="Times New Roman" w:cs="Times New Roman"/>
          <w:i/>
          <w:iCs/>
          <w:szCs w:val="21"/>
        </w:rPr>
        <w:t>Modes of detection</w:t>
      </w:r>
      <w:r w:rsidRPr="00A00DCF">
        <w:rPr>
          <w:rFonts w:ascii="Times New Roman" w:hAnsi="Times New Roman" w:cs="Times New Roman"/>
          <w:szCs w:val="21"/>
        </w:rPr>
        <w:t xml:space="preserve">: JTBS collects data on how the patients initially came to be tested and diagnosed, and are </w:t>
      </w:r>
      <w:r w:rsidR="00A00DCF">
        <w:rPr>
          <w:rFonts w:ascii="Times New Roman" w:hAnsi="Times New Roman" w:cs="Times New Roman"/>
          <w:szCs w:val="21"/>
        </w:rPr>
        <w:t>categorized as follows: “private heal</w:t>
      </w:r>
      <w:r w:rsidRPr="00A00DCF">
        <w:rPr>
          <w:rFonts w:ascii="Times New Roman" w:hAnsi="Times New Roman" w:cs="Times New Roman"/>
          <w:szCs w:val="21"/>
        </w:rPr>
        <w:t xml:space="preserve">th-check”, “routine school health-check”, “routine community health-check”, “routine workplace health-check”, “routine health-check (others)”, “close contact investigation”, “casual contact investigation”, “other mass screening”, “hospital visit, with TB symptoms”, “hospital visit, with other diseases”, “hospitalized, with other diseases”, “others”, “unknown”, and “health-check during TB </w:t>
      </w:r>
      <w:r w:rsidR="00A00DCF">
        <w:rPr>
          <w:rFonts w:ascii="Times New Roman" w:hAnsi="Times New Roman" w:cs="Times New Roman"/>
          <w:szCs w:val="21"/>
        </w:rPr>
        <w:t xml:space="preserve">treatment </w:t>
      </w:r>
      <w:r w:rsidRPr="00A00DCF">
        <w:rPr>
          <w:rFonts w:ascii="Times New Roman" w:hAnsi="Times New Roman" w:cs="Times New Roman"/>
          <w:szCs w:val="21"/>
        </w:rPr>
        <w:t xml:space="preserve">follow-up”. For the purpose of this study, these were re-categorized into “routine health-check” (including school, community, workplace and other), “contact investigation” (including close and casual), “at hospital” (including hospital visits and hospitalization”, and “others” (all others). </w:t>
      </w:r>
    </w:p>
    <w:p w14:paraId="093DFD03" w14:textId="07B72A2A" w:rsidR="009E249B" w:rsidRPr="00A00DCF" w:rsidRDefault="009E249B" w:rsidP="009E249B">
      <w:pPr>
        <w:spacing w:line="480" w:lineRule="auto"/>
        <w:ind w:firstLineChars="300" w:firstLine="630"/>
        <w:rPr>
          <w:rFonts w:ascii="Times New Roman" w:hAnsi="Times New Roman" w:cs="Times New Roman"/>
          <w:szCs w:val="21"/>
        </w:rPr>
      </w:pPr>
      <w:r w:rsidRPr="00A00DCF">
        <w:rPr>
          <w:rFonts w:ascii="Times New Roman" w:hAnsi="Times New Roman" w:cs="Times New Roman"/>
          <w:i/>
          <w:iCs/>
          <w:szCs w:val="21"/>
        </w:rPr>
        <w:t>Treatment outcomes</w:t>
      </w:r>
      <w:r w:rsidRPr="00A00DCF">
        <w:rPr>
          <w:rFonts w:ascii="Times New Roman" w:hAnsi="Times New Roman" w:cs="Times New Roman"/>
          <w:szCs w:val="21"/>
        </w:rPr>
        <w:t xml:space="preserve">: JTBS evaluates treatment outcomes for LTBI in terms of the following categories, namely “treatment successful”, “died”, failure”, “lost to follow-up”, “transferred out”, “still on treatment” and “unknown”. </w:t>
      </w:r>
      <w:r w:rsidR="00A00DCF">
        <w:rPr>
          <w:rFonts w:ascii="Times New Roman" w:hAnsi="Times New Roman" w:cs="Times New Roman"/>
          <w:szCs w:val="21"/>
        </w:rPr>
        <w:t>Transfer-out includes both transfers within and outside of Japan.</w:t>
      </w:r>
    </w:p>
    <w:p w14:paraId="25D717BF" w14:textId="2C3C52DF" w:rsidR="009E249B" w:rsidRPr="00A00DCF" w:rsidRDefault="009E249B" w:rsidP="00857D6B">
      <w:pPr>
        <w:spacing w:line="480" w:lineRule="auto"/>
        <w:ind w:firstLineChars="300" w:firstLine="630"/>
        <w:rPr>
          <w:rFonts w:ascii="Times New Roman" w:hAnsi="Times New Roman" w:cs="Times New Roman"/>
        </w:rPr>
      </w:pPr>
      <w:r w:rsidRPr="00A00DCF">
        <w:rPr>
          <w:rFonts w:ascii="Times New Roman" w:hAnsi="Times New Roman" w:cs="Times New Roman"/>
          <w:i/>
          <w:iCs/>
          <w:szCs w:val="21"/>
        </w:rPr>
        <w:lastRenderedPageBreak/>
        <w:t>Treatment regimens:</w:t>
      </w:r>
      <w:r w:rsidRPr="00A00DCF">
        <w:rPr>
          <w:rFonts w:ascii="Times New Roman" w:hAnsi="Times New Roman" w:cs="Times New Roman"/>
          <w:szCs w:val="21"/>
        </w:rPr>
        <w:t xml:space="preserve"> In Japan, the Guideline on Treatment of LTBI [7] recommends 6- or 9-months regimen by isoniazid as the first option, followed by 4- or 6-months regimen by rifampicin, which is only recommended when the possibility of the use of isoniazid is ruled out. Information regarding the initial treatment regimen upon notification can be collected from two separate variables, namely “treatment regimen” and “use of rifampicin</w:t>
      </w:r>
      <w:r w:rsidR="00A00DCF">
        <w:rPr>
          <w:rFonts w:ascii="Times New Roman" w:hAnsi="Times New Roman" w:cs="Times New Roman"/>
          <w:szCs w:val="21"/>
        </w:rPr>
        <w:t xml:space="preserve"> (RFP)</w:t>
      </w:r>
      <w:r w:rsidRPr="00A00DCF">
        <w:rPr>
          <w:rFonts w:ascii="Times New Roman" w:hAnsi="Times New Roman" w:cs="Times New Roman"/>
          <w:szCs w:val="21"/>
        </w:rPr>
        <w:t xml:space="preserve">”.  “Treatment regimen” is entered as a categorical data, one of which is “isoniazid (INH) monotherapy”.  Another category, which is “monotherapy, other than INH”, does not in itself provide information regarding which drug was prescribed.  However, “use of </w:t>
      </w:r>
      <w:r w:rsidR="00A00DCF">
        <w:rPr>
          <w:rFonts w:ascii="Times New Roman" w:hAnsi="Times New Roman" w:cs="Times New Roman"/>
          <w:szCs w:val="21"/>
        </w:rPr>
        <w:t>RFP</w:t>
      </w:r>
      <w:r w:rsidRPr="00A00DCF">
        <w:rPr>
          <w:rFonts w:ascii="Times New Roman" w:hAnsi="Times New Roman" w:cs="Times New Roman"/>
          <w:szCs w:val="21"/>
        </w:rPr>
        <w:t xml:space="preserve">”, which is entered as “yes” or “no”, can be used to indicate whether RFP was used for “monotherapy, other than INH”.  It must be noted that in real settings, the regimen can and does change during the course of treatment, however, neither the change nor the new regimen is captured in the JTBS. </w:t>
      </w:r>
      <w:r w:rsidR="00857D6B">
        <w:rPr>
          <w:rFonts w:ascii="Times New Roman" w:hAnsi="Times New Roman" w:cs="Times New Roman"/>
          <w:szCs w:val="21"/>
        </w:rPr>
        <w:t xml:space="preserve">Other options for treatment regimen include the standard treatment regimens for active TB, as well as “no treatment” and “unknown”. For the purpose of this study, all other categories, excluding “no treatment” were recategorized as “others”. </w:t>
      </w:r>
    </w:p>
    <w:sectPr w:rsidR="009E249B" w:rsidRPr="00A00DC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D6489" w14:textId="77777777" w:rsidR="00AB0DB5" w:rsidRDefault="00AB0DB5" w:rsidP="00857D6B">
      <w:r>
        <w:separator/>
      </w:r>
    </w:p>
  </w:endnote>
  <w:endnote w:type="continuationSeparator" w:id="0">
    <w:p w14:paraId="10DC52F7" w14:textId="77777777" w:rsidR="00AB0DB5" w:rsidRDefault="00AB0DB5" w:rsidP="00857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72526E" w14:textId="77777777" w:rsidR="00AB0DB5" w:rsidRDefault="00AB0DB5" w:rsidP="00857D6B">
      <w:r>
        <w:separator/>
      </w:r>
    </w:p>
  </w:footnote>
  <w:footnote w:type="continuationSeparator" w:id="0">
    <w:p w14:paraId="236B1EF0" w14:textId="77777777" w:rsidR="00AB0DB5" w:rsidRDefault="00AB0DB5" w:rsidP="00857D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49B"/>
    <w:rsid w:val="003B1A72"/>
    <w:rsid w:val="00484A26"/>
    <w:rsid w:val="00857D6B"/>
    <w:rsid w:val="008C61E6"/>
    <w:rsid w:val="009E249B"/>
    <w:rsid w:val="00A00DCF"/>
    <w:rsid w:val="00AB0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65EC071"/>
  <w15:chartTrackingRefBased/>
  <w15:docId w15:val="{703FD7BF-925E-4505-839E-1ECEF4B00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7D6B"/>
    <w:pPr>
      <w:tabs>
        <w:tab w:val="center" w:pos="4252"/>
        <w:tab w:val="right" w:pos="8504"/>
      </w:tabs>
      <w:snapToGrid w:val="0"/>
    </w:pPr>
  </w:style>
  <w:style w:type="character" w:customStyle="1" w:styleId="a4">
    <w:name w:val="ヘッダー (文字)"/>
    <w:basedOn w:val="a0"/>
    <w:link w:val="a3"/>
    <w:uiPriority w:val="99"/>
    <w:rsid w:val="00857D6B"/>
  </w:style>
  <w:style w:type="paragraph" w:styleId="a5">
    <w:name w:val="footer"/>
    <w:basedOn w:val="a"/>
    <w:link w:val="a6"/>
    <w:uiPriority w:val="99"/>
    <w:unhideWhenUsed/>
    <w:rsid w:val="00857D6B"/>
    <w:pPr>
      <w:tabs>
        <w:tab w:val="center" w:pos="4252"/>
        <w:tab w:val="right" w:pos="8504"/>
      </w:tabs>
      <w:snapToGrid w:val="0"/>
    </w:pPr>
  </w:style>
  <w:style w:type="character" w:customStyle="1" w:styleId="a6">
    <w:name w:val="フッター (文字)"/>
    <w:basedOn w:val="a0"/>
    <w:link w:val="a5"/>
    <w:uiPriority w:val="99"/>
    <w:rsid w:val="00857D6B"/>
  </w:style>
  <w:style w:type="paragraph" w:styleId="a7">
    <w:name w:val="Balloon Text"/>
    <w:basedOn w:val="a"/>
    <w:link w:val="a8"/>
    <w:uiPriority w:val="99"/>
    <w:semiHidden/>
    <w:unhideWhenUsed/>
    <w:rsid w:val="00857D6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7D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2497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KawatsuLisa</dc:creator>
  <cp:keywords/>
  <dc:description/>
  <cp:lastModifiedBy>Kawatsu Lisa</cp:lastModifiedBy>
  <cp:revision>2</cp:revision>
  <dcterms:created xsi:type="dcterms:W3CDTF">2020-12-20T23:24:00Z</dcterms:created>
  <dcterms:modified xsi:type="dcterms:W3CDTF">2020-12-20T23:24:00Z</dcterms:modified>
</cp:coreProperties>
</file>