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  <w:bookmarkStart w:id="0" w:name="_GoBack"/>
      <w:bookmarkEnd w:id="0"/>
      <w:r w:rsidRPr="0085254B">
        <w:rPr>
          <w:rFonts w:ascii="Times New Roman" w:eastAsia="Malgun Gothic" w:hAnsi="Times New Roman" w:cs="Times New Roman"/>
          <w:b/>
          <w:kern w:val="2"/>
          <w:lang w:eastAsia="ko-KR"/>
        </w:rPr>
        <w:t>Figure S1</w:t>
      </w:r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. </w:t>
      </w:r>
      <w:r w:rsidRPr="0085254B">
        <w:rPr>
          <w:rFonts w:ascii="Times New Roman" w:eastAsia="Malgun Gothic" w:hAnsi="Times New Roman" w:cs="Times New Roman"/>
          <w:b/>
          <w:bCs/>
          <w:kern w:val="2"/>
          <w:lang w:eastAsia="ko-KR"/>
        </w:rPr>
        <w:t>Anti-TB drugs used before surgery in the MDR-TB/XDR-TB groups</w:t>
      </w:r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</w:t>
      </w: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The numbers are the cumulative number of patients using each drug for each week and the pink bars are the proportion of the 98 patients using each drug. MDR-TB = multidrug-resistant tuberculosis; XDR-TB = extensively drug-resistant tuberculosis; INH = isoniazid; RFP = rifampicin; EMB = ethambutol; PZA = pyrazinamide; RFB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rifabutin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Pto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prothionamide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Cs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cycloserine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>; PAS = para-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aminosalicylic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acid;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Lfx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levofloxacin;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Gfx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gatifloxacin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Mfx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moxifloxacin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Ofx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ofloxacin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Sm = streptomycin; Km = kanamycin;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Cpm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capreomycin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Amk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amikacin;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Evm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enviomycin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Amx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>/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Clv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amoxicillin/clavulanic acid;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Clr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clarithromycin; </w:t>
      </w:r>
      <w:proofErr w:type="spellStart"/>
      <w:r w:rsidRPr="0085254B">
        <w:rPr>
          <w:rFonts w:ascii="Times New Roman" w:eastAsia="Malgun Gothic" w:hAnsi="Times New Roman" w:cs="Times New Roman"/>
          <w:kern w:val="2"/>
          <w:lang w:eastAsia="ko-KR"/>
        </w:rPr>
        <w:t>Lzd</w:t>
      </w:r>
      <w:proofErr w:type="spellEnd"/>
      <w:r w:rsidRPr="0085254B">
        <w:rPr>
          <w:rFonts w:ascii="Times New Roman" w:eastAsia="Malgun Gothic" w:hAnsi="Times New Roman" w:cs="Times New Roman"/>
          <w:kern w:val="2"/>
          <w:lang w:eastAsia="ko-KR"/>
        </w:rPr>
        <w:t xml:space="preserve"> = linezolid.</w:t>
      </w: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  <w:r w:rsidRPr="0085254B">
        <w:rPr>
          <w:rFonts w:ascii="Times New Roman" w:eastAsia="Malgun Gothic" w:hAnsi="Times New Roman" w:cs="Times New Roman"/>
          <w:noProof/>
          <w:kern w:val="2"/>
        </w:rPr>
        <w:drawing>
          <wp:anchor distT="0" distB="0" distL="114300" distR="114300" simplePos="0" relativeHeight="251659264" behindDoc="0" locked="0" layoutInCell="1" allowOverlap="1" wp14:anchorId="7521EEF0" wp14:editId="31D86CB7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7378506" cy="3505200"/>
            <wp:effectExtent l="0" t="0" r="0" b="0"/>
            <wp:wrapNone/>
            <wp:docPr id="2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_figure1_BMCinfec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8506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Pr="0085254B" w:rsidRDefault="0085254B" w:rsidP="0085254B">
      <w:pPr>
        <w:widowControl w:val="0"/>
        <w:wordWrap w:val="0"/>
        <w:autoSpaceDE w:val="0"/>
        <w:autoSpaceDN w:val="0"/>
        <w:spacing w:line="480" w:lineRule="auto"/>
        <w:jc w:val="both"/>
        <w:rPr>
          <w:rFonts w:ascii="Times New Roman" w:eastAsia="Malgun Gothic" w:hAnsi="Times New Roman" w:cs="Times New Roman"/>
          <w:kern w:val="2"/>
          <w:lang w:eastAsia="ko-KR"/>
        </w:rPr>
      </w:pPr>
    </w:p>
    <w:p w:rsidR="0085254B" w:rsidRDefault="0085254B"/>
    <w:sectPr w:rsidR="008525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4B"/>
    <w:rsid w:val="0085254B"/>
    <w:rsid w:val="00AB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BA4F7C-2CA1-4972-A54F-3B05A59F8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S3G_Reference_Citation_Sequence</dc:creator>
  <cp:keywords/>
  <dc:description/>
  <cp:lastModifiedBy>S3G_Reference_Citation_Sequence</cp:lastModifiedBy>
  <cp:revision>1</cp:revision>
  <dcterms:created xsi:type="dcterms:W3CDTF">2020-01-21T06:06:00Z</dcterms:created>
  <dcterms:modified xsi:type="dcterms:W3CDTF">2020-01-21T06:07:00Z</dcterms:modified>
</cp:coreProperties>
</file>