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006" w:rsidRPr="00CD4006" w:rsidRDefault="00CD4006" w:rsidP="00CD4006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  <w:bookmarkStart w:id="0" w:name="_GoBack"/>
      <w:bookmarkEnd w:id="0"/>
      <w:r w:rsidRPr="00CD4006">
        <w:rPr>
          <w:rFonts w:ascii="Times New Roman" w:eastAsia="Malgun Gothic" w:hAnsi="Times New Roman" w:cs="Times New Roman"/>
          <w:b/>
          <w:kern w:val="2"/>
          <w:lang w:eastAsia="ko-KR"/>
        </w:rPr>
        <w:t>Figure S2</w:t>
      </w:r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. </w:t>
      </w:r>
      <w:r w:rsidRPr="00CD4006">
        <w:rPr>
          <w:rFonts w:ascii="Times New Roman" w:eastAsia="Malgun Gothic" w:hAnsi="Times New Roman" w:cs="Times New Roman"/>
          <w:b/>
          <w:bCs/>
          <w:kern w:val="2"/>
          <w:lang w:eastAsia="ko-KR"/>
        </w:rPr>
        <w:t>The schedule of anti-TB drugs in each patient of MDR-TB/XDR-TB groups before surgery</w:t>
      </w:r>
    </w:p>
    <w:p w:rsidR="00CD4006" w:rsidRPr="00CD4006" w:rsidRDefault="00CD4006" w:rsidP="00CD4006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The 20 drugs used in the 98 patients. Each color bar represents a drug used. MDR-TB = multidrug-resistant tuberculosis; XDR-TB = extensively drug-resistant tuberculosis; INH = isoniazid; RFP = rifampicin; EMB = ethambutol; PZA = pyrazinamide; RFB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rifabutin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Pto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prothionamide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; Cs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cycloserine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>; PAS = para-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aminosalicylic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acid;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Lfx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levofloxacin;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Gfx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gatifloxacin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Mfx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moxifloxacin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Ofx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ofloxacin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; Sm = streptomycin; Km = kanamycin;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Cpm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capreomycin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Amk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amikacin;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Evm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enviomycin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Amx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>/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Clv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amoxicillin/clavulanic acid;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Clr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clarithromycin; </w:t>
      </w:r>
      <w:proofErr w:type="spellStart"/>
      <w:r w:rsidRPr="00CD4006">
        <w:rPr>
          <w:rFonts w:ascii="Times New Roman" w:eastAsia="Malgun Gothic" w:hAnsi="Times New Roman" w:cs="Times New Roman"/>
          <w:kern w:val="2"/>
          <w:lang w:eastAsia="ko-KR"/>
        </w:rPr>
        <w:t>Lzd</w:t>
      </w:r>
      <w:proofErr w:type="spellEnd"/>
      <w:r w:rsidRPr="00CD4006">
        <w:rPr>
          <w:rFonts w:ascii="Times New Roman" w:eastAsia="Malgun Gothic" w:hAnsi="Times New Roman" w:cs="Times New Roman"/>
          <w:kern w:val="2"/>
          <w:lang w:eastAsia="ko-KR"/>
        </w:rPr>
        <w:t xml:space="preserve"> = linezolid.</w:t>
      </w:r>
    </w:p>
    <w:p w:rsidR="00CD4006" w:rsidRPr="00CD4006" w:rsidRDefault="00CD4006" w:rsidP="00CD4006">
      <w:pPr>
        <w:widowControl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  <w:r w:rsidRPr="00CD4006">
        <w:rPr>
          <w:rFonts w:ascii="Times New Roman" w:eastAsia="Malgun Gothic" w:hAnsi="Times New Roman" w:cs="Times New Roman"/>
          <w:noProof/>
          <w:kern w:val="2"/>
        </w:rPr>
        <w:lastRenderedPageBreak/>
        <w:drawing>
          <wp:inline distT="0" distB="0" distL="0" distR="0" wp14:anchorId="5BDD0397" wp14:editId="48DF8E19">
            <wp:extent cx="5759450" cy="8248650"/>
            <wp:effectExtent l="0" t="0" r="0" b="0"/>
            <wp:docPr id="3" name="그림 2" descr="문구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_figure2_BMCinfec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4B" w:rsidRDefault="0085254B"/>
    <w:sectPr w:rsidR="00852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4B"/>
    <w:rsid w:val="0085254B"/>
    <w:rsid w:val="00AB68A3"/>
    <w:rsid w:val="00CD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C4F8B"/>
  <w15:chartTrackingRefBased/>
  <w15:docId w15:val="{8BBA4F7C-2CA1-4972-A54F-3B05A59F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2</cp:revision>
  <dcterms:created xsi:type="dcterms:W3CDTF">2020-01-21T06:08:00Z</dcterms:created>
  <dcterms:modified xsi:type="dcterms:W3CDTF">2020-01-21T06:08:00Z</dcterms:modified>
</cp:coreProperties>
</file>