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FE" w:rsidRPr="00FC1170" w:rsidRDefault="00746DAA" w:rsidP="00261A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Annex1: </w:t>
      </w:r>
      <w:r w:rsidR="00550155">
        <w:rPr>
          <w:rFonts w:ascii="Times New Roman" w:hAnsi="Times New Roman" w:cs="Times New Roman"/>
          <w:sz w:val="24"/>
        </w:rPr>
        <w:t xml:space="preserve"> C</w:t>
      </w:r>
      <w:r w:rsidR="00261AFE" w:rsidRPr="00FC1170">
        <w:rPr>
          <w:rFonts w:ascii="Times New Roman" w:hAnsi="Times New Roman" w:cs="Times New Roman"/>
          <w:sz w:val="24"/>
        </w:rPr>
        <w:t xml:space="preserve">haracteristics of the included studies </w:t>
      </w:r>
    </w:p>
    <w:tbl>
      <w:tblPr>
        <w:tblW w:w="142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1080"/>
        <w:gridCol w:w="1155"/>
        <w:gridCol w:w="1890"/>
        <w:gridCol w:w="900"/>
        <w:gridCol w:w="776"/>
        <w:gridCol w:w="900"/>
        <w:gridCol w:w="1170"/>
        <w:gridCol w:w="1170"/>
        <w:gridCol w:w="990"/>
        <w:gridCol w:w="1350"/>
        <w:gridCol w:w="1080"/>
        <w:gridCol w:w="990"/>
      </w:tblGrid>
      <w:tr w:rsidR="00B21AE4" w:rsidRPr="00B21AE4" w:rsidTr="007341FB">
        <w:trPr>
          <w:trHeight w:val="341"/>
        </w:trPr>
        <w:tc>
          <w:tcPr>
            <w:tcW w:w="825" w:type="dxa"/>
            <w:vMerge w:val="restart"/>
            <w:shd w:val="clear" w:color="auto" w:fill="D9D9D9" w:themeFill="background1" w:themeFillShade="D9"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  <w:t>Author, publication year</w:t>
            </w: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Study period</w:t>
            </w:r>
          </w:p>
        </w:tc>
        <w:tc>
          <w:tcPr>
            <w:tcW w:w="1155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Country</w:t>
            </w:r>
          </w:p>
        </w:tc>
        <w:tc>
          <w:tcPr>
            <w:tcW w:w="189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Setting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Treatments</w:t>
            </w:r>
          </w:p>
        </w:tc>
        <w:tc>
          <w:tcPr>
            <w:tcW w:w="776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followup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 xml:space="preserve"> (days)</w:t>
            </w:r>
          </w:p>
        </w:tc>
        <w:tc>
          <w:tcPr>
            <w:tcW w:w="90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enrolled Sample size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Missing from PP analysis</w:t>
            </w:r>
            <w:r w:rsidR="00847069"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, n/</w:t>
            </w:r>
            <w:proofErr w:type="gramStart"/>
            <w:r w:rsidR="00847069"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N(</w:t>
            </w:r>
            <w:proofErr w:type="gramEnd"/>
            <w:r w:rsidR="00847069"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%))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Design</w:t>
            </w:r>
          </w:p>
        </w:tc>
        <w:tc>
          <w:tcPr>
            <w:tcW w:w="99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Age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  <w:t>primary outcomes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  <w:t xml:space="preserve">Day 28 PCR corrected ACPR 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b/>
                <w:sz w:val="14"/>
                <w:szCs w:val="20"/>
              </w:rPr>
              <w:t xml:space="preserve">Day 42 PCR corrected ACPR </w:t>
            </w:r>
          </w:p>
        </w:tc>
      </w:tr>
      <w:tr w:rsidR="00B21AE4" w:rsidRPr="00B21AE4" w:rsidTr="007341FB">
        <w:trPr>
          <w:trHeight w:val="98"/>
        </w:trPr>
        <w:tc>
          <w:tcPr>
            <w:tcW w:w="825" w:type="dxa"/>
            <w:vMerge/>
            <w:shd w:val="clear" w:color="auto" w:fill="D9D9D9" w:themeFill="background1" w:themeFillShade="D9"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108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1155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189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776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0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117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117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99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1350" w:type="dxa"/>
            <w:vMerge/>
            <w:shd w:val="clear" w:color="auto" w:fill="D9D9D9" w:themeFill="background1" w:themeFillShade="D9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n/N (P)</w:t>
            </w:r>
          </w:p>
        </w:tc>
        <w:tc>
          <w:tcPr>
            <w:tcW w:w="990" w:type="dxa"/>
            <w:shd w:val="clear" w:color="auto" w:fill="808080" w:themeFill="background1" w:themeFillShade="80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n/N (P)</w:t>
            </w:r>
          </w:p>
        </w:tc>
      </w:tr>
      <w:tr w:rsidR="00B21AE4" w:rsidRPr="00B21AE4" w:rsidTr="007341FB">
        <w:trPr>
          <w:trHeight w:val="152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Davlantes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2018</w:t>
            </w:r>
          </w:p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847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March and July 2017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Angola (6 sites)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Benguela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(stable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mesoendemic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transmission)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DP, f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upto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day 28 &amp; 42 for DP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100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68 (11.2%) of 608 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multicentre, 6 arm, semi-comparative CT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00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&lt;12 years on </w:t>
            </w:r>
            <w:r w:rsidR="0000560E">
              <w:rPr>
                <w:rFonts w:ascii="Times New Roman" w:eastAsia="Times New Roman" w:hAnsi="Times New Roman" w:cs="Times New Roman"/>
                <w:sz w:val="14"/>
                <w:szCs w:val="20"/>
              </w:rPr>
              <w:t>two</w:t>
            </w: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site</w:t>
            </w:r>
            <w:r w:rsidR="0000560E">
              <w:rPr>
                <w:rFonts w:ascii="Times New Roman" w:eastAsia="Times New Roman" w:hAnsi="Times New Roman" w:cs="Times New Roman"/>
                <w:sz w:val="14"/>
                <w:szCs w:val="20"/>
              </w:rPr>
              <w:t>s</w:t>
            </w: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and &lt;5 years on the rest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ACPR, failure to adequately clear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parasitaemia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, or recurrent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parasitaemia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85/85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80/80 (100.0)</w:t>
            </w: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105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90/90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Zaire (stable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mesoendemic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transmission)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100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87/91 (95.5)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07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98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74/79 (93)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LundaSul-hyperendemic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transmission)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105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82/85 (96.4)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DP,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100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89/89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89/89 (100)</w:t>
            </w:r>
          </w:p>
        </w:tc>
      </w:tr>
      <w:tr w:rsidR="00B21AE4" w:rsidRPr="00B21AE4" w:rsidTr="007341FB">
        <w:trPr>
          <w:trHeight w:val="98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660CBE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Nhama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2014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cohort 1 June 2011, and cohort 2 august 2012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Mozambique (5 sites)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4 hospitals and 1 HC, perennial, non-pick transmission periods selected 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1, 2, 3, 7, 14, 21 and 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439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94/700 ( 66/439 AL and 28/261  ASAQ)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multisite, open-label, non-RCT, two-cohort, CT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6E7730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6E7730">
              <w:rPr>
                <w:rFonts w:ascii="Times New Roman" w:eastAsia="Times New Roman" w:hAnsi="Times New Roman" w:cs="Times New Roman"/>
                <w:sz w:val="14"/>
                <w:szCs w:val="20"/>
              </w:rPr>
              <w:t>6 to 59 months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PCR-corrected ETF, LCF, LPF and ACPR at day 28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335/349 (96)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458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261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232/233 (99.6)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Ojurongbe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2013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February 2010 and September 2011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Nigerian 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University hospital, throughout the year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3, 7, 14, 21 &amp; 28.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89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22/182, 12/101 form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Coartem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&amp; 10/81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Larima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arm. 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RCT (open label, comparative)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6   and   144 months 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ACPR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89/89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98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71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71/71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Plucinski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2017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January to June 2015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Angola (Urban,  public health facilities)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Benguela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(stable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mesoendemic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transmission)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ASAQ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1,2,3, 7,14,21, 28 for all and  42 for DP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101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119/586 (50/179 from ASAQ, 27/205 AL &amp; 42/202 from DP)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non-randomized, six-arm non comparative trial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D97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6 to 59 months in Zaire and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LundaSul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, and 6 months to 12 years in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Benguela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.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ACPR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66/66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101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76/78 (97.4)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Zaire (stable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mesoendemic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transmission)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104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70/81 (86.4)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DP,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102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80/81 (98.8)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98.5</w:t>
            </w: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LundaSul-hyperendemic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transmission)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DP,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100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76/76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100</w:t>
            </w: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ASAQ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78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56/56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98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Premji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2009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June 2006 and August 2007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(Burkina Faso, Ghana, Kenya, Nigeria, Tanzania)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medical centers at 11 sites in five Africa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CDA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1, 2, 3, 7, 14, 28 &amp; 42.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914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61/1732 lost, (44/914 CDA &amp; 17/458 in AL) 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RCT, Double-Blind, Phase III Trial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1to 15 years 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parasitological cure (PCR-corrected) at Day 28,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708/765 (92.5)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697/771</w:t>
            </w:r>
          </w:p>
        </w:tc>
      </w:tr>
      <w:tr w:rsidR="00B21AE4" w:rsidRPr="00B21AE4" w:rsidTr="007341FB">
        <w:trPr>
          <w:trHeight w:val="503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458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360/381 (94.5)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358/384</w:t>
            </w:r>
          </w:p>
        </w:tc>
      </w:tr>
      <w:tr w:rsidR="00B21AE4" w:rsidRPr="00B21AE4" w:rsidTr="007341FB">
        <w:trPr>
          <w:trHeight w:val="278"/>
        </w:trPr>
        <w:tc>
          <w:tcPr>
            <w:tcW w:w="825" w:type="dxa"/>
            <w:vMerge w:val="restart"/>
          </w:tcPr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Ramharter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2008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June to December 2006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Gabon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Hospital, transmitted perennially 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7341FB" w:rsidRPr="00B21AE4" w:rsidRDefault="00A15032" w:rsidP="005F47E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AP </w:t>
            </w:r>
            <w:r w:rsidR="007341FB"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9:3-PA mg/kg tabs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Until day 42.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15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7/59 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open-label sequential dose escalation 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7341FB" w:rsidRPr="00B21AE4" w:rsidRDefault="00DC719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</w:rPr>
              <w:t>2 to 14 years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7341FB" w:rsidRPr="00B21AE4" w:rsidRDefault="007341FB" w:rsidP="005F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tolerability, safety, and pharmacokinetics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341FB" w:rsidRPr="00B21AE4" w:rsidRDefault="007341FB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13/13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341FB" w:rsidRPr="00B21AE4" w:rsidRDefault="007341FB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8/9 (89)</w:t>
            </w:r>
          </w:p>
        </w:tc>
      </w:tr>
      <w:tr w:rsidR="00B21AE4" w:rsidRPr="00B21AE4" w:rsidTr="005F47E7">
        <w:trPr>
          <w:trHeight w:val="125"/>
        </w:trPr>
        <w:tc>
          <w:tcPr>
            <w:tcW w:w="825" w:type="dxa"/>
            <w:vMerge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</w:t>
            </w:r>
            <w:r w:rsidR="00A15032"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</w:t>
            </w: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9:3-mg/kg tabs</w:t>
            </w:r>
          </w:p>
        </w:tc>
        <w:tc>
          <w:tcPr>
            <w:tcW w:w="776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7341FB" w:rsidRPr="00B21AE4" w:rsidRDefault="007341FB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15</w:t>
            </w:r>
          </w:p>
        </w:tc>
        <w:tc>
          <w:tcPr>
            <w:tcW w:w="1170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7341FB" w:rsidRPr="00B21AE4" w:rsidRDefault="007341FB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341FB" w:rsidRPr="00B21AE4" w:rsidRDefault="007341FB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14/14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341FB" w:rsidRPr="00B21AE4" w:rsidRDefault="007341FB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13/14 (100)</w:t>
            </w:r>
          </w:p>
        </w:tc>
      </w:tr>
      <w:tr w:rsidR="00B21AE4" w:rsidRPr="00B21AE4" w:rsidTr="007341FB">
        <w:trPr>
          <w:trHeight w:val="80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Sawa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2013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April to June 2009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Kenya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moderate transmission 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1, 2, 3, 7, 14, 28, &amp; 42.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153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14/198 (6/153 form AL &amp; 8/145 form DP)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RCT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6months to 10 years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efficacy of AL and DP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137/139 (98.6)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DP,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145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137/137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Shayo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2014</w:t>
            </w:r>
          </w:p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May and August 2013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Tanzania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Health Center. Moderate to high transmission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 (&lt; 5 years)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1, 2, 3, 7, 14, 21, &amp; 28.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56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9/88 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Prospective, open-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label,non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-randomized single-arm trial 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6 months to 10 years 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parasitological cure on day 28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40/40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 (5 and above)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32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21/21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70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660CB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Sirima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2009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October 2004 to February 2006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Burkina Faso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two medical centers over two malaria seasons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1, 2, 3, 7, 14, 21 &amp; 28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375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124/750 (65/375 in AS/AG &amp; 59/375 in AS-AQ)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RCT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 to 59 months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PCR-corrected ACPR based on the PP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315/342 (92.1)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AS+AQ, l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375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313/340 (92.1)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Thwing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2009</w:t>
            </w:r>
          </w:p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14th May to 24th August 2007</w:t>
            </w:r>
          </w:p>
        </w:tc>
        <w:tc>
          <w:tcPr>
            <w:tcW w:w="1155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Kenya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District Hospital, during the rainy season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ASAQ, l</w:t>
            </w:r>
          </w:p>
        </w:tc>
        <w:tc>
          <w:tcPr>
            <w:tcW w:w="776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1, 2, 3, 7, 14, 21 &amp; 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110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7/110 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Single arm efficacy trial 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87416F" w:rsidRPr="00B21AE4" w:rsidRDefault="0087416F" w:rsidP="00DC7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 to 59 months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92/102 (90.2)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300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Ndounga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2015</w:t>
            </w:r>
          </w:p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April 2010 to March 2011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Republic of Congo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suburban, district hospital, intense and perennial transmission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1, 2, 3, 7, 14, 21 &amp; 28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129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38/282 lost  (23/129 in ASAQ  and 15/133 in  AL)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Two arm randomized trial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2630CB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2630CB">
              <w:rPr>
                <w:rFonts w:ascii="Times New Roman" w:eastAsia="Times New Roman" w:hAnsi="Times New Roman" w:cs="Times New Roman"/>
                <w:sz w:val="14"/>
                <w:szCs w:val="20"/>
              </w:rPr>
              <w:t>under 10 years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PCR-unadjusted and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PCRadjusted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cure rates on day 28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96/99 (97)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133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106/110 (96.4)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98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Mens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2008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April-July 2007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Kenya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health center, high transmission season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DP, f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1, 2, 3, 7, 14, &amp; 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73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12/146 lost 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Randomized controlled trial, PG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 months-12 years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67/67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07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73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66/66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98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lastRenderedPageBreak/>
              <w:t>Menard 2007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February and June 2006 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bookmarkStart w:id="0" w:name="_GoBack"/>
            <w:bookmarkEnd w:id="0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Madagascar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primary health centers,  low &amp; predominantly seasonal transmission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CQ  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1, 2, 3, 7, 14, 21, 28,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42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22/287 lost, (4/73 from AQSP and 7/83 from AQAS)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RCT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E7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6 months </w:t>
            </w:r>
            <w:r w:rsidR="006E7730">
              <w:rPr>
                <w:rFonts w:ascii="Times New Roman" w:eastAsia="Times New Roman" w:hAnsi="Times New Roman" w:cs="Times New Roman"/>
                <w:sz w:val="14"/>
                <w:szCs w:val="20"/>
              </w:rPr>
              <w:t>to</w:t>
            </w: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15 years 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day-14 and day-28 risks of parasitological failure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20/36 (55.6)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1262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</w:rPr>
              <w:t>AQ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39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35/36 (97.2)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07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SP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40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37/38 (97.4)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AQ + SP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83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76/79 (96.2)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AS+AQ 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83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70/76 (92.1)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660CB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Kobbe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2008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October 2006 and September 2007 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Ghanaian 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two district hospitals,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holoendemic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and perennial with seasonal peaks 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3, 7, 14, 28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120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47/246 (20/123 in AL and 27/123 in ASAQ)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RCT, open-label trial, 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 to 59 months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28-day risks of recurrent symptoms &amp;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parasitaemia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(ETF, LCF,  LPF), unadjusted &amp; adjusted)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91/103 (88.3)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467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coblistered</w:t>
            </w:r>
            <w:proofErr w:type="spellEnd"/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117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88/96 (91.7)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25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Kabanywanyi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2007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2004 (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Ipinda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: Jan and June and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Milmba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: March and Oct at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Ipinda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and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Mlimba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)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Tanzania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health facilities, perennial with seasonal picks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 (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Ipinda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site)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1, 2, 3,7,14, 21 &amp; 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99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18/175 (7/99 (7%) in AL &amp; 11/76 (14.5%) in ASAQ)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non randomized trial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 to 59 months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86/86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7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ASAQ, l (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Mlimba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site)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76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45/48 (93.8)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88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Dorkenoo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2012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2005, 2007, 2009 (Aug to Nov at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Lome&amp;Octo&amp;Decr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for other sites)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47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Togo (5 </w:t>
            </w:r>
            <w:r w:rsidR="0064785A">
              <w:rPr>
                <w:rFonts w:ascii="Times New Roman" w:eastAsia="Times New Roman" w:hAnsi="Times New Roman" w:cs="Times New Roman"/>
                <w:sz w:val="14"/>
                <w:szCs w:val="20"/>
              </w:rPr>
              <w:t>sites</w:t>
            </w: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)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 hospitals, high transmission season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ASAQ, l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gram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up</w:t>
            </w:r>
            <w:proofErr w:type="gram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to day 28.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651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37/1296 (19/651 in ASAQ , 18/645 in AL) 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multi-arm (5) trial 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 to 59 months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28-day PCR corrected cure rate, No ITT, KM for TF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580/600 (96.7)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07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645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538/538 (100)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88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  <w:p w:rsidR="0087416F" w:rsidRPr="00B21AE4" w:rsidRDefault="0087416F" w:rsidP="00660CBE">
            <w:pPr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Dorkenoo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2016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Oct to Dec 2012 in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Niamtougou&amp;Sokod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&amp; June to August 2013 in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Lome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.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Togo (3 sites)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Hospitals, high transmission season selected 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1, 2, 3, 7, 14, 21 &amp; 28.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262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19/523 (3 from ASAQ &amp; 16 from AL)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multi-arm prospective study , PG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A0443F" w:rsidP="00A04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6 to 59 </w:t>
            </w:r>
            <w:r w:rsidR="00D56486" w:rsidRPr="00D56486">
              <w:rPr>
                <w:rFonts w:ascii="Times New Roman" w:eastAsia="Times New Roman" w:hAnsi="Times New Roman" w:cs="Times New Roman"/>
                <w:sz w:val="14"/>
                <w:szCs w:val="20"/>
              </w:rPr>
              <w:t>months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28-day PCR corrected ACPR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249/252 (98.8)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530"/>
        </w:trPr>
        <w:tc>
          <w:tcPr>
            <w:tcW w:w="825" w:type="dxa"/>
            <w:vMerge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261</w:t>
            </w: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220/224 (98.2)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25"/>
        </w:trPr>
        <w:tc>
          <w:tcPr>
            <w:tcW w:w="825" w:type="dxa"/>
            <w:vMerge w:val="restart"/>
          </w:tcPr>
          <w:p w:rsidR="0087416F" w:rsidRPr="00B21AE4" w:rsidRDefault="0087416F" w:rsidP="00660CBE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Ayede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2010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Not reported</w:t>
            </w:r>
          </w:p>
        </w:tc>
        <w:tc>
          <w:tcPr>
            <w:tcW w:w="1155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Nigeria</w:t>
            </w:r>
          </w:p>
        </w:tc>
        <w:tc>
          <w:tcPr>
            <w:tcW w:w="18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Urban, university and child’s hospital, endemic or seasonal transmission  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ASSMP, f</w:t>
            </w:r>
          </w:p>
        </w:tc>
        <w:tc>
          <w:tcPr>
            <w:tcW w:w="776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1, 2, 3,7, 14, 21 &amp; 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250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33 (6.6%), (21 in  AS + SMP and 12 in  AS+ AQ)</w:t>
            </w:r>
          </w:p>
        </w:tc>
        <w:tc>
          <w:tcPr>
            <w:tcW w:w="117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randomized, controlled, open-label trial, PG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D974DC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 to 13 years</w:t>
            </w:r>
          </w:p>
        </w:tc>
        <w:tc>
          <w:tcPr>
            <w:tcW w:w="1350" w:type="dxa"/>
            <w:vMerge w:val="restart"/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PCR-corrected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ACPRon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day 28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219/229 (95.6)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323"/>
        </w:trPr>
        <w:tc>
          <w:tcPr>
            <w:tcW w:w="825" w:type="dxa"/>
            <w:vMerge/>
            <w:tcBorders>
              <w:bottom w:val="single" w:sz="4" w:space="0" w:color="auto"/>
            </w:tcBorders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ASAQ,f</w:t>
            </w:r>
            <w:proofErr w:type="spellEnd"/>
          </w:p>
        </w:tc>
        <w:tc>
          <w:tcPr>
            <w:tcW w:w="7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250</w:t>
            </w: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233/238 (97.9)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98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6F" w:rsidRPr="00B21AE4" w:rsidRDefault="0087416F" w:rsidP="002964B3">
            <w:pPr>
              <w:tabs>
                <w:tab w:val="left" w:pos="1050"/>
              </w:tabs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Abuaku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2019</w:t>
            </w: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ab/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Abuaku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2019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not reported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Ghana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9 hospitals, 1 polyclinic, is perennial transmission (intense &amp; not intense)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AL, f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1, 2, 3, 7, 14, 21, &amp; 28.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26/472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one arm, prospective, evaluation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2630CB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2630CB">
              <w:rPr>
                <w:rFonts w:ascii="Times New Roman" w:eastAsia="Times New Roman" w:hAnsi="Times New Roman" w:cs="Times New Roman"/>
                <w:sz w:val="14"/>
                <w:szCs w:val="20"/>
              </w:rPr>
              <w:t>6m</w:t>
            </w:r>
            <w:r w:rsidR="00D56486">
              <w:rPr>
                <w:rFonts w:ascii="Ebrima" w:eastAsia="Times New Roman" w:hAnsi="Ebrima" w:cs="Times New Roman"/>
                <w:sz w:val="14"/>
                <w:szCs w:val="20"/>
              </w:rPr>
              <w:t>onths</w:t>
            </w:r>
            <w:r w:rsidRPr="002630CB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to 9 years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 Prevalence of day 3 </w:t>
            </w:r>
            <w:proofErr w:type="spellStart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parasitaemia</w:t>
            </w:r>
            <w:proofErr w:type="spellEnd"/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, ACPR on day 28.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405/422 (96)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  <w:tr w:rsidR="00B21AE4" w:rsidRPr="00B21AE4" w:rsidTr="007341FB">
        <w:trPr>
          <w:trHeight w:val="170"/>
        </w:trPr>
        <w:tc>
          <w:tcPr>
            <w:tcW w:w="825" w:type="dxa"/>
            <w:vMerge/>
            <w:tcBorders>
              <w:top w:val="single" w:sz="4" w:space="0" w:color="auto"/>
            </w:tcBorders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 xml:space="preserve">ASAQ, f </w:t>
            </w:r>
          </w:p>
        </w:tc>
        <w:tc>
          <w:tcPr>
            <w:tcW w:w="776" w:type="dxa"/>
            <w:vMerge/>
            <w:tcBorders>
              <w:top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492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19/492</w:t>
            </w:r>
          </w:p>
        </w:tc>
        <w:tc>
          <w:tcPr>
            <w:tcW w:w="117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87416F" w:rsidRPr="00B21AE4" w:rsidRDefault="0087416F" w:rsidP="0066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B21AE4">
              <w:rPr>
                <w:rFonts w:ascii="Times New Roman" w:eastAsia="Times New Roman" w:hAnsi="Times New Roman" w:cs="Times New Roman"/>
                <w:sz w:val="14"/>
                <w:szCs w:val="20"/>
              </w:rPr>
              <w:t>466/470 (99.2)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F" w:rsidRPr="00B21AE4" w:rsidRDefault="0087416F" w:rsidP="00BD12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</w:p>
        </w:tc>
      </w:tr>
    </w:tbl>
    <w:p w:rsidR="000540D1" w:rsidRDefault="00C5784D" w:rsidP="00A6291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Abbreviations:- </w:t>
      </w:r>
      <w:r w:rsidR="00B21AE4">
        <w:rPr>
          <w:rFonts w:ascii="Times New Roman" w:hAnsi="Times New Roman"/>
          <w:i/>
          <w:sz w:val="24"/>
          <w:szCs w:val="24"/>
        </w:rPr>
        <w:t xml:space="preserve">ACPR: adequate clinical and parasitological response, ACT: </w:t>
      </w:r>
      <w:proofErr w:type="spellStart"/>
      <w:r w:rsidR="00B21AE4">
        <w:rPr>
          <w:rFonts w:ascii="Times New Roman" w:hAnsi="Times New Roman"/>
          <w:i/>
          <w:sz w:val="24"/>
          <w:szCs w:val="24"/>
        </w:rPr>
        <w:t>artimisinin</w:t>
      </w:r>
      <w:proofErr w:type="spellEnd"/>
      <w:r w:rsidR="00B21AE4">
        <w:rPr>
          <w:rFonts w:ascii="Times New Roman" w:hAnsi="Times New Roman"/>
          <w:i/>
          <w:sz w:val="24"/>
          <w:szCs w:val="24"/>
        </w:rPr>
        <w:t xml:space="preserve"> combination therapy, PCR: polymerase chain reaction, RCT: randomized controlled trial, </w:t>
      </w:r>
      <w:r w:rsidR="0000560E">
        <w:rPr>
          <w:rFonts w:ascii="Times New Roman" w:hAnsi="Times New Roman"/>
          <w:i/>
          <w:sz w:val="24"/>
          <w:szCs w:val="24"/>
        </w:rPr>
        <w:t xml:space="preserve">f: fixed-dose combination, l: loose combination, </w:t>
      </w:r>
      <w:r w:rsidR="00B21AE4">
        <w:rPr>
          <w:rFonts w:ascii="Times New Roman" w:hAnsi="Times New Roman"/>
          <w:i/>
          <w:sz w:val="24"/>
          <w:szCs w:val="24"/>
        </w:rPr>
        <w:t xml:space="preserve">AL: </w:t>
      </w:r>
      <w:proofErr w:type="spellStart"/>
      <w:r w:rsidR="00B21AE4">
        <w:rPr>
          <w:rFonts w:ascii="Times New Roman" w:hAnsi="Times New Roman"/>
          <w:i/>
          <w:sz w:val="24"/>
          <w:szCs w:val="24"/>
        </w:rPr>
        <w:t>Artemether–Lumefantrine</w:t>
      </w:r>
      <w:proofErr w:type="spellEnd"/>
      <w:r w:rsidR="00B21AE4">
        <w:rPr>
          <w:rFonts w:ascii="Times New Roman" w:hAnsi="Times New Roman"/>
          <w:i/>
          <w:sz w:val="24"/>
          <w:szCs w:val="24"/>
        </w:rPr>
        <w:t xml:space="preserve">, </w:t>
      </w:r>
      <w:r w:rsidR="00B21AE4" w:rsidRPr="00DC56DA">
        <w:rPr>
          <w:rFonts w:ascii="Times New Roman" w:hAnsi="Times New Roman"/>
          <w:i/>
          <w:sz w:val="24"/>
          <w:szCs w:val="24"/>
        </w:rPr>
        <w:t>ASAQ</w:t>
      </w:r>
      <w:r w:rsidR="00B21AE4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="00B21AE4">
        <w:rPr>
          <w:rFonts w:ascii="Times New Roman" w:hAnsi="Times New Roman"/>
          <w:i/>
          <w:sz w:val="24"/>
          <w:szCs w:val="24"/>
        </w:rPr>
        <w:t>Artesunate–Amodiaquine</w:t>
      </w:r>
      <w:proofErr w:type="spellEnd"/>
      <w:r w:rsidR="00B21AE4">
        <w:rPr>
          <w:rFonts w:ascii="Times New Roman" w:hAnsi="Times New Roman"/>
          <w:i/>
          <w:sz w:val="24"/>
          <w:szCs w:val="24"/>
        </w:rPr>
        <w:t xml:space="preserve">, </w:t>
      </w:r>
      <w:r w:rsidR="00B21AE4" w:rsidRPr="00C17A4E">
        <w:rPr>
          <w:rFonts w:ascii="Times New Roman" w:hAnsi="Times New Roman"/>
          <w:i/>
          <w:sz w:val="24"/>
          <w:szCs w:val="24"/>
        </w:rPr>
        <w:t xml:space="preserve">DP: </w:t>
      </w:r>
      <w:proofErr w:type="spellStart"/>
      <w:r w:rsidR="00B21AE4" w:rsidRPr="00C17A4E">
        <w:rPr>
          <w:rFonts w:ascii="Times New Roman" w:hAnsi="Times New Roman"/>
          <w:i/>
          <w:sz w:val="24"/>
          <w:szCs w:val="24"/>
        </w:rPr>
        <w:t>dihydroartemisinin-piperaquine</w:t>
      </w:r>
      <w:proofErr w:type="spellEnd"/>
      <w:r w:rsidR="00B21AE4" w:rsidRPr="00C17A4E">
        <w:rPr>
          <w:rFonts w:ascii="Times New Roman" w:hAnsi="Times New Roman"/>
          <w:i/>
          <w:sz w:val="24"/>
          <w:szCs w:val="24"/>
        </w:rPr>
        <w:t xml:space="preserve">, </w:t>
      </w:r>
      <w:r w:rsidR="00B21AE4">
        <w:rPr>
          <w:rFonts w:ascii="Times New Roman" w:hAnsi="Times New Roman"/>
          <w:i/>
          <w:sz w:val="24"/>
        </w:rPr>
        <w:t xml:space="preserve">CDA: </w:t>
      </w:r>
      <w:proofErr w:type="spellStart"/>
      <w:r w:rsidR="00B21AE4" w:rsidRPr="006D3848">
        <w:rPr>
          <w:rFonts w:ascii="Times New Roman" w:hAnsi="Times New Roman"/>
          <w:sz w:val="24"/>
        </w:rPr>
        <w:t>Chlorproguanil-dapsone-artesunate</w:t>
      </w:r>
      <w:r w:rsidR="00B21AE4">
        <w:rPr>
          <w:rFonts w:ascii="Times New Roman" w:hAnsi="Times New Roman"/>
          <w:sz w:val="24"/>
        </w:rPr>
        <w:t>,</w:t>
      </w:r>
      <w:r w:rsidR="00B21AE4" w:rsidRPr="00C17A4E">
        <w:rPr>
          <w:rFonts w:ascii="Times New Roman" w:hAnsi="Times New Roman"/>
          <w:i/>
          <w:sz w:val="24"/>
          <w:szCs w:val="24"/>
        </w:rPr>
        <w:t>AP</w:t>
      </w:r>
      <w:proofErr w:type="spellEnd"/>
      <w:r w:rsidR="00B21AE4" w:rsidRPr="00C17A4E">
        <w:rPr>
          <w:rFonts w:ascii="Times New Roman" w:hAnsi="Times New Roman"/>
          <w:i/>
          <w:sz w:val="24"/>
          <w:szCs w:val="24"/>
        </w:rPr>
        <w:t xml:space="preserve">: </w:t>
      </w:r>
      <w:proofErr w:type="spellStart"/>
      <w:r w:rsidR="00B21AE4" w:rsidRPr="00C17A4E">
        <w:rPr>
          <w:rFonts w:ascii="Times New Roman" w:hAnsi="Times New Roman"/>
          <w:i/>
          <w:sz w:val="24"/>
          <w:szCs w:val="24"/>
        </w:rPr>
        <w:t>artesunate-pyronaridine</w:t>
      </w:r>
      <w:proofErr w:type="spellEnd"/>
      <w:r w:rsidR="00B21AE4">
        <w:rPr>
          <w:rFonts w:ascii="Times New Roman" w:hAnsi="Times New Roman"/>
          <w:i/>
          <w:sz w:val="24"/>
          <w:szCs w:val="24"/>
        </w:rPr>
        <w:t xml:space="preserve">, ASSMP: </w:t>
      </w:r>
      <w:proofErr w:type="spellStart"/>
      <w:r w:rsidR="00B21AE4" w:rsidRPr="00DC56DA">
        <w:rPr>
          <w:rFonts w:ascii="Times New Roman" w:hAnsi="Times New Roman"/>
          <w:i/>
          <w:sz w:val="24"/>
          <w:szCs w:val="24"/>
        </w:rPr>
        <w:t>Artesunate-Sulpha</w:t>
      </w:r>
      <w:r w:rsidR="00B21AE4">
        <w:rPr>
          <w:rFonts w:ascii="Times New Roman" w:hAnsi="Times New Roman"/>
          <w:i/>
          <w:sz w:val="24"/>
          <w:szCs w:val="24"/>
        </w:rPr>
        <w:t>methoxypyrazine-Pyrimethamine</w:t>
      </w:r>
      <w:proofErr w:type="spellEnd"/>
      <w:r w:rsidR="001F518C">
        <w:rPr>
          <w:rFonts w:ascii="Times New Roman" w:hAnsi="Times New Roman"/>
          <w:i/>
          <w:sz w:val="24"/>
          <w:szCs w:val="24"/>
        </w:rPr>
        <w:t xml:space="preserve">, CQ: </w:t>
      </w:r>
      <w:proofErr w:type="spellStart"/>
      <w:r w:rsidR="001F518C">
        <w:rPr>
          <w:rFonts w:ascii="Times New Roman" w:hAnsi="Times New Roman"/>
          <w:i/>
          <w:sz w:val="24"/>
          <w:szCs w:val="24"/>
        </w:rPr>
        <w:t>Chloroquine</w:t>
      </w:r>
      <w:proofErr w:type="spellEnd"/>
      <w:r w:rsidR="001F518C">
        <w:rPr>
          <w:rFonts w:ascii="Times New Roman" w:hAnsi="Times New Roman"/>
          <w:i/>
          <w:sz w:val="24"/>
          <w:szCs w:val="24"/>
        </w:rPr>
        <w:t xml:space="preserve">, AQ: </w:t>
      </w:r>
      <w:proofErr w:type="spellStart"/>
      <w:r w:rsidR="001F518C" w:rsidRPr="001F518C">
        <w:rPr>
          <w:rFonts w:ascii="Times New Roman" w:hAnsi="Times New Roman"/>
          <w:i/>
          <w:sz w:val="24"/>
          <w:szCs w:val="24"/>
        </w:rPr>
        <w:t>amodiaquine</w:t>
      </w:r>
      <w:proofErr w:type="spellEnd"/>
      <w:r w:rsidR="001F518C">
        <w:rPr>
          <w:rFonts w:ascii="Times New Roman" w:hAnsi="Times New Roman"/>
          <w:i/>
          <w:sz w:val="24"/>
          <w:szCs w:val="24"/>
        </w:rPr>
        <w:t xml:space="preserve">, SP: </w:t>
      </w:r>
      <w:proofErr w:type="spellStart"/>
      <w:r w:rsidR="001F518C">
        <w:rPr>
          <w:rFonts w:ascii="Times New Roman" w:hAnsi="Times New Roman"/>
          <w:i/>
          <w:sz w:val="24"/>
          <w:szCs w:val="24"/>
        </w:rPr>
        <w:t>sulfadoxine-primethamine</w:t>
      </w:r>
      <w:proofErr w:type="spellEnd"/>
    </w:p>
    <w:sectPr w:rsidR="000540D1" w:rsidSect="00FC37E0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746DAA"/>
    <w:rsid w:val="0000560E"/>
    <w:rsid w:val="000540D1"/>
    <w:rsid w:val="00063617"/>
    <w:rsid w:val="001011C1"/>
    <w:rsid w:val="001F518C"/>
    <w:rsid w:val="00261AFE"/>
    <w:rsid w:val="002630CB"/>
    <w:rsid w:val="002964B3"/>
    <w:rsid w:val="002F2092"/>
    <w:rsid w:val="00342EA5"/>
    <w:rsid w:val="004D6D6C"/>
    <w:rsid w:val="00550155"/>
    <w:rsid w:val="005540B6"/>
    <w:rsid w:val="005F47E7"/>
    <w:rsid w:val="005F5D1F"/>
    <w:rsid w:val="0064785A"/>
    <w:rsid w:val="006E7730"/>
    <w:rsid w:val="00707138"/>
    <w:rsid w:val="007341FB"/>
    <w:rsid w:val="00746DAA"/>
    <w:rsid w:val="007725A8"/>
    <w:rsid w:val="00835A2C"/>
    <w:rsid w:val="00847069"/>
    <w:rsid w:val="0086525D"/>
    <w:rsid w:val="00871262"/>
    <w:rsid w:val="00871EDF"/>
    <w:rsid w:val="0087416F"/>
    <w:rsid w:val="0087540F"/>
    <w:rsid w:val="008F1354"/>
    <w:rsid w:val="00A0443F"/>
    <w:rsid w:val="00A11472"/>
    <w:rsid w:val="00A12641"/>
    <w:rsid w:val="00A15032"/>
    <w:rsid w:val="00A160D2"/>
    <w:rsid w:val="00A47C56"/>
    <w:rsid w:val="00A62912"/>
    <w:rsid w:val="00AC471E"/>
    <w:rsid w:val="00B21AE4"/>
    <w:rsid w:val="00BC7C6C"/>
    <w:rsid w:val="00BD1294"/>
    <w:rsid w:val="00C260B3"/>
    <w:rsid w:val="00C305DD"/>
    <w:rsid w:val="00C53B52"/>
    <w:rsid w:val="00C5784D"/>
    <w:rsid w:val="00C83722"/>
    <w:rsid w:val="00CB331C"/>
    <w:rsid w:val="00D56486"/>
    <w:rsid w:val="00D974DC"/>
    <w:rsid w:val="00DC719B"/>
    <w:rsid w:val="00F04B88"/>
    <w:rsid w:val="00F3246A"/>
    <w:rsid w:val="00FC1170"/>
    <w:rsid w:val="00FC37E0"/>
    <w:rsid w:val="00FE5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FB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1354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354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1264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Malaria%20Review-Pregnancy\pediatrics\Table%201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Table 1 (1)</Template>
  <TotalTime>2</TotalTime>
  <Pages>2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2020-05-16T17:51:00Z</cp:lastPrinted>
  <dcterms:created xsi:type="dcterms:W3CDTF">2020-07-16T09:40:00Z</dcterms:created>
  <dcterms:modified xsi:type="dcterms:W3CDTF">2020-07-16T09:45:00Z</dcterms:modified>
</cp:coreProperties>
</file>