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B73" w:rsidRDefault="00CD7B73">
      <w:pPr>
        <w:pStyle w:val="TOCHeading"/>
        <w:rPr>
          <w:rFonts w:asciiTheme="minorHAnsi" w:eastAsiaTheme="minorEastAsia" w:hAnsiTheme="minorHAnsi" w:cs="Times New Roman"/>
          <w:color w:val="auto"/>
          <w:sz w:val="22"/>
          <w:szCs w:val="22"/>
        </w:rPr>
      </w:pPr>
      <w:bookmarkStart w:id="0" w:name="_GoBack"/>
      <w:bookmarkEnd w:id="0"/>
    </w:p>
    <w:p w:rsidR="00CD7B73" w:rsidRPr="00F351DC" w:rsidRDefault="00CD7B73" w:rsidP="00CD7B73">
      <w:pPr>
        <w:pStyle w:val="TOCHeading"/>
        <w:jc w:val="center"/>
        <w:rPr>
          <w:rFonts w:ascii="Times New Roman" w:eastAsiaTheme="minorEastAsia" w:hAnsi="Times New Roman" w:cs="Times New Roman"/>
          <w:b/>
          <w:color w:val="auto"/>
          <w:sz w:val="24"/>
          <w:szCs w:val="24"/>
        </w:rPr>
      </w:pPr>
      <w:r w:rsidRPr="00F351DC">
        <w:rPr>
          <w:rFonts w:ascii="Times New Roman" w:eastAsiaTheme="minorEastAsia" w:hAnsi="Times New Roman" w:cs="Times New Roman"/>
          <w:b/>
          <w:color w:val="auto"/>
          <w:sz w:val="24"/>
          <w:szCs w:val="24"/>
        </w:rPr>
        <w:t>Supplementary Appendix</w:t>
      </w:r>
    </w:p>
    <w:p w:rsidR="00CD7B73" w:rsidRPr="00061CAF" w:rsidRDefault="00CD7B73" w:rsidP="00CD7B73">
      <w:r w:rsidRPr="00061CAF">
        <w:t>Interferon-gamma release assay levels and risk of progression to active tuberculosis: a systematic review and dose-response meta-regression analysis</w:t>
      </w:r>
    </w:p>
    <w:sdt>
      <w:sdtPr>
        <w:rPr>
          <w:rFonts w:asciiTheme="minorHAnsi" w:eastAsiaTheme="minorEastAsia" w:hAnsiTheme="minorHAnsi" w:cs="Times New Roman"/>
          <w:color w:val="auto"/>
          <w:sz w:val="22"/>
          <w:szCs w:val="22"/>
        </w:rPr>
        <w:id w:val="1179549131"/>
        <w:docPartObj>
          <w:docPartGallery w:val="Table of Contents"/>
          <w:docPartUnique/>
        </w:docPartObj>
      </w:sdtPr>
      <w:sdtEndPr/>
      <w:sdtContent>
        <w:p w:rsidR="001C588B" w:rsidRDefault="001C588B">
          <w:pPr>
            <w:pStyle w:val="TOCHeading"/>
          </w:pPr>
          <w:r>
            <w:t>Table of Contents</w:t>
          </w:r>
        </w:p>
        <w:p w:rsidR="001C588B" w:rsidRDefault="001C588B">
          <w:pPr>
            <w:pStyle w:val="TOC1"/>
          </w:pPr>
          <w:r>
            <w:rPr>
              <w:b/>
              <w:bCs/>
            </w:rPr>
            <w:t>Table S1</w:t>
          </w:r>
          <w:r w:rsidR="00FC69DD">
            <w:rPr>
              <w:b/>
              <w:bCs/>
            </w:rPr>
            <w:t xml:space="preserve">. </w:t>
          </w:r>
          <w:r w:rsidR="00FC69DD" w:rsidRPr="0068240D">
            <w:rPr>
              <w:b/>
            </w:rPr>
            <w:t>Characteristics of the studies included in the meta-analysis</w:t>
          </w:r>
          <w:r>
            <w:ptab w:relativeTo="margin" w:alignment="right" w:leader="dot"/>
          </w:r>
          <w:r>
            <w:rPr>
              <w:b/>
              <w:bCs/>
            </w:rPr>
            <w:t>1</w:t>
          </w:r>
        </w:p>
        <w:p w:rsidR="001C588B" w:rsidRDefault="00CB5D5C">
          <w:pPr>
            <w:pStyle w:val="TOC1"/>
            <w:rPr>
              <w:b/>
              <w:bCs/>
            </w:rPr>
          </w:pPr>
          <w:r>
            <w:rPr>
              <w:b/>
              <w:bCs/>
            </w:rPr>
            <w:t>Table S2</w:t>
          </w:r>
          <w:r w:rsidR="00FC69DD" w:rsidRPr="005C746D">
            <w:rPr>
              <w:b/>
            </w:rPr>
            <w:t xml:space="preserve">. Search </w:t>
          </w:r>
          <w:r w:rsidR="00FC69DD">
            <w:rPr>
              <w:b/>
            </w:rPr>
            <w:t>s</w:t>
          </w:r>
          <w:r w:rsidR="00FC69DD" w:rsidRPr="005C746D">
            <w:rPr>
              <w:b/>
            </w:rPr>
            <w:t>trategies</w:t>
          </w:r>
          <w:r w:rsidR="00FC69DD">
            <w:t xml:space="preserve"> </w:t>
          </w:r>
          <w:r w:rsidR="001C588B">
            <w:ptab w:relativeTo="margin" w:alignment="right" w:leader="dot"/>
          </w:r>
          <w:r w:rsidR="00FD1321" w:rsidRPr="00FD1321">
            <w:rPr>
              <w:b/>
            </w:rPr>
            <w:t>6</w:t>
          </w:r>
        </w:p>
        <w:p w:rsidR="00CB5D5C" w:rsidRDefault="00CB5D5C" w:rsidP="00CB5D5C">
          <w:pPr>
            <w:pStyle w:val="TOC1"/>
            <w:rPr>
              <w:b/>
              <w:bCs/>
            </w:rPr>
          </w:pPr>
          <w:r>
            <w:rPr>
              <w:b/>
              <w:bCs/>
            </w:rPr>
            <w:t>Table S3</w:t>
          </w:r>
          <w:r w:rsidR="00FC69DD">
            <w:rPr>
              <w:b/>
              <w:bCs/>
            </w:rPr>
            <w:t xml:space="preserve">. </w:t>
          </w:r>
          <w:r w:rsidR="00FC69DD" w:rsidRPr="005C746D">
            <w:rPr>
              <w:b/>
            </w:rPr>
            <w:t>Newcastle-Ottawa quality assessment scale adopted for quality assessment</w:t>
          </w:r>
          <w:r w:rsidR="00FC69DD">
            <w:t xml:space="preserve"> </w:t>
          </w:r>
          <w:r w:rsidRPr="00341525">
            <w:ptab w:relativeTo="margin" w:alignment="right" w:leader="dot"/>
          </w:r>
          <w:r w:rsidR="00FD1321">
            <w:rPr>
              <w:b/>
            </w:rPr>
            <w:t>7</w:t>
          </w:r>
        </w:p>
        <w:p w:rsidR="00524D96" w:rsidRDefault="00524D96" w:rsidP="00524D96">
          <w:pPr>
            <w:pStyle w:val="TOC1"/>
            <w:rPr>
              <w:b/>
              <w:bCs/>
            </w:rPr>
          </w:pPr>
          <w:r>
            <w:rPr>
              <w:b/>
              <w:bCs/>
            </w:rPr>
            <w:t xml:space="preserve">Figure S1. </w:t>
          </w:r>
          <w:r>
            <w:rPr>
              <w:b/>
            </w:rPr>
            <w:t>Sensitivity analysis results (</w:t>
          </w:r>
          <w:r w:rsidR="00FD1321">
            <w:rPr>
              <w:b/>
            </w:rPr>
            <w:t>comparing time to incident TB of 2 or 3 months to 6 months or more</w:t>
          </w:r>
          <w:r>
            <w:rPr>
              <w:b/>
            </w:rPr>
            <w:t>)</w:t>
          </w:r>
          <w:r>
            <w:t xml:space="preserve"> </w:t>
          </w:r>
          <w:r>
            <w:ptab w:relativeTo="margin" w:alignment="right" w:leader="dot"/>
          </w:r>
          <w:r w:rsidR="00FD1321" w:rsidRPr="00FD1321">
            <w:rPr>
              <w:b/>
            </w:rPr>
            <w:t>8</w:t>
          </w:r>
        </w:p>
        <w:p w:rsidR="00FD1321" w:rsidRDefault="00FD1321" w:rsidP="00FD1321">
          <w:pPr>
            <w:pStyle w:val="TOC1"/>
            <w:rPr>
              <w:b/>
              <w:bCs/>
            </w:rPr>
          </w:pPr>
          <w:r>
            <w:rPr>
              <w:b/>
              <w:bCs/>
            </w:rPr>
            <w:t xml:space="preserve">Figure S2. </w:t>
          </w:r>
          <w:r>
            <w:rPr>
              <w:b/>
            </w:rPr>
            <w:t>Sensitivity analysis results (comparing bacteriologically confirmed TB to clinically confirmed TB)</w:t>
          </w:r>
          <w:r>
            <w:t xml:space="preserve"> </w:t>
          </w:r>
          <w:r w:rsidRPr="00341525">
            <w:ptab w:relativeTo="margin" w:alignment="right" w:leader="dot"/>
          </w:r>
          <w:r>
            <w:rPr>
              <w:b/>
            </w:rPr>
            <w:t>8</w:t>
          </w:r>
        </w:p>
        <w:p w:rsidR="00FD1321" w:rsidRDefault="00FD1321" w:rsidP="00FD1321">
          <w:pPr>
            <w:pStyle w:val="TOC1"/>
            <w:rPr>
              <w:b/>
            </w:rPr>
          </w:pPr>
          <w:r>
            <w:rPr>
              <w:b/>
              <w:bCs/>
            </w:rPr>
            <w:t xml:space="preserve">Figure S3. </w:t>
          </w:r>
          <w:r>
            <w:rPr>
              <w:b/>
            </w:rPr>
            <w:t>Sensitivity analysis results (</w:t>
          </w:r>
          <w:r w:rsidR="008113B7">
            <w:rPr>
              <w:b/>
            </w:rPr>
            <w:t>comparing all form TB incidence in country of study by &lt; 40 per 100,000 and</w:t>
          </w:r>
          <w:r w:rsidR="008113B7" w:rsidRPr="00B46D8A">
            <w:rPr>
              <w:b/>
            </w:rPr>
            <w:t xml:space="preserve"> </w:t>
          </w:r>
          <w:r w:rsidR="008113B7" w:rsidRPr="00B46D8A">
            <w:rPr>
              <w:b/>
              <w:u w:val="single"/>
            </w:rPr>
            <w:t>&gt;</w:t>
          </w:r>
          <w:r w:rsidR="008113B7">
            <w:rPr>
              <w:b/>
            </w:rPr>
            <w:t xml:space="preserve"> 40 per 100,000 )</w:t>
          </w:r>
          <w:r>
            <w:t xml:space="preserve"> </w:t>
          </w:r>
          <w:r w:rsidRPr="00341525">
            <w:ptab w:relativeTo="margin" w:alignment="right" w:leader="dot"/>
          </w:r>
          <w:r>
            <w:rPr>
              <w:b/>
            </w:rPr>
            <w:t>9</w:t>
          </w:r>
        </w:p>
        <w:p w:rsidR="00B46D8A" w:rsidRPr="00B46D8A" w:rsidRDefault="00B46D8A" w:rsidP="00B46D8A">
          <w:pPr>
            <w:pStyle w:val="TOC1"/>
            <w:rPr>
              <w:b/>
              <w:bCs/>
            </w:rPr>
          </w:pPr>
          <w:r>
            <w:rPr>
              <w:b/>
              <w:bCs/>
            </w:rPr>
            <w:t xml:space="preserve">Figure S4. </w:t>
          </w:r>
          <w:r>
            <w:rPr>
              <w:b/>
            </w:rPr>
            <w:t>Sensitivity analysis results (excluding studies that provided TB preventive treatment)</w:t>
          </w:r>
          <w:r>
            <w:t xml:space="preserve"> </w:t>
          </w:r>
          <w:r w:rsidRPr="00341525">
            <w:ptab w:relativeTo="margin" w:alignment="right" w:leader="dot"/>
          </w:r>
          <w:r>
            <w:rPr>
              <w:b/>
            </w:rPr>
            <w:t>9</w:t>
          </w:r>
        </w:p>
        <w:p w:rsidR="00CB5D5C" w:rsidRDefault="00FC69DD" w:rsidP="00CB5D5C">
          <w:pPr>
            <w:pStyle w:val="TOC1"/>
            <w:rPr>
              <w:b/>
              <w:bCs/>
            </w:rPr>
          </w:pPr>
          <w:r w:rsidRPr="00F774BD">
            <w:rPr>
              <w:b/>
            </w:rPr>
            <w:t xml:space="preserve">Estimating the relative risks of developing active TB by </w:t>
          </w:r>
          <w:r>
            <w:rPr>
              <w:b/>
            </w:rPr>
            <w:t>interferon gamma levels</w:t>
          </w:r>
          <w:r>
            <w:t xml:space="preserve"> </w:t>
          </w:r>
          <w:r w:rsidR="00CB5D5C" w:rsidRPr="00FD1321">
            <w:ptab w:relativeTo="margin" w:alignment="right" w:leader="dot"/>
          </w:r>
          <w:r w:rsidR="00FD1321" w:rsidRPr="00FD1321">
            <w:rPr>
              <w:b/>
            </w:rPr>
            <w:t>10</w:t>
          </w:r>
        </w:p>
        <w:p w:rsidR="001C588B" w:rsidRPr="00FC69DD" w:rsidRDefault="00FC69DD" w:rsidP="00FC69DD">
          <w:pPr>
            <w:pStyle w:val="TOC1"/>
            <w:rPr>
              <w:b/>
              <w:bCs/>
            </w:rPr>
          </w:pPr>
          <w:r>
            <w:rPr>
              <w:b/>
            </w:rPr>
            <w:t>PRISMA-P 2015 Checklist</w:t>
          </w:r>
          <w:r>
            <w:t xml:space="preserve"> </w:t>
          </w:r>
          <w:r>
            <w:ptab w:relativeTo="margin" w:alignment="right" w:leader="dot"/>
          </w:r>
          <w:r>
            <w:rPr>
              <w:b/>
              <w:bCs/>
            </w:rPr>
            <w:t>1</w:t>
          </w:r>
          <w:r w:rsidR="00FD1321">
            <w:rPr>
              <w:b/>
              <w:bCs/>
            </w:rPr>
            <w:t>1</w:t>
          </w:r>
        </w:p>
        <w:p w:rsidR="001C588B" w:rsidRDefault="00AB5351" w:rsidP="00FC69DD">
          <w:pPr>
            <w:pStyle w:val="TOC3"/>
          </w:pPr>
        </w:p>
      </w:sdtContent>
    </w:sdt>
    <w:p w:rsidR="001C588B" w:rsidRDefault="001C588B" w:rsidP="001C588B">
      <w:pPr>
        <w:pStyle w:val="TOCHeading"/>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pPr>
    </w:p>
    <w:p w:rsidR="001C588B" w:rsidRDefault="001C588B">
      <w:pPr>
        <w:rPr>
          <w:b/>
        </w:rPr>
        <w:sectPr w:rsidR="001C588B" w:rsidSect="00341525">
          <w:headerReference w:type="default" r:id="rId7"/>
          <w:footerReference w:type="default" r:id="rId8"/>
          <w:pgSz w:w="12240" w:h="15840"/>
          <w:pgMar w:top="720" w:right="720" w:bottom="720" w:left="720" w:header="720" w:footer="720" w:gutter="0"/>
          <w:pgNumType w:start="0"/>
          <w:cols w:space="720"/>
          <w:titlePg/>
          <w:docGrid w:linePitch="360"/>
        </w:sectPr>
      </w:pPr>
    </w:p>
    <w:p w:rsidR="001C588B" w:rsidRDefault="001C588B">
      <w:pPr>
        <w:rPr>
          <w:b/>
        </w:rPr>
      </w:pPr>
    </w:p>
    <w:p w:rsidR="00C11B16" w:rsidRPr="0068240D" w:rsidRDefault="0068240D">
      <w:pPr>
        <w:rPr>
          <w:b/>
        </w:rPr>
      </w:pPr>
      <w:r w:rsidRPr="0068240D">
        <w:rPr>
          <w:b/>
        </w:rPr>
        <w:t xml:space="preserve">Table </w:t>
      </w:r>
      <w:r w:rsidR="003D2AED">
        <w:rPr>
          <w:b/>
        </w:rPr>
        <w:t>S</w:t>
      </w:r>
      <w:r w:rsidRPr="0068240D">
        <w:rPr>
          <w:b/>
        </w:rPr>
        <w:t>1. Characteristics of the studies included in the meta-analysis</w:t>
      </w:r>
    </w:p>
    <w:p w:rsidR="00C529FA" w:rsidRDefault="00C529FA">
      <w:r>
        <w:fldChar w:fldCharType="begin"/>
      </w:r>
      <w:r>
        <w:instrText xml:space="preserve"> LINK </w:instrText>
      </w:r>
      <w:r w:rsidR="00B22426">
        <w:instrText xml:space="preserve">Excel.Sheet.12 C:\\Users\\jledes2\\Documents\\Class\\Practicum\\descriptive_table.xlsx Sheet1!R1C1:R35C12 </w:instrText>
      </w:r>
      <w:r>
        <w:instrText xml:space="preserve">\a \f 4 \h  \* MERGEFORMAT </w:instrText>
      </w:r>
      <w:r>
        <w:fldChar w:fldCharType="separate"/>
      </w:r>
    </w:p>
    <w:tbl>
      <w:tblPr>
        <w:tblW w:w="15385"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170"/>
        <w:gridCol w:w="1080"/>
        <w:gridCol w:w="990"/>
        <w:gridCol w:w="1080"/>
        <w:gridCol w:w="1530"/>
        <w:gridCol w:w="810"/>
        <w:gridCol w:w="1080"/>
        <w:gridCol w:w="1350"/>
        <w:gridCol w:w="1080"/>
        <w:gridCol w:w="1440"/>
        <w:gridCol w:w="1800"/>
        <w:gridCol w:w="810"/>
      </w:tblGrid>
      <w:tr w:rsidR="001770B1" w:rsidRPr="00C529FA" w:rsidTr="009D4FEF">
        <w:trPr>
          <w:trHeight w:val="576"/>
        </w:trPr>
        <w:tc>
          <w:tcPr>
            <w:tcW w:w="1165"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Study</w:t>
            </w:r>
          </w:p>
        </w:tc>
        <w:tc>
          <w:tcPr>
            <w:tcW w:w="117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Study Type</w:t>
            </w:r>
          </w:p>
        </w:tc>
        <w:tc>
          <w:tcPr>
            <w:tcW w:w="108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Population</w:t>
            </w:r>
          </w:p>
        </w:tc>
        <w:tc>
          <w:tcPr>
            <w:tcW w:w="99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Country</w:t>
            </w:r>
          </w:p>
        </w:tc>
        <w:tc>
          <w:tcPr>
            <w:tcW w:w="108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Time period</w:t>
            </w:r>
          </w:p>
        </w:tc>
        <w:tc>
          <w:tcPr>
            <w:tcW w:w="153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 xml:space="preserve">Age </w:t>
            </w:r>
          </w:p>
        </w:tc>
        <w:tc>
          <w:tcPr>
            <w:tcW w:w="81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Sample size</w:t>
            </w:r>
          </w:p>
        </w:tc>
        <w:tc>
          <w:tcPr>
            <w:tcW w:w="108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Follow-up time</w:t>
            </w:r>
          </w:p>
        </w:tc>
        <w:tc>
          <w:tcPr>
            <w:tcW w:w="1350" w:type="dxa"/>
            <w:vAlign w:val="bottom"/>
          </w:tcPr>
          <w:p w:rsidR="001770B1" w:rsidRPr="00392BB7" w:rsidRDefault="001770B1" w:rsidP="008C0DA2">
            <w:pPr>
              <w:spacing w:line="240" w:lineRule="auto"/>
              <w:jc w:val="center"/>
              <w:rPr>
                <w:rFonts w:eastAsia="Times New Roman"/>
                <w:b/>
                <w:bCs/>
                <w:color w:val="000000"/>
                <w:sz w:val="18"/>
                <w:szCs w:val="22"/>
              </w:rPr>
            </w:pPr>
            <w:r>
              <w:rPr>
                <w:rFonts w:eastAsia="Times New Roman"/>
                <w:b/>
                <w:bCs/>
                <w:color w:val="000000"/>
                <w:sz w:val="18"/>
                <w:szCs w:val="22"/>
              </w:rPr>
              <w:t>Time to incident TB case</w:t>
            </w:r>
          </w:p>
        </w:tc>
        <w:tc>
          <w:tcPr>
            <w:tcW w:w="108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TB Preventive Treatment</w:t>
            </w:r>
          </w:p>
        </w:tc>
        <w:tc>
          <w:tcPr>
            <w:tcW w:w="144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TB diagnosis</w:t>
            </w:r>
          </w:p>
        </w:tc>
        <w:tc>
          <w:tcPr>
            <w:tcW w:w="1800" w:type="dxa"/>
            <w:vAlign w:val="bottom"/>
          </w:tcPr>
          <w:p w:rsidR="001770B1" w:rsidRPr="00392BB7" w:rsidRDefault="001770B1" w:rsidP="001770B1">
            <w:pPr>
              <w:spacing w:line="240" w:lineRule="auto"/>
              <w:jc w:val="center"/>
              <w:rPr>
                <w:rFonts w:eastAsia="Times New Roman"/>
                <w:b/>
                <w:bCs/>
                <w:color w:val="000000"/>
                <w:sz w:val="18"/>
                <w:szCs w:val="22"/>
              </w:rPr>
            </w:pPr>
            <w:r>
              <w:rPr>
                <w:rFonts w:eastAsia="Times New Roman"/>
                <w:b/>
                <w:bCs/>
                <w:color w:val="000000"/>
                <w:sz w:val="18"/>
                <w:szCs w:val="22"/>
              </w:rPr>
              <w:t>Incident TB cases</w:t>
            </w:r>
          </w:p>
        </w:tc>
        <w:tc>
          <w:tcPr>
            <w:tcW w:w="810" w:type="dxa"/>
            <w:shd w:val="clear" w:color="auto" w:fill="auto"/>
            <w:vAlign w:val="bottom"/>
            <w:hideMark/>
          </w:tcPr>
          <w:p w:rsidR="001770B1" w:rsidRPr="00392BB7" w:rsidRDefault="001770B1" w:rsidP="00C529FA">
            <w:pPr>
              <w:spacing w:line="240" w:lineRule="auto"/>
              <w:jc w:val="center"/>
              <w:rPr>
                <w:rFonts w:eastAsia="Times New Roman"/>
                <w:b/>
                <w:bCs/>
                <w:color w:val="000000"/>
                <w:sz w:val="18"/>
                <w:szCs w:val="22"/>
              </w:rPr>
            </w:pPr>
            <w:r w:rsidRPr="00392BB7">
              <w:rPr>
                <w:rFonts w:eastAsia="Times New Roman"/>
                <w:b/>
                <w:bCs/>
                <w:color w:val="000000"/>
                <w:sz w:val="18"/>
                <w:szCs w:val="22"/>
              </w:rPr>
              <w:t>NOS Quality Score</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Abdulkareem</w:t>
            </w:r>
            <w:proofErr w:type="spellEnd"/>
            <w:r w:rsidRPr="00392BB7">
              <w:rPr>
                <w:rFonts w:eastAsia="Times New Roman"/>
                <w:color w:val="000000"/>
                <w:sz w:val="16"/>
                <w:szCs w:val="16"/>
              </w:rPr>
              <w:t xml:space="preserve"> (2020)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{"citationItems":[{"id":"ITEM-1","itemData":{"DOI":"10.1016/j.ijid.2020.03.067","ISSN":"12019712","author":[{"dropping-particle":"","family":"Abdulkareem","given":"Fatima Nawaf","non-dropping-particle":"","parse-names":false,"suffix":""},{"dropping-particle":"","family":"Merza","given":"Muayad Aghali","non-dropping-particle":"","parse-names":false,"suffix":""},{"dropping-particle":"","family":"Salih","given":"Ahmed Mohammed","non-dropping-particle":"","parse-names":false,"suffix":""}],"container-title":"International Journal of Infectious Diseases","id":"ITEM-1","issued":{"date-parts":[["2020","7"]]},"page":"97-104","title":"First insight into latent tuberculosis infection among household contacts of tuberculosis patients in Duhok, Iraqi Kurdistan: using tuberculin skin test and QuantiFERON-TB Gold Plus test","type":"article-journal","volume":"96"},"uris":["http://www.mendeley.com/documents/?uuid=adb3d468-6be4-458f-a485-dc224a7c0a40"]}],"mendeley":{"formattedCitation":"(1)","plainTextFormattedCitation":"(1)","previouslyFormattedCitation":"[1]"},"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Iraq</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2018 – 2018</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Pr>
                <w:rFonts w:eastAsia="Times New Roman"/>
                <w:color w:val="000000"/>
                <w:sz w:val="16"/>
                <w:szCs w:val="16"/>
              </w:rPr>
              <w:t xml:space="preserve">Adults and children </w:t>
            </w:r>
            <w:r>
              <w:rPr>
                <w:rFonts w:eastAsia="Times New Roman"/>
                <w:color w:val="000000"/>
                <w:sz w:val="16"/>
                <w:szCs w:val="16"/>
              </w:rPr>
              <w:br/>
              <w:t>1 to 9</w:t>
            </w:r>
            <w:r w:rsidRPr="00392BB7">
              <w:rPr>
                <w:rFonts w:eastAsia="Times New Roman"/>
                <w:color w:val="000000"/>
                <w:sz w:val="16"/>
                <w:szCs w:val="16"/>
              </w:rPr>
              <w:t>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401</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6 months</w:t>
            </w:r>
          </w:p>
        </w:tc>
        <w:tc>
          <w:tcPr>
            <w:tcW w:w="1350" w:type="dxa"/>
          </w:tcPr>
          <w:p w:rsidR="001770B1" w:rsidRPr="00392BB7" w:rsidRDefault="001770B1" w:rsidP="008C0DA2">
            <w:pPr>
              <w:spacing w:line="240" w:lineRule="auto"/>
              <w:rPr>
                <w:rFonts w:eastAsia="Times New Roman"/>
                <w:color w:val="000000"/>
                <w:sz w:val="16"/>
                <w:szCs w:val="16"/>
              </w:rPr>
            </w:pPr>
            <w:r>
              <w:rPr>
                <w:rFonts w:eastAsia="Times New Roman"/>
                <w:color w:val="000000"/>
                <w:sz w:val="16"/>
                <w:szCs w:val="16"/>
              </w:rPr>
              <w:t xml:space="preserve">3 </w:t>
            </w:r>
            <w:r w:rsidR="008C0DA2">
              <w:rPr>
                <w:rFonts w:eastAsia="Times New Roman"/>
                <w:color w:val="000000"/>
                <w:sz w:val="16"/>
                <w:szCs w:val="16"/>
              </w:rPr>
              <w:t>to 6 Months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 radiologically</w:t>
            </w:r>
          </w:p>
        </w:tc>
        <w:tc>
          <w:tcPr>
            <w:tcW w:w="1800" w:type="dxa"/>
          </w:tcPr>
          <w:p w:rsidR="005811B9" w:rsidRDefault="009D4FEF" w:rsidP="00C529FA">
            <w:pPr>
              <w:spacing w:line="240" w:lineRule="auto"/>
              <w:rPr>
                <w:rFonts w:eastAsia="Times New Roman"/>
                <w:color w:val="000000"/>
                <w:sz w:val="16"/>
                <w:szCs w:val="16"/>
              </w:rPr>
            </w:pPr>
            <w:r>
              <w:rPr>
                <w:rFonts w:eastAsia="Times New Roman"/>
                <w:color w:val="000000"/>
                <w:sz w:val="16"/>
                <w:szCs w:val="16"/>
              </w:rPr>
              <w:t>0</w:t>
            </w:r>
            <w:r w:rsidR="003153FE" w:rsidRPr="00392BB7">
              <w:rPr>
                <w:rFonts w:eastAsia="Times New Roman"/>
                <w:color w:val="000000"/>
                <w:sz w:val="16"/>
                <w:szCs w:val="16"/>
              </w:rPr>
              <w:t>–</w:t>
            </w:r>
            <w:r>
              <w:rPr>
                <w:rFonts w:eastAsia="Times New Roman"/>
                <w:color w:val="000000"/>
                <w:sz w:val="16"/>
                <w:szCs w:val="16"/>
              </w:rPr>
              <w:t>0.35 IU/ml: 0/323</w:t>
            </w:r>
          </w:p>
          <w:p w:rsidR="001770B1" w:rsidRPr="00392BB7" w:rsidRDefault="00276347" w:rsidP="00C529FA">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sidR="005811B9">
              <w:rPr>
                <w:rFonts w:eastAsia="Times New Roman"/>
                <w:color w:val="000000"/>
                <w:sz w:val="16"/>
                <w:szCs w:val="16"/>
              </w:rPr>
              <w:t>20 IU/ml: 6/78</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4</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r w:rsidRPr="00392BB7">
              <w:rPr>
                <w:rFonts w:eastAsia="Times New Roman"/>
                <w:color w:val="000000"/>
                <w:sz w:val="16"/>
                <w:szCs w:val="16"/>
              </w:rPr>
              <w:t>Ahmed (2020)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{"citationItems":[{"id":"ITEM-1","itemData":{"DOI":"10.1542/peds.2019-1930","ISSN":"0031-4005","author":[{"dropping-particle":"","family":"Ahmed","given":"Amina","non-dropping-particle":"","parse-names":false,"suffix":""},{"dropping-particle":"","family":"Feng","given":"Pei-Jean I.","non-dropping-particle":"","parse-names":false,"suffix":""},{"dropping-particle":"","family":"Gaensbauer","given":"James T.","non-dropping-particle":"","parse-names":false,"suffix":""},{"dropping-particle":"","family":"Reves","given":"Randall R.","non-dropping-particle":"","parse-names":false,"suffix":""},{"dropping-particle":"","family":"Khurana","given":"Renuka","non-dropping-particle":"","parse-names":false,"suffix":""},{"dropping-particle":"","family":"Salcedo","given":"Katya","non-dropping-particle":"","parse-names":false,"suffix":""},{"dropping-particle":"","family":"Punnoose","given":"Rose","non-dropping-particle":"","parse-names":false,"suffix":""},{"dropping-particle":"","family":"Katz","given":"Dolly J.","non-dropping-particle":"","parse-names":false,"suffix":""}],"container-title":"Pediatrics","id":"ITEM-1","issue":"1","issued":{"date-parts":[["2020","1"]]},"page":"e20191930","title":"Interferon-γ Release Assays in Children &lt;15 Years of Age","type":"article-journal","volume":"145"},"uris":["http://www.mendeley.com/documents/?uuid=897bf038-6e2d-49b8-8d90-3bd134c157b4"]}],"mendeley":{"formattedCitation":"(2)","plainTextFormattedCitation":"(2)","previouslyFormattedCitation":"[2]"},"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High risk population: case contacts, recent migrants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United States of America</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2012 – 2018</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Children</w:t>
            </w:r>
            <w:r w:rsidRPr="00392BB7">
              <w:rPr>
                <w:rFonts w:eastAsia="Times New Roman"/>
                <w:color w:val="000000"/>
                <w:sz w:val="16"/>
                <w:szCs w:val="16"/>
              </w:rPr>
              <w:br/>
              <w:t>0 to 15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3593</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Median: 4.3 Years</w:t>
            </w:r>
          </w:p>
        </w:tc>
        <w:tc>
          <w:tcPr>
            <w:tcW w:w="1350" w:type="dxa"/>
          </w:tcPr>
          <w:p w:rsidR="001770B1" w:rsidRDefault="008C0DA2" w:rsidP="008C0DA2">
            <w:pPr>
              <w:spacing w:line="240" w:lineRule="auto"/>
              <w:rPr>
                <w:rFonts w:eastAsia="Times New Roman"/>
                <w:color w:val="000000"/>
                <w:sz w:val="16"/>
                <w:szCs w:val="16"/>
              </w:rPr>
            </w:pPr>
            <w:r>
              <w:rPr>
                <w:rFonts w:eastAsia="Times New Roman"/>
                <w:color w:val="000000"/>
                <w:sz w:val="16"/>
                <w:szCs w:val="16"/>
              </w:rPr>
              <w:t>2 to 24 Months</w:t>
            </w:r>
          </w:p>
          <w:p w:rsidR="002D1E5C" w:rsidRPr="00392BB7" w:rsidRDefault="002D1E5C" w:rsidP="008C0DA2">
            <w:pPr>
              <w:spacing w:line="240" w:lineRule="auto"/>
              <w:rPr>
                <w:rFonts w:eastAsia="Times New Roman"/>
                <w:color w:val="000000"/>
                <w:sz w:val="16"/>
                <w:szCs w:val="16"/>
              </w:rPr>
            </w:pPr>
            <w:r>
              <w:rPr>
                <w:rFonts w:eastAsia="Times New Roman"/>
                <w:color w:val="000000"/>
                <w:sz w:val="16"/>
                <w:szCs w:val="16"/>
              </w:rPr>
              <w:t>(2 cases in 2 months)</w:t>
            </w:r>
          </w:p>
        </w:tc>
        <w:tc>
          <w:tcPr>
            <w:tcW w:w="1080" w:type="dxa"/>
            <w:shd w:val="clear" w:color="auto" w:fill="auto"/>
            <w:hideMark/>
          </w:tcPr>
          <w:p w:rsidR="005576B9" w:rsidRPr="00392BB7" w:rsidRDefault="006E7FE9" w:rsidP="005811B9">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w:t>
            </w:r>
          </w:p>
        </w:tc>
        <w:tc>
          <w:tcPr>
            <w:tcW w:w="1800" w:type="dxa"/>
          </w:tcPr>
          <w:p w:rsidR="005811B9" w:rsidRDefault="009D4FEF" w:rsidP="005811B9">
            <w:pPr>
              <w:spacing w:line="240" w:lineRule="auto"/>
              <w:rPr>
                <w:rFonts w:eastAsia="Times New Roman"/>
                <w:color w:val="000000"/>
                <w:sz w:val="16"/>
                <w:szCs w:val="16"/>
              </w:rPr>
            </w:pPr>
            <w:r>
              <w:rPr>
                <w:rFonts w:eastAsia="Times New Roman"/>
                <w:color w:val="000000"/>
                <w:sz w:val="16"/>
                <w:szCs w:val="16"/>
              </w:rPr>
              <w:t>0</w:t>
            </w:r>
            <w:r w:rsidR="003153FE" w:rsidRPr="00392BB7">
              <w:rPr>
                <w:rFonts w:eastAsia="Times New Roman"/>
                <w:color w:val="000000"/>
                <w:sz w:val="16"/>
                <w:szCs w:val="16"/>
              </w:rPr>
              <w:t>–</w:t>
            </w:r>
            <w:r>
              <w:rPr>
                <w:rFonts w:eastAsia="Times New Roman"/>
                <w:color w:val="000000"/>
                <w:sz w:val="16"/>
                <w:szCs w:val="16"/>
              </w:rPr>
              <w:t>0.35 IU/ml: 1/3238</w:t>
            </w:r>
          </w:p>
          <w:p w:rsidR="001770B1" w:rsidRPr="00392BB7" w:rsidRDefault="009D4FEF" w:rsidP="005811B9">
            <w:pPr>
              <w:spacing w:line="240" w:lineRule="auto"/>
              <w:rPr>
                <w:rFonts w:eastAsia="Times New Roman"/>
                <w:color w:val="000000"/>
                <w:sz w:val="16"/>
                <w:szCs w:val="16"/>
              </w:rPr>
            </w:pPr>
            <w:r>
              <w:rPr>
                <w:rFonts w:eastAsia="Times New Roman"/>
                <w:color w:val="000000"/>
                <w:sz w:val="16"/>
                <w:szCs w:val="16"/>
              </w:rPr>
              <w:t>0.35</w:t>
            </w:r>
            <w:r w:rsidR="003153FE" w:rsidRPr="00392BB7">
              <w:rPr>
                <w:rFonts w:eastAsia="Times New Roman"/>
                <w:color w:val="000000"/>
                <w:sz w:val="16"/>
                <w:szCs w:val="16"/>
              </w:rPr>
              <w:t>–</w:t>
            </w:r>
            <w:r w:rsidR="005811B9">
              <w:rPr>
                <w:rFonts w:eastAsia="Times New Roman"/>
                <w:color w:val="000000"/>
                <w:sz w:val="16"/>
                <w:szCs w:val="16"/>
              </w:rPr>
              <w:t>20 IU/ml: 3/355</w:t>
            </w:r>
          </w:p>
        </w:tc>
        <w:tc>
          <w:tcPr>
            <w:tcW w:w="810" w:type="dxa"/>
            <w:shd w:val="clear" w:color="auto" w:fill="auto"/>
            <w:hideMark/>
          </w:tcPr>
          <w:p w:rsidR="001770B1" w:rsidRPr="00392BB7" w:rsidRDefault="006E7FE9" w:rsidP="00C529FA">
            <w:pPr>
              <w:spacing w:line="240" w:lineRule="auto"/>
              <w:rPr>
                <w:rFonts w:eastAsia="Times New Roman"/>
                <w:color w:val="000000"/>
                <w:sz w:val="16"/>
                <w:szCs w:val="16"/>
              </w:rPr>
            </w:pPr>
            <w:r>
              <w:rPr>
                <w:rFonts w:eastAsia="Times New Roman"/>
                <w:color w:val="000000"/>
                <w:sz w:val="16"/>
                <w:szCs w:val="16"/>
              </w:rPr>
              <w:t>6</w:t>
            </w:r>
          </w:p>
          <w:p w:rsidR="001770B1" w:rsidRPr="00392BB7" w:rsidRDefault="001770B1" w:rsidP="00C529FA">
            <w:pPr>
              <w:spacing w:line="240" w:lineRule="auto"/>
              <w:rPr>
                <w:rFonts w:eastAsia="Times New Roman"/>
                <w:color w:val="000000"/>
                <w:sz w:val="16"/>
                <w:szCs w:val="16"/>
              </w:rPr>
            </w:pP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Aichelburg</w:t>
            </w:r>
            <w:proofErr w:type="spellEnd"/>
            <w:r w:rsidRPr="00392BB7">
              <w:rPr>
                <w:rFonts w:eastAsia="Times New Roman"/>
                <w:color w:val="000000"/>
                <w:sz w:val="16"/>
                <w:szCs w:val="16"/>
              </w:rPr>
              <w:t xml:space="preserve"> (2009)</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{"citationItems":[{"id":"ITEM-1","itemData":{"DOI":"10.1086/597351","ISSN":"1058-4838","author":[{"dropping-particle":"","family":"Aichelburg","given":"Maximilian C.","non-dropping-particle":"","parse-names":false,"suffix":""},{"dropping-particle":"","family":"Rieger","given":"Armin","non-dropping-particle":"","parse-names":false,"suffix":""},{"dropping-particle":"","family":"Breitenecker","given":"Florian","non-dropping-particle":"","parse-names":false,"suffix":""},{"dropping-particle":"","family":"Pfistershammer","given":"Katharina","non-dropping-particle":"","parse-names":false,"suffix":""},{"dropping-particle":"","family":"Tittes","given":"Julia","non-dropping-particle":"","parse-names":false,"suffix":""},{"dropping-particle":"","family":"Eltz","given":"Stephanie","non-dropping-particle":"","parse-names":false,"suffix":""},{"dropping-particle":"","family":"Aichelburg","given":"Alexander C.","non-dropping-particle":"","parse-names":false,"suffix":""},{"dropping-particle":"","family":"Stingl","given":"Georg","non-dropping-particle":"","parse-names":false,"suffix":""},{"dropping-particle":"","family":"Makristathis","given":"Athanasios","non-dropping-particle":"","parse-names":false,"suffix":""},{"dropping-particle":"","family":"Kohrgruber","given":"Norbert","non-dropping-particle":"","parse-names":false,"suffix":""}],"container-title":"Clinical Infectious Diseases","id":"ITEM-1","issue":"7","issued":{"date-parts":[["2009","4"]]},"page":"954-962","title":"Detection and Prediction of Active Tuberculosis Disease by a Whole‐Blood Interferon‐γ Release Assay in HIV‐1–Infected Individuals","type":"article-journal","volume":"48"},"uris":["http://www.mendeley.com/documents/?uuid=39756253-a37d-4a86-a627-ee339414157a"]}],"mendeley":{"formattedCitation":"(3)","plainTextFormattedCitation":"(3)","previouslyFormattedCitation":"[3]"},"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(3)</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HIV-infected patients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Austria</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2006 – 2008</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775</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Median: 1.6 Years</w:t>
            </w:r>
          </w:p>
        </w:tc>
        <w:tc>
          <w:tcPr>
            <w:tcW w:w="1350" w:type="dxa"/>
          </w:tcPr>
          <w:p w:rsidR="001770B1" w:rsidRPr="00392BB7" w:rsidRDefault="008C0DA2" w:rsidP="00C529FA">
            <w:pPr>
              <w:spacing w:line="240" w:lineRule="auto"/>
              <w:rPr>
                <w:rFonts w:eastAsia="Times New Roman"/>
                <w:color w:val="000000"/>
                <w:sz w:val="16"/>
                <w:szCs w:val="16"/>
              </w:rPr>
            </w:pPr>
            <w:r>
              <w:rPr>
                <w:rFonts w:eastAsia="Times New Roman"/>
                <w:color w:val="000000"/>
                <w:sz w:val="16"/>
                <w:szCs w:val="16"/>
              </w:rPr>
              <w:t>Median: 287 days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Clinically</w:t>
            </w:r>
          </w:p>
        </w:tc>
        <w:tc>
          <w:tcPr>
            <w:tcW w:w="1800" w:type="dxa"/>
          </w:tcPr>
          <w:p w:rsidR="008C0DA2" w:rsidRDefault="009D4FEF" w:rsidP="008C0DA2">
            <w:pPr>
              <w:spacing w:line="240" w:lineRule="auto"/>
              <w:rPr>
                <w:rFonts w:eastAsia="Times New Roman"/>
                <w:color w:val="000000"/>
                <w:sz w:val="16"/>
                <w:szCs w:val="16"/>
              </w:rPr>
            </w:pPr>
            <w:r>
              <w:rPr>
                <w:rFonts w:eastAsia="Times New Roman"/>
                <w:color w:val="000000"/>
                <w:sz w:val="16"/>
                <w:szCs w:val="16"/>
              </w:rPr>
              <w:t>0</w:t>
            </w:r>
            <w:r w:rsidR="003153FE" w:rsidRPr="00392BB7">
              <w:rPr>
                <w:rFonts w:eastAsia="Times New Roman"/>
                <w:color w:val="000000"/>
                <w:sz w:val="16"/>
                <w:szCs w:val="16"/>
              </w:rPr>
              <w:t>–</w:t>
            </w:r>
            <w:r>
              <w:rPr>
                <w:rFonts w:eastAsia="Times New Roman"/>
                <w:color w:val="000000"/>
                <w:sz w:val="16"/>
                <w:szCs w:val="16"/>
              </w:rPr>
              <w:t>0.35 IU/ml: 0/738</w:t>
            </w:r>
          </w:p>
          <w:p w:rsidR="001770B1" w:rsidRPr="00392BB7" w:rsidRDefault="009D4FEF" w:rsidP="008C0DA2">
            <w:pPr>
              <w:spacing w:line="240" w:lineRule="auto"/>
              <w:rPr>
                <w:rFonts w:eastAsia="Times New Roman"/>
                <w:color w:val="000000"/>
                <w:sz w:val="16"/>
                <w:szCs w:val="16"/>
              </w:rPr>
            </w:pPr>
            <w:r>
              <w:rPr>
                <w:rFonts w:eastAsia="Times New Roman"/>
                <w:color w:val="000000"/>
                <w:sz w:val="16"/>
                <w:szCs w:val="16"/>
              </w:rPr>
              <w:t>0.35</w:t>
            </w:r>
            <w:r w:rsidR="003153FE" w:rsidRPr="00392BB7">
              <w:rPr>
                <w:rFonts w:eastAsia="Times New Roman"/>
                <w:color w:val="000000"/>
                <w:sz w:val="16"/>
                <w:szCs w:val="16"/>
              </w:rPr>
              <w:t>–</w:t>
            </w:r>
            <w:r w:rsidR="008C0DA2">
              <w:rPr>
                <w:rFonts w:eastAsia="Times New Roman"/>
                <w:color w:val="000000"/>
                <w:sz w:val="16"/>
                <w:szCs w:val="16"/>
              </w:rPr>
              <w:t>20 IU/ml: 3/37</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6</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Altet</w:t>
            </w:r>
            <w:proofErr w:type="spellEnd"/>
            <w:r w:rsidRPr="00392BB7">
              <w:rPr>
                <w:rFonts w:eastAsia="Times New Roman"/>
                <w:color w:val="000000"/>
                <w:sz w:val="16"/>
                <w:szCs w:val="16"/>
              </w:rPr>
              <w:t xml:space="preserve"> (2015)</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10.1513/AnnalsATS.201408-394OC","ISSN":"2329-6933","author":[{"dropping-particle":"","family":"Altet","given":"Neus","non-dropping-particle":"","parse-names":false,"suffix":""},{"dropping-particle":"","family":"Dominguez","given":"José","non-dropping-particle":"","parse-names":false,"suffix":""},{"dropping-particle":"de","family":"Souza-Galvão","given":"Maria-Luiza","non-dropping-particle":"","parse-names":false,"suffix":""},{"dropping-particle":"","family":"Jiménez-Fuentes","given":"M. Ángeles","non-dropping-particle":"","parse-names":false,"suffix":""},{"dropping-particle":"","family":"Milà","given":"Célia","non-dropping-particle":"","parse-names":false,"suffix":""},{"dropping-particle":"","family":"Solsona","given":"Jordi","non-dropping-particle":"","parse-names":false,"suffix":""},{"dropping-particle":"","family":"Soriano-Arandés","given":"Antonio","non-dropping-particle":"","parse-names":false,"suffix":""},{"dropping-particle":"","family":"Latorre","given":"Irene","non-dropping-particle":"","parse-names":false,"suffix":""},{"dropping-particle":"","family":"Lara","given":"Elisa","non-dropping-particle":"","parse-names":false,"suffix":""},{"dropping-particle":"","family":"Cantos","given":"Adela","non-dropping-particle":"","parse-names":false,"suffix":""},{"dropping-particle":"","family":"Ferrer","given":"María Dolores","non-dropping-particle":"","parse-names":false,"suffix":""},{"dropping-particle":"","family":"Orcau","given":"Àngels","non-dropping-particle":"","parse-names":false,"suffix":""},{"dropping-particle":"","family":"Ruiz-Manzano","given":"Juan","non-dropping-particle":"","parse-names":false,"suffix":""},{"dropping-particle":"","family":"Caylà","given":"Joan","non-dropping-particle":"","parse-names":false,"suffix":""}],"container-title":"Annals of the American Thoracic Society","id":"ITEM-1","issue":"5","issued":{"date-parts":[["2015","5"]]},"page":"680-688","title":"Predicting the Development of Tuberculosis with the Tuberculin Skin Test and QuantiFERON Testing","type":"article-journal","volume":"12"},"uris":["http://www.mendeley.com/documents/?uuid=da06cd3d-7e07-4e34-87e6-433029b49390"]}],"mendeley":{"formattedCitation":"(4)","plainTextFormattedCitation":"(4)","previouslyFormattedCitation":"[4]"},"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(4)</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Spain</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2007 – 2013</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937</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4 Years</w:t>
            </w:r>
          </w:p>
        </w:tc>
        <w:tc>
          <w:tcPr>
            <w:tcW w:w="1350" w:type="dxa"/>
          </w:tcPr>
          <w:p w:rsidR="001770B1" w:rsidRPr="00392BB7" w:rsidRDefault="008C0DA2" w:rsidP="008C0DA2">
            <w:pPr>
              <w:spacing w:line="240" w:lineRule="auto"/>
              <w:rPr>
                <w:rFonts w:eastAsia="Times New Roman"/>
                <w:color w:val="000000"/>
                <w:sz w:val="16"/>
                <w:szCs w:val="16"/>
              </w:rPr>
            </w:pPr>
            <w:r>
              <w:rPr>
                <w:rFonts w:eastAsia="Times New Roman"/>
                <w:color w:val="000000"/>
                <w:sz w:val="16"/>
                <w:szCs w:val="16"/>
              </w:rPr>
              <w:t>6 to 24 Months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Clinically confirmed through TB Control Program databases</w:t>
            </w:r>
          </w:p>
        </w:tc>
        <w:tc>
          <w:tcPr>
            <w:tcW w:w="1800" w:type="dxa"/>
          </w:tcPr>
          <w:p w:rsidR="008C0DA2" w:rsidRDefault="009D4FEF" w:rsidP="008C0DA2">
            <w:pPr>
              <w:spacing w:line="240" w:lineRule="auto"/>
              <w:rPr>
                <w:rFonts w:eastAsia="Times New Roman"/>
                <w:color w:val="000000"/>
                <w:sz w:val="16"/>
                <w:szCs w:val="16"/>
              </w:rPr>
            </w:pPr>
            <w:r>
              <w:rPr>
                <w:rFonts w:eastAsia="Times New Roman"/>
                <w:color w:val="000000"/>
                <w:sz w:val="16"/>
                <w:szCs w:val="16"/>
              </w:rPr>
              <w:t>0</w:t>
            </w:r>
            <w:r w:rsidR="003153FE" w:rsidRPr="00392BB7">
              <w:rPr>
                <w:rFonts w:eastAsia="Times New Roman"/>
                <w:color w:val="000000"/>
                <w:sz w:val="16"/>
                <w:szCs w:val="16"/>
              </w:rPr>
              <w:t>–</w:t>
            </w:r>
            <w:r>
              <w:rPr>
                <w:rFonts w:eastAsia="Times New Roman"/>
                <w:color w:val="000000"/>
                <w:sz w:val="16"/>
                <w:szCs w:val="16"/>
              </w:rPr>
              <w:t>0.35 IU/ml: 0/531</w:t>
            </w:r>
          </w:p>
          <w:p w:rsidR="008C0DA2" w:rsidRDefault="009D4FEF" w:rsidP="008C0DA2">
            <w:pPr>
              <w:spacing w:line="240" w:lineRule="auto"/>
              <w:rPr>
                <w:rFonts w:eastAsia="Times New Roman"/>
                <w:color w:val="000000"/>
                <w:sz w:val="16"/>
                <w:szCs w:val="16"/>
              </w:rPr>
            </w:pPr>
            <w:r>
              <w:rPr>
                <w:rFonts w:eastAsia="Times New Roman"/>
                <w:color w:val="000000"/>
                <w:sz w:val="16"/>
                <w:szCs w:val="16"/>
              </w:rPr>
              <w:t>0.35</w:t>
            </w:r>
            <w:r w:rsidR="003153FE" w:rsidRPr="00392BB7">
              <w:rPr>
                <w:rFonts w:eastAsia="Times New Roman"/>
                <w:color w:val="000000"/>
                <w:sz w:val="16"/>
                <w:szCs w:val="16"/>
              </w:rPr>
              <w:t>–</w:t>
            </w:r>
            <w:r w:rsidR="008C0DA2">
              <w:rPr>
                <w:rFonts w:eastAsia="Times New Roman"/>
                <w:color w:val="000000"/>
                <w:sz w:val="16"/>
                <w:szCs w:val="16"/>
              </w:rPr>
              <w:t>5 IU/ml: 4/135</w:t>
            </w:r>
          </w:p>
          <w:p w:rsidR="008C0DA2" w:rsidRDefault="008C0DA2" w:rsidP="008C0DA2">
            <w:pPr>
              <w:spacing w:line="240" w:lineRule="auto"/>
              <w:rPr>
                <w:rFonts w:eastAsia="Times New Roman"/>
                <w:color w:val="000000"/>
                <w:sz w:val="16"/>
                <w:szCs w:val="16"/>
              </w:rPr>
            </w:pPr>
            <w:r>
              <w:rPr>
                <w:rFonts w:eastAsia="Times New Roman"/>
                <w:color w:val="000000"/>
                <w:sz w:val="16"/>
                <w:szCs w:val="16"/>
              </w:rPr>
              <w:t>5</w:t>
            </w:r>
            <w:r w:rsidR="003153FE" w:rsidRPr="00392BB7">
              <w:rPr>
                <w:rFonts w:eastAsia="Times New Roman"/>
                <w:color w:val="000000"/>
                <w:sz w:val="16"/>
                <w:szCs w:val="16"/>
              </w:rPr>
              <w:t>–</w:t>
            </w:r>
            <w:r w:rsidR="009D4FEF">
              <w:rPr>
                <w:rFonts w:eastAsia="Times New Roman"/>
                <w:color w:val="000000"/>
                <w:sz w:val="16"/>
                <w:szCs w:val="16"/>
              </w:rPr>
              <w:t>10 IU/ml: 5/166</w:t>
            </w:r>
          </w:p>
          <w:p w:rsidR="008C0DA2" w:rsidRPr="00392BB7" w:rsidRDefault="009D4FEF" w:rsidP="003153FE">
            <w:pPr>
              <w:spacing w:line="240" w:lineRule="auto"/>
              <w:rPr>
                <w:rFonts w:eastAsia="Times New Roman"/>
                <w:color w:val="000000"/>
                <w:sz w:val="16"/>
                <w:szCs w:val="16"/>
              </w:rPr>
            </w:pPr>
            <w:r>
              <w:rPr>
                <w:rFonts w:eastAsia="Times New Roman"/>
                <w:color w:val="000000"/>
                <w:sz w:val="16"/>
                <w:szCs w:val="16"/>
              </w:rPr>
              <w:t>10</w:t>
            </w:r>
            <w:r w:rsidR="003153FE" w:rsidRPr="00392BB7">
              <w:rPr>
                <w:rFonts w:eastAsia="Times New Roman"/>
                <w:color w:val="000000"/>
                <w:sz w:val="16"/>
                <w:szCs w:val="16"/>
              </w:rPr>
              <w:t>–</w:t>
            </w:r>
            <w:r w:rsidR="008C0DA2">
              <w:rPr>
                <w:rFonts w:eastAsia="Times New Roman"/>
                <w:color w:val="000000"/>
                <w:sz w:val="16"/>
                <w:szCs w:val="16"/>
              </w:rPr>
              <w:t>20 IU/ml: 6/105</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5</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r w:rsidRPr="00392BB7">
              <w:rPr>
                <w:rFonts w:eastAsia="Times New Roman"/>
                <w:color w:val="000000"/>
                <w:sz w:val="16"/>
                <w:szCs w:val="16"/>
              </w:rPr>
              <w:t>Andrews (2017)</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{"citationItems":[{"id":"ITEM-1","itemData":{"DOI":"10.1016/S2213-2600(17)30060-7","ISSN":"22132600","author":[{"dropping-particle":"","family":"Andrews","given":"Jason R","non-dropping-particle":"","parse-names":false,"suffix":""},{"dropping-particle":"","family":"Nemes","given":"Elisa","non-dropping-particle":"","parse-names":false,"suffix":""},{"dropping-particle":"","family":"Tameris","given":"Michele","non-dropping-particle":"","parse-names":false,"suffix":""},{"dropping-particle":"","family":"Landry","given":"Bernard S","non-dropping-particle":"","parse-names":false,"suffix":""},{"dropping-particle":"","family":"Mahomed","given":"Hassan","non-dropping-particle":"","parse-names":false,"suffix":""},{"dropping-particle":"","family":"McClain","given":"J Bruce","non-dropping-particle":"","parse-names":false,"suffix":""},{"dropping-particle":"","family":"Fletcher","given":"Helen A","non-dropping-particle":"","parse-names":false,"suffix":""},{"dropping-particle":"","family":"Hanekom","given":"Willem A","non-dropping-particle":"","parse-names":false,"suffix":""},{"dropping-particle":"","family":"Wood","given":"Robin","non-dropping-particle":"","parse-names":false,"suffix":""},{"dropping-particle":"","family":"McShane","given":"Helen","non-dropping-particle":"","parse-names":false,"suffix":""},{"dropping-particle":"","family":"Scriba","given":"Thomas J","non-dropping-particle":"","parse-names":false,"suffix":""},{"dropping-particle":"","family":"Hatherill","given":"Mark","non-dropping-particle":"","parse-names":false,"suffix":""}],"container-title":"The Lancet Respiratory Medicine","id":"ITEM-1","issue":"4","issued":{"date-parts":[["2017","4"]]},"page":"282-290","title":"Serial QuantiFERON testing and tuberculosis disease risk among young children: an observational cohort study","type":"article-journal","volume":"5"},"uris":["http://www.mendeley.com/documents/?uuid=fa72466f-7f20-4014-982f-6c3c9ce3e303"]}],"mendeley":{"formattedCitation":"(5)","plainTextFormattedCitation":"(5)","previouslyFormattedCitation":"[5]"},"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(5)</w:t>
            </w:r>
            <w:r w:rsidRPr="00392BB7">
              <w:rPr>
                <w:rFonts w:eastAsia="Times New Roman"/>
                <w:color w:val="000000"/>
                <w:sz w:val="16"/>
                <w:szCs w:val="16"/>
              </w:rPr>
              <w:fldChar w:fldCharType="end"/>
            </w:r>
            <w:r w:rsidR="0032780B">
              <w:rPr>
                <w:rFonts w:eastAsia="Times New Roman"/>
                <w:color w:val="000000"/>
                <w:sz w:val="16"/>
                <w:szCs w:val="16"/>
              </w:rPr>
              <w:t>*</w:t>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Double blinded, randomized clinical trial</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Young healthy children</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South Africa</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2009 – 2012</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Children</w:t>
            </w:r>
            <w:r w:rsidRPr="00392BB7">
              <w:rPr>
                <w:rFonts w:eastAsia="Times New Roman"/>
                <w:color w:val="000000"/>
                <w:sz w:val="16"/>
                <w:szCs w:val="16"/>
              </w:rPr>
              <w:br/>
              <w:t>4 to 6 months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2374</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 Years</w:t>
            </w:r>
          </w:p>
        </w:tc>
        <w:tc>
          <w:tcPr>
            <w:tcW w:w="1350" w:type="dxa"/>
          </w:tcPr>
          <w:p w:rsidR="001770B1" w:rsidRPr="00392BB7" w:rsidRDefault="00910BF3" w:rsidP="00910BF3">
            <w:pPr>
              <w:spacing w:line="240" w:lineRule="auto"/>
              <w:rPr>
                <w:rFonts w:eastAsia="Times New Roman"/>
                <w:color w:val="000000"/>
                <w:sz w:val="16"/>
                <w:szCs w:val="16"/>
              </w:rPr>
            </w:pPr>
            <w:r>
              <w:rPr>
                <w:rFonts w:eastAsia="Times New Roman"/>
                <w:color w:val="000000"/>
                <w:sz w:val="16"/>
                <w:szCs w:val="16"/>
              </w:rPr>
              <w:t>11 to 58 Months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Yes</w:t>
            </w:r>
            <w:r w:rsidRPr="00392BB7">
              <w:rPr>
                <w:rFonts w:eastAsia="Times New Roman"/>
                <w:color w:val="000000"/>
                <w:sz w:val="16"/>
                <w:szCs w:val="16"/>
              </w:rPr>
              <w:br/>
              <w:t>unknown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w:t>
            </w:r>
          </w:p>
        </w:tc>
        <w:tc>
          <w:tcPr>
            <w:tcW w:w="1800" w:type="dxa"/>
          </w:tcPr>
          <w:p w:rsidR="00910BF3" w:rsidRDefault="009D4FEF" w:rsidP="00910BF3">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sidR="00910BF3">
              <w:rPr>
                <w:rFonts w:eastAsia="Times New Roman"/>
                <w:color w:val="000000"/>
                <w:sz w:val="16"/>
                <w:szCs w:val="16"/>
              </w:rPr>
              <w:t xml:space="preserve">0.35 IU/ml: </w:t>
            </w:r>
            <w:r w:rsidR="004C78AB">
              <w:rPr>
                <w:rFonts w:eastAsia="Times New Roman"/>
                <w:color w:val="000000"/>
                <w:sz w:val="16"/>
                <w:szCs w:val="16"/>
              </w:rPr>
              <w:t>1</w:t>
            </w:r>
            <w:r w:rsidR="00910BF3">
              <w:rPr>
                <w:rFonts w:eastAsia="Times New Roman"/>
                <w:color w:val="000000"/>
                <w:sz w:val="16"/>
                <w:szCs w:val="16"/>
              </w:rPr>
              <w:t>1</w:t>
            </w:r>
            <w:r w:rsidR="004C78AB">
              <w:rPr>
                <w:rFonts w:eastAsia="Times New Roman"/>
                <w:color w:val="000000"/>
                <w:sz w:val="16"/>
                <w:szCs w:val="16"/>
              </w:rPr>
              <w:t>/2232</w:t>
            </w:r>
          </w:p>
          <w:p w:rsidR="00910BF3" w:rsidRDefault="009D4FEF" w:rsidP="00910BF3">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910BF3">
              <w:rPr>
                <w:rFonts w:eastAsia="Times New Roman"/>
                <w:color w:val="000000"/>
                <w:sz w:val="16"/>
                <w:szCs w:val="16"/>
              </w:rPr>
              <w:t xml:space="preserve">4 IU/ml: </w:t>
            </w:r>
            <w:r w:rsidR="004C78AB">
              <w:rPr>
                <w:rFonts w:eastAsia="Times New Roman"/>
                <w:color w:val="000000"/>
                <w:sz w:val="16"/>
                <w:szCs w:val="16"/>
              </w:rPr>
              <w:t>2/79</w:t>
            </w:r>
          </w:p>
          <w:p w:rsidR="00910BF3" w:rsidRDefault="009D4FEF" w:rsidP="00910BF3">
            <w:pPr>
              <w:spacing w:line="240" w:lineRule="auto"/>
              <w:rPr>
                <w:rFonts w:eastAsia="Times New Roman"/>
                <w:color w:val="000000"/>
                <w:sz w:val="16"/>
                <w:szCs w:val="16"/>
              </w:rPr>
            </w:pPr>
            <w:r>
              <w:rPr>
                <w:rFonts w:eastAsia="Times New Roman"/>
                <w:color w:val="000000"/>
                <w:sz w:val="16"/>
                <w:szCs w:val="16"/>
              </w:rPr>
              <w:t>4</w:t>
            </w:r>
            <w:r w:rsidR="000B0E30" w:rsidRPr="00392BB7">
              <w:rPr>
                <w:rFonts w:eastAsia="Times New Roman"/>
                <w:color w:val="000000"/>
                <w:sz w:val="16"/>
                <w:szCs w:val="16"/>
              </w:rPr>
              <w:t>–</w:t>
            </w:r>
            <w:r w:rsidR="00910BF3">
              <w:rPr>
                <w:rFonts w:eastAsia="Times New Roman"/>
                <w:color w:val="000000"/>
                <w:sz w:val="16"/>
                <w:szCs w:val="16"/>
              </w:rPr>
              <w:t xml:space="preserve">20 IU/ml: </w:t>
            </w:r>
            <w:r w:rsidR="004C78AB">
              <w:rPr>
                <w:rFonts w:eastAsia="Times New Roman"/>
                <w:color w:val="000000"/>
                <w:sz w:val="16"/>
                <w:szCs w:val="16"/>
              </w:rPr>
              <w:t>7/</w:t>
            </w:r>
            <w:r w:rsidR="00910BF3">
              <w:rPr>
                <w:rFonts w:eastAsia="Times New Roman"/>
                <w:color w:val="000000"/>
                <w:sz w:val="16"/>
                <w:szCs w:val="16"/>
              </w:rPr>
              <w:t>6</w:t>
            </w:r>
            <w:r w:rsidR="004C78AB">
              <w:rPr>
                <w:rFonts w:eastAsia="Times New Roman"/>
                <w:color w:val="000000"/>
                <w:sz w:val="16"/>
                <w:szCs w:val="16"/>
              </w:rPr>
              <w:t>3</w:t>
            </w:r>
          </w:p>
          <w:p w:rsidR="001770B1" w:rsidRPr="00392BB7" w:rsidRDefault="001770B1" w:rsidP="00C529FA">
            <w:pPr>
              <w:spacing w:line="240" w:lineRule="auto"/>
              <w:rPr>
                <w:rFonts w:eastAsia="Times New Roman"/>
                <w:color w:val="000000"/>
                <w:sz w:val="16"/>
                <w:szCs w:val="16"/>
              </w:rPr>
            </w:pP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4</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Bergot</w:t>
            </w:r>
            <w:proofErr w:type="spellEnd"/>
            <w:r w:rsidRPr="00392BB7">
              <w:rPr>
                <w:rFonts w:eastAsia="Times New Roman"/>
                <w:color w:val="000000"/>
                <w:sz w:val="16"/>
                <w:szCs w:val="16"/>
              </w:rPr>
              <w:t xml:space="preserve"> (2012)</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10.1371/journal.pone.0043520","ISSN":"1932-6203","author":[{"dropping-particle":"","family":"Bergot","given":"Emmanuel","non-dropping-particle":"","parse-names":false,"suffix":""},{"dropping-particle":"","family":"Haustraete","given":"Eglantine","non-dropping-particle":"","parse-names":false,"suffix":""},{"dropping-particle":"","family":"Malbruny","given":"Brigitte","non-dropping-particle":"","parse-names":false,"suffix":""},{"dropping-particle":"","family":"Magnier","given":"Romain","non-dropping-particle":"","parse-names":false,"suffix":""},{"dropping-particle":"","family":"Salaün","given":"Marie-Anne","non-dropping-particle":"","parse-names":false,"suffix":""},{"dropping-particle":"","family":"Zalcman","given":"Gérard","non-dropping-particle":"","parse-names":false,"suffix":""}],"container-title":"PLoS ONE","editor":[{"dropping-particle":"","family":"Herrmann","given":"Jean Louis","non-dropping-particle":"","parse-names":false,"suffix":""}],"id":"ITEM-1","issue":"8","issued":{"date-parts":[["2012","8","24"]]},"page":"e43520","title":"Observational Study of QuantiFERON®-TB Gold In-Tube Assay in Tuberculosis Contacts in a Low Incidence Area","type":"article-journal","volume":"7"},"uris":["http://www.mendeley.com/documents/?uuid=2bbbd9ab-3d55-4d07-8295-bc90e2e7972b"]}],"mendeley":{"formattedCitation":"(6)","plainTextFormattedCitation":"(6)","previouslyFormattedCitation":"[6]"},"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(6)</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France</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2007 – 2009</w:t>
            </w:r>
          </w:p>
        </w:tc>
        <w:tc>
          <w:tcPr>
            <w:tcW w:w="1530" w:type="dxa"/>
            <w:shd w:val="clear" w:color="auto" w:fill="auto"/>
            <w:hideMark/>
          </w:tcPr>
          <w:p w:rsidR="001770B1" w:rsidRPr="00392BB7" w:rsidRDefault="000B0E30" w:rsidP="00C529FA">
            <w:pPr>
              <w:spacing w:line="240" w:lineRule="auto"/>
              <w:rPr>
                <w:rFonts w:eastAsia="Times New Roman"/>
                <w:color w:val="000000"/>
                <w:sz w:val="16"/>
                <w:szCs w:val="16"/>
              </w:rPr>
            </w:pPr>
            <w:r>
              <w:rPr>
                <w:rFonts w:eastAsia="Times New Roman"/>
                <w:color w:val="000000"/>
                <w:sz w:val="16"/>
                <w:szCs w:val="16"/>
              </w:rPr>
              <w:t xml:space="preserve">Adults and children </w:t>
            </w:r>
            <w:r>
              <w:rPr>
                <w:rFonts w:eastAsia="Times New Roman"/>
                <w:color w:val="000000"/>
                <w:sz w:val="16"/>
                <w:szCs w:val="16"/>
              </w:rPr>
              <w:br/>
              <w:t>11 to 97</w:t>
            </w:r>
            <w:r w:rsidR="001770B1" w:rsidRPr="00392BB7">
              <w:rPr>
                <w:rFonts w:eastAsia="Times New Roman"/>
                <w:color w:val="000000"/>
                <w:sz w:val="16"/>
                <w:szCs w:val="16"/>
              </w:rPr>
              <w:t xml:space="preserve">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674</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Mean: 2.8 Years</w:t>
            </w:r>
          </w:p>
        </w:tc>
        <w:tc>
          <w:tcPr>
            <w:tcW w:w="1350" w:type="dxa"/>
          </w:tcPr>
          <w:p w:rsidR="001770B1" w:rsidRPr="00392BB7" w:rsidRDefault="004C78AB" w:rsidP="00C529FA">
            <w:pPr>
              <w:spacing w:line="240" w:lineRule="auto"/>
              <w:rPr>
                <w:rFonts w:eastAsia="Times New Roman"/>
                <w:color w:val="000000"/>
                <w:sz w:val="16"/>
                <w:szCs w:val="16"/>
              </w:rPr>
            </w:pPr>
            <w:r>
              <w:rPr>
                <w:rFonts w:eastAsia="Times New Roman"/>
                <w:color w:val="000000"/>
                <w:sz w:val="16"/>
                <w:szCs w:val="16"/>
              </w:rPr>
              <w:t>17 to 18 Months</w:t>
            </w:r>
          </w:p>
        </w:tc>
        <w:tc>
          <w:tcPr>
            <w:tcW w:w="1080" w:type="dxa"/>
            <w:shd w:val="clear" w:color="auto" w:fill="auto"/>
            <w:hideMark/>
          </w:tcPr>
          <w:p w:rsidR="004C78AB" w:rsidRPr="00392BB7" w:rsidRDefault="006E7FE9" w:rsidP="00C529FA">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Clinically, radiologically, bacteriologically, histology</w:t>
            </w:r>
          </w:p>
        </w:tc>
        <w:tc>
          <w:tcPr>
            <w:tcW w:w="1800" w:type="dxa"/>
          </w:tcPr>
          <w:p w:rsidR="004C78AB" w:rsidRDefault="009D4FEF" w:rsidP="004C78AB">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Pr>
                <w:rFonts w:eastAsia="Times New Roman"/>
                <w:color w:val="000000"/>
                <w:sz w:val="16"/>
                <w:szCs w:val="16"/>
              </w:rPr>
              <w:t>0.35 IU/ml: 1/526</w:t>
            </w:r>
          </w:p>
          <w:p w:rsidR="001770B1" w:rsidRPr="00392BB7" w:rsidRDefault="009D4FEF" w:rsidP="004C78AB">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4C78AB">
              <w:rPr>
                <w:rFonts w:eastAsia="Times New Roman"/>
                <w:color w:val="000000"/>
                <w:sz w:val="16"/>
                <w:szCs w:val="16"/>
              </w:rPr>
              <w:t>20 IU/ml: 1/148</w:t>
            </w:r>
          </w:p>
        </w:tc>
        <w:tc>
          <w:tcPr>
            <w:tcW w:w="810" w:type="dxa"/>
            <w:shd w:val="clear" w:color="auto" w:fill="auto"/>
            <w:hideMark/>
          </w:tcPr>
          <w:p w:rsidR="001770B1" w:rsidRPr="00392BB7" w:rsidRDefault="006E7FE9" w:rsidP="00C529FA">
            <w:pPr>
              <w:spacing w:line="240" w:lineRule="auto"/>
              <w:rPr>
                <w:rFonts w:eastAsia="Times New Roman"/>
                <w:color w:val="000000"/>
                <w:sz w:val="16"/>
                <w:szCs w:val="16"/>
              </w:rPr>
            </w:pPr>
            <w:r>
              <w:rPr>
                <w:rFonts w:eastAsia="Times New Roman"/>
                <w:color w:val="000000"/>
                <w:sz w:val="16"/>
                <w:szCs w:val="16"/>
              </w:rPr>
              <w:t>6</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r w:rsidRPr="00392BB7">
              <w:rPr>
                <w:rFonts w:eastAsia="Times New Roman"/>
                <w:color w:val="000000"/>
                <w:sz w:val="16"/>
                <w:szCs w:val="16"/>
              </w:rPr>
              <w:t>Costa (2011)</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{"citationItems":[{"id":"ITEM-1","itemData":{"DOI":"10.1186/1745-6673-6-19","ISSN":"1745-6673","author":[{"dropping-particle":"","family":"Torres Costa","given":"José","non-dropping-particle":"","parse-names":false,"suffix":""},{"dropping-particle":"","family":"Silva","given":"Rui","non-dropping-particle":"","parse-names":false,"suffix":""},{"dropping-particle":"","family":"Ringshausen","given":"Felix C","non-dropping-particle":"","parse-names":false,"suffix":""},{"dropping-particle":"","family":"Nienhaus","given":"Albert","non-dropping-particle":"","parse-names":false,"suffix":""}],"container-title":"Journal of Occupational Medicine and Toxicology","id":"ITEM-1","issue":"1","issued":{"date-parts":[["2011"]]},"page":"19","title":"Screening for tuberculosis and prediction of disease in Portuguese healthcare workers","type":"article-journal","volume":"6"},"uris":["http://www.mendeley.com/documents/?uuid=07b511de-4990-4616-971d-8eca004fe8e7"]}],"mendeley":{"formattedCitation":"(7)","plainTextFormattedCitation":"(7)","previouslyFormattedCitation":"[7]"},"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(7)</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Portugal</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2007 – 2010</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18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2865</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Mean: 1.6 Years</w:t>
            </w:r>
          </w:p>
        </w:tc>
        <w:tc>
          <w:tcPr>
            <w:tcW w:w="1350" w:type="dxa"/>
          </w:tcPr>
          <w:p w:rsidR="001770B1" w:rsidRPr="00392BB7" w:rsidRDefault="004C78AB" w:rsidP="00C529FA">
            <w:pPr>
              <w:spacing w:line="240" w:lineRule="auto"/>
              <w:rPr>
                <w:rFonts w:eastAsia="Times New Roman"/>
                <w:color w:val="000000"/>
                <w:sz w:val="16"/>
                <w:szCs w:val="16"/>
              </w:rPr>
            </w:pPr>
            <w:r>
              <w:rPr>
                <w:rFonts w:eastAsia="Times New Roman"/>
                <w:color w:val="000000"/>
                <w:sz w:val="16"/>
                <w:szCs w:val="16"/>
              </w:rPr>
              <w:t>4 to 24 Months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Radiologically</w:t>
            </w:r>
          </w:p>
        </w:tc>
        <w:tc>
          <w:tcPr>
            <w:tcW w:w="1800" w:type="dxa"/>
          </w:tcPr>
          <w:p w:rsidR="004C78AB" w:rsidRDefault="009D4FEF" w:rsidP="004C78AB">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Pr>
                <w:rFonts w:eastAsia="Times New Roman"/>
                <w:color w:val="000000"/>
                <w:sz w:val="16"/>
                <w:szCs w:val="16"/>
              </w:rPr>
              <w:t>0.35 IU/ml: 0/1908</w:t>
            </w:r>
          </w:p>
          <w:p w:rsidR="001770B1" w:rsidRPr="00392BB7" w:rsidRDefault="009D4FEF" w:rsidP="004C78AB">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4C78AB">
              <w:rPr>
                <w:rFonts w:eastAsia="Times New Roman"/>
                <w:color w:val="000000"/>
                <w:sz w:val="16"/>
                <w:szCs w:val="16"/>
              </w:rPr>
              <w:t>20 IU/ml: 4/957</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3</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r w:rsidRPr="00392BB7">
              <w:rPr>
                <w:rFonts w:eastAsia="Times New Roman"/>
                <w:color w:val="000000"/>
                <w:sz w:val="16"/>
                <w:szCs w:val="16"/>
              </w:rPr>
              <w:lastRenderedPageBreak/>
              <w:t>Diel (2011)</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10.1164/rccm.201006-0974OC","ISSN":"1073-449X","author":[{"dropping-particle":"","family":"Diel","given":"Roland","non-dropping-particle":"","parse-names":false,"suffix":""},{"dropping-particle":"","family":"Loddenkemper","given":"Robert","non-dropping-particle":"","parse-names":false,"suffix":""},{"dropping-particle":"","family":"Niemann","given":"Stefan","non-dropping-particle":"","parse-names":false,"suffix":""},{"dropping-particle":"","family":"Meywald-Walter","given":"Karen","non-dropping-particle":"","parse-names":false,"suffix":""},{"dropping-particle":"","family":"Nienhaus","given":"Albert","non-dropping-particle":"","parse-names":false,"suffix":""}],"container-title":"American Journal of Respiratory and Critical Care Medicine","id":"ITEM-1","issue":"1","issued":{"date-parts":[["2011","1"]]},"page":"88-95","title":"Negative and Positive Predictive Value of a Whole-Blood Interferon-γ Release Assay for Developing Active Tuberculosis","type":"article-journal","volume":"183"},"uris":["http://www.mendeley.com/documents/?uuid=3f709808-a78d-4824-8ff5-1dd338afef0b"]}],"mendeley":{"formattedCitation":"(8)","plainTextFormattedCitation":"(8)","previouslyFormattedCitation":"[8]"},"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(8)</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Germany</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2005 – 2010</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954</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Mean: 2.5 Years</w:t>
            </w:r>
          </w:p>
        </w:tc>
        <w:tc>
          <w:tcPr>
            <w:tcW w:w="1350" w:type="dxa"/>
          </w:tcPr>
          <w:p w:rsidR="001770B1" w:rsidRPr="00392BB7" w:rsidRDefault="005520F0" w:rsidP="00C529FA">
            <w:pPr>
              <w:spacing w:line="240" w:lineRule="auto"/>
              <w:rPr>
                <w:rFonts w:eastAsia="Times New Roman"/>
                <w:color w:val="000000"/>
                <w:sz w:val="16"/>
                <w:szCs w:val="16"/>
              </w:rPr>
            </w:pPr>
            <w:r>
              <w:rPr>
                <w:rFonts w:eastAsia="Times New Roman"/>
                <w:color w:val="000000"/>
                <w:sz w:val="16"/>
                <w:szCs w:val="16"/>
              </w:rPr>
              <w:t>3 to 23 Months</w:t>
            </w:r>
          </w:p>
        </w:tc>
        <w:tc>
          <w:tcPr>
            <w:tcW w:w="1080" w:type="dxa"/>
            <w:shd w:val="clear" w:color="auto" w:fill="auto"/>
            <w:hideMark/>
          </w:tcPr>
          <w:p w:rsidR="005520F0" w:rsidRDefault="002812AF" w:rsidP="00C529FA">
            <w:pPr>
              <w:spacing w:line="240" w:lineRule="auto"/>
              <w:rPr>
                <w:rFonts w:eastAsia="Times New Roman"/>
                <w:color w:val="000000"/>
                <w:sz w:val="16"/>
                <w:szCs w:val="16"/>
              </w:rPr>
            </w:pPr>
            <w:r>
              <w:rPr>
                <w:rFonts w:eastAsia="Times New Roman"/>
                <w:color w:val="000000"/>
                <w:sz w:val="16"/>
                <w:szCs w:val="16"/>
              </w:rPr>
              <w:t>No</w:t>
            </w:r>
          </w:p>
          <w:p w:rsidR="002812AF" w:rsidRPr="00392BB7" w:rsidRDefault="002812AF" w:rsidP="00C529FA">
            <w:pPr>
              <w:spacing w:line="240" w:lineRule="auto"/>
              <w:rPr>
                <w:rFonts w:eastAsia="Times New Roman"/>
                <w:color w:val="000000"/>
                <w:sz w:val="16"/>
                <w:szCs w:val="16"/>
              </w:rPr>
            </w:pPr>
            <w:r>
              <w:rPr>
                <w:rFonts w:eastAsia="Times New Roman"/>
                <w:color w:val="000000"/>
                <w:sz w:val="16"/>
                <w:szCs w:val="16"/>
              </w:rPr>
              <w:t>0%</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 radiologically, clinically</w:t>
            </w:r>
          </w:p>
        </w:tc>
        <w:tc>
          <w:tcPr>
            <w:tcW w:w="1800" w:type="dxa"/>
          </w:tcPr>
          <w:p w:rsidR="004C78AB" w:rsidRDefault="009D4FEF" w:rsidP="004C78AB">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sidR="004C78AB">
              <w:rPr>
                <w:rFonts w:eastAsia="Times New Roman"/>
                <w:color w:val="000000"/>
                <w:sz w:val="16"/>
                <w:szCs w:val="16"/>
              </w:rPr>
              <w:t>0.35 IU/ml: 0/</w:t>
            </w:r>
            <w:r w:rsidR="005520F0">
              <w:rPr>
                <w:rFonts w:eastAsia="Times New Roman"/>
                <w:color w:val="000000"/>
                <w:sz w:val="16"/>
                <w:szCs w:val="16"/>
              </w:rPr>
              <w:t>756</w:t>
            </w:r>
          </w:p>
          <w:p w:rsidR="001770B1" w:rsidRPr="00392BB7" w:rsidRDefault="009D4FEF" w:rsidP="004C78AB">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4C78AB">
              <w:rPr>
                <w:rFonts w:eastAsia="Times New Roman"/>
                <w:color w:val="000000"/>
                <w:sz w:val="16"/>
                <w:szCs w:val="16"/>
              </w:rPr>
              <w:t xml:space="preserve">20 IU/ml: </w:t>
            </w:r>
            <w:r w:rsidR="005520F0">
              <w:rPr>
                <w:rFonts w:eastAsia="Times New Roman"/>
                <w:color w:val="000000"/>
                <w:sz w:val="16"/>
                <w:szCs w:val="16"/>
              </w:rPr>
              <w:t>19</w:t>
            </w:r>
            <w:r w:rsidR="004C78AB">
              <w:rPr>
                <w:rFonts w:eastAsia="Times New Roman"/>
                <w:color w:val="000000"/>
                <w:sz w:val="16"/>
                <w:szCs w:val="16"/>
              </w:rPr>
              <w:t>/</w:t>
            </w:r>
            <w:r w:rsidR="005520F0">
              <w:rPr>
                <w:rFonts w:eastAsia="Times New Roman"/>
                <w:color w:val="000000"/>
                <w:sz w:val="16"/>
                <w:szCs w:val="16"/>
              </w:rPr>
              <w:t>198</w:t>
            </w:r>
          </w:p>
        </w:tc>
        <w:tc>
          <w:tcPr>
            <w:tcW w:w="810" w:type="dxa"/>
            <w:shd w:val="clear" w:color="auto" w:fill="auto"/>
            <w:hideMark/>
          </w:tcPr>
          <w:p w:rsidR="001770B1" w:rsidRPr="00392BB7" w:rsidRDefault="006E7FE9" w:rsidP="00C529FA">
            <w:pPr>
              <w:spacing w:line="240" w:lineRule="auto"/>
              <w:rPr>
                <w:rFonts w:eastAsia="Times New Roman"/>
                <w:color w:val="000000"/>
                <w:sz w:val="16"/>
                <w:szCs w:val="16"/>
              </w:rPr>
            </w:pPr>
            <w:r>
              <w:rPr>
                <w:rFonts w:eastAsia="Times New Roman"/>
                <w:color w:val="000000"/>
                <w:sz w:val="16"/>
                <w:szCs w:val="16"/>
              </w:rPr>
              <w:t>4</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r w:rsidRPr="00392BB7">
              <w:rPr>
                <w:rFonts w:eastAsia="Times New Roman"/>
                <w:color w:val="000000"/>
                <w:sz w:val="16"/>
                <w:szCs w:val="16"/>
              </w:rPr>
              <w:t>Doyle (2014)</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{"citationItems":[{"id":"ITEM-1","itemData":{"DOI":"10.1097/QAI.0000000000000109","ISSN":"1525-4135","author":[{"dropping-particle":"","family":"Doyle","given":"Joseph S.","non-dropping-particle":"","parse-names":false,"suffix":""},{"dropping-particle":"","family":"Bissessor","given":"Melanie","non-dropping-particle":"","parse-names":false,"suffix":""},{"dropping-particle":"","family":"Denholm","given":"Justin T.","non-dropping-particle":"","parse-names":false,"suffix":""},{"dropping-particle":"","family":"Ryan","given":"Norbert","non-dropping-particle":"","parse-names":false,"suffix":""},{"dropping-particle":"","family":"Fairley","given":"Christopher K.","non-dropping-particle":"","parse-names":false,"suffix":""},{"dropping-particle":"","family":"Leslie","given":"David E.","non-dropping-particle":"","parse-names":false,"suffix":""}],"container-title":"JAIDS Journal of Acquired Immune Deficiency Syndromes","id":"ITEM-1","issue":"1","issued":{"date-parts":[["2014","5"]]},"page":"48-54","title":"Latent Tuberculosis Screening Using Interferon-Gamma Release Assays in an Australian HIV-Infected Cohort","type":"article-journal","volume":"66"},"uris":["http://www.mendeley.com/documents/?uuid=488eebfb-04db-4b5e-8f8f-b9e7703e8a69"]}],"mendeley":{"formattedCitation":"(9)","plainTextFormattedCitation":"(9)","previouslyFormattedCitation":"[9]"},"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(9)</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HIV-infected patients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Australia</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2003 – 2011</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Adults </w:t>
            </w:r>
            <w:r w:rsidRPr="00392BB7">
              <w:rPr>
                <w:rFonts w:eastAsia="Times New Roman"/>
                <w:color w:val="000000"/>
                <w:sz w:val="16"/>
                <w:szCs w:val="16"/>
              </w:rPr>
              <w:br/>
              <w:t>18 to 88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913</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Median: 2.2 Years</w:t>
            </w:r>
          </w:p>
        </w:tc>
        <w:tc>
          <w:tcPr>
            <w:tcW w:w="1350" w:type="dxa"/>
          </w:tcPr>
          <w:p w:rsidR="001770B1" w:rsidRPr="00392BB7" w:rsidRDefault="005520F0" w:rsidP="00C529FA">
            <w:pPr>
              <w:spacing w:line="240" w:lineRule="auto"/>
              <w:rPr>
                <w:rFonts w:eastAsia="Times New Roman"/>
                <w:color w:val="000000"/>
                <w:sz w:val="16"/>
                <w:szCs w:val="16"/>
              </w:rPr>
            </w:pPr>
            <w:r>
              <w:rPr>
                <w:rFonts w:eastAsia="Times New Roman"/>
                <w:color w:val="000000"/>
                <w:sz w:val="16"/>
                <w:szCs w:val="16"/>
              </w:rPr>
              <w:t>within 24 months</w:t>
            </w:r>
          </w:p>
        </w:tc>
        <w:tc>
          <w:tcPr>
            <w:tcW w:w="1080" w:type="dxa"/>
            <w:shd w:val="clear" w:color="auto" w:fill="auto"/>
            <w:hideMark/>
          </w:tcPr>
          <w:p w:rsidR="00DC36BE" w:rsidRDefault="00DC36BE" w:rsidP="00DC36BE">
            <w:pPr>
              <w:spacing w:line="240" w:lineRule="auto"/>
              <w:rPr>
                <w:rFonts w:eastAsia="Times New Roman"/>
                <w:color w:val="000000"/>
                <w:sz w:val="16"/>
                <w:szCs w:val="16"/>
              </w:rPr>
            </w:pPr>
            <w:r>
              <w:rPr>
                <w:rFonts w:eastAsia="Times New Roman"/>
                <w:color w:val="000000"/>
                <w:sz w:val="16"/>
                <w:szCs w:val="16"/>
              </w:rPr>
              <w:t>Provided:</w:t>
            </w:r>
          </w:p>
          <w:p w:rsidR="00DC36BE" w:rsidRDefault="000B0E30" w:rsidP="00DC36BE">
            <w:pPr>
              <w:spacing w:line="240" w:lineRule="auto"/>
              <w:rPr>
                <w:rFonts w:eastAsia="Times New Roman"/>
                <w:color w:val="000000"/>
                <w:sz w:val="16"/>
                <w:szCs w:val="16"/>
              </w:rPr>
            </w:pPr>
            <w:r>
              <w:rPr>
                <w:rFonts w:eastAsia="Times New Roman"/>
                <w:color w:val="000000"/>
                <w:sz w:val="16"/>
                <w:szCs w:val="16"/>
              </w:rPr>
              <w:t xml:space="preserve">Yes </w:t>
            </w:r>
            <w:r w:rsidRPr="00392BB7">
              <w:rPr>
                <w:rFonts w:eastAsia="Times New Roman"/>
                <w:color w:val="000000"/>
                <w:sz w:val="16"/>
                <w:szCs w:val="16"/>
              </w:rPr>
              <w:t>–</w:t>
            </w:r>
            <w:r w:rsidR="00DC36BE">
              <w:rPr>
                <w:rFonts w:eastAsia="Times New Roman"/>
                <w:color w:val="000000"/>
                <w:sz w:val="16"/>
                <w:szCs w:val="16"/>
              </w:rPr>
              <w:t xml:space="preserve"> 2</w:t>
            </w:r>
            <w:r w:rsidR="00DC36BE" w:rsidRPr="00392BB7">
              <w:rPr>
                <w:rFonts w:eastAsia="Times New Roman"/>
                <w:color w:val="000000"/>
                <w:sz w:val="16"/>
                <w:szCs w:val="16"/>
              </w:rPr>
              <w:t xml:space="preserve"> %</w:t>
            </w:r>
          </w:p>
          <w:p w:rsidR="00DC36BE" w:rsidRDefault="00DC36BE" w:rsidP="00DC36BE">
            <w:pPr>
              <w:spacing w:line="240" w:lineRule="auto"/>
              <w:rPr>
                <w:rFonts w:eastAsia="Times New Roman"/>
                <w:color w:val="000000"/>
                <w:sz w:val="16"/>
                <w:szCs w:val="16"/>
              </w:rPr>
            </w:pPr>
          </w:p>
          <w:p w:rsidR="00DC36BE" w:rsidRDefault="00DC36BE" w:rsidP="00DC36BE">
            <w:pPr>
              <w:spacing w:line="240" w:lineRule="auto"/>
              <w:rPr>
                <w:rFonts w:eastAsia="Times New Roman"/>
                <w:color w:val="000000"/>
                <w:sz w:val="16"/>
                <w:szCs w:val="16"/>
              </w:rPr>
            </w:pPr>
            <w:r>
              <w:rPr>
                <w:rFonts w:eastAsia="Times New Roman"/>
                <w:color w:val="000000"/>
                <w:sz w:val="16"/>
                <w:szCs w:val="16"/>
              </w:rPr>
              <w:t>Completed:</w:t>
            </w:r>
          </w:p>
          <w:p w:rsidR="001770B1" w:rsidRPr="00392BB7" w:rsidRDefault="00DC36BE" w:rsidP="00DC36BE">
            <w:pPr>
              <w:spacing w:line="240" w:lineRule="auto"/>
              <w:rPr>
                <w:rFonts w:eastAsia="Times New Roman"/>
                <w:color w:val="000000"/>
                <w:sz w:val="16"/>
                <w:szCs w:val="16"/>
              </w:rPr>
            </w:pPr>
            <w:r>
              <w:rPr>
                <w:rFonts w:eastAsia="Times New Roman"/>
                <w:color w:val="000000"/>
                <w:sz w:val="16"/>
                <w:szCs w:val="16"/>
              </w:rPr>
              <w:t>&lt;1</w:t>
            </w:r>
            <w:r w:rsidR="003153FE">
              <w:rPr>
                <w:rFonts w:eastAsia="Times New Roman"/>
                <w:color w:val="000000"/>
                <w:sz w:val="16"/>
                <w:szCs w:val="16"/>
              </w:rPr>
              <w:t xml:space="preserve"> </w:t>
            </w:r>
            <w:r>
              <w:rPr>
                <w:rFonts w:eastAsia="Times New Roman"/>
                <w:color w:val="000000"/>
                <w:sz w:val="16"/>
                <w:szCs w:val="16"/>
              </w:rPr>
              <w:t>%</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w:t>
            </w:r>
          </w:p>
        </w:tc>
        <w:tc>
          <w:tcPr>
            <w:tcW w:w="1800" w:type="dxa"/>
          </w:tcPr>
          <w:p w:rsidR="005520F0" w:rsidRDefault="009D4FEF" w:rsidP="005520F0">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Pr>
                <w:rFonts w:eastAsia="Times New Roman"/>
                <w:color w:val="000000"/>
                <w:sz w:val="16"/>
                <w:szCs w:val="16"/>
              </w:rPr>
              <w:t>0.35 IU/ml: 1/884</w:t>
            </w:r>
          </w:p>
          <w:p w:rsidR="001770B1" w:rsidRPr="00392BB7" w:rsidRDefault="000B0E30" w:rsidP="009D4FEF">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sidR="005520F0">
              <w:rPr>
                <w:rFonts w:eastAsia="Times New Roman"/>
                <w:color w:val="000000"/>
                <w:sz w:val="16"/>
                <w:szCs w:val="16"/>
              </w:rPr>
              <w:t>20 IU/ml: 1/29</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4</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Giri</w:t>
            </w:r>
            <w:proofErr w:type="spellEnd"/>
            <w:r w:rsidRPr="00392BB7">
              <w:rPr>
                <w:rFonts w:eastAsia="Times New Roman"/>
                <w:color w:val="000000"/>
                <w:sz w:val="16"/>
                <w:szCs w:val="16"/>
              </w:rPr>
              <w:t xml:space="preserve"> (2014)</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10.1093/occmed/kqu107","ISSN":"0962-7480","author":[{"dropping-particle":"","family":"Giri","given":"P","non-dropping-particle":"","parse-names":false,"suffix":""},{"dropping-particle":"","family":"Basu","given":"S","non-dropping-particle":"","parse-names":false,"suffix":""},{"dropping-particle":"","family":"Sargeant","given":"T","non-dropping-particle":"","parse-names":false,"suffix":""},{"dropping-particle":"","family":"Rimmer","given":"A","non-dropping-particle":"","parse-names":false,"suffix":""},{"dropping-particle":"","family":"Pirzada","given":"O","non-dropping-particle":"","parse-names":false,"suffix":""},{"dropping-particle":"","family":"Adisesh","given":"A","non-dropping-particle":"","parse-names":false,"suffix":""}],"container-title":"Occupational Medicine","id":"ITEM-1","issue":"7","issued":{"date-parts":[["2014","10","1"]]},"page":"524-529","title":"Pre-placement screening for tuberculosis in healthcare workers","type":"article-journal","volume":"64"},"uris":["http://www.mendeley.com/documents/?uuid=9f777ee5-f4ca-4984-a45f-f12e920a2a0a"]}],"mendeley":{"formattedCitation":"(10)","plainTextFormattedCitation":"(10)","previouslyFormattedCitation":"[10]"},"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(10)</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United Kingdom</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2009 – 2013</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1258</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1 Year</w:t>
            </w:r>
          </w:p>
        </w:tc>
        <w:tc>
          <w:tcPr>
            <w:tcW w:w="1350" w:type="dxa"/>
          </w:tcPr>
          <w:p w:rsidR="001770B1" w:rsidRPr="00392BB7" w:rsidRDefault="00CD5ACF" w:rsidP="00C529FA">
            <w:pPr>
              <w:spacing w:line="240" w:lineRule="auto"/>
              <w:rPr>
                <w:rFonts w:eastAsia="Times New Roman"/>
                <w:color w:val="000000"/>
                <w:sz w:val="16"/>
                <w:szCs w:val="16"/>
              </w:rPr>
            </w:pPr>
            <w:r>
              <w:rPr>
                <w:rFonts w:eastAsia="Times New Roman"/>
                <w:color w:val="000000"/>
                <w:sz w:val="16"/>
                <w:szCs w:val="16"/>
              </w:rPr>
              <w:t>Not reported</w:t>
            </w:r>
          </w:p>
        </w:tc>
        <w:tc>
          <w:tcPr>
            <w:tcW w:w="1080" w:type="dxa"/>
            <w:shd w:val="clear" w:color="auto" w:fill="auto"/>
            <w:hideMark/>
          </w:tcPr>
          <w:p w:rsidR="00DC36BE" w:rsidRDefault="00DC36BE" w:rsidP="00DC36BE">
            <w:pPr>
              <w:spacing w:line="240" w:lineRule="auto"/>
              <w:rPr>
                <w:rFonts w:eastAsia="Times New Roman"/>
                <w:color w:val="000000"/>
                <w:sz w:val="16"/>
                <w:szCs w:val="16"/>
              </w:rPr>
            </w:pPr>
            <w:r>
              <w:rPr>
                <w:rFonts w:eastAsia="Times New Roman"/>
                <w:color w:val="000000"/>
                <w:sz w:val="16"/>
                <w:szCs w:val="16"/>
              </w:rPr>
              <w:t>Provided:</w:t>
            </w:r>
          </w:p>
          <w:p w:rsidR="00DC36BE" w:rsidRDefault="000B0E30" w:rsidP="00DC36BE">
            <w:pPr>
              <w:spacing w:line="240" w:lineRule="auto"/>
              <w:rPr>
                <w:rFonts w:eastAsia="Times New Roman"/>
                <w:color w:val="000000"/>
                <w:sz w:val="16"/>
                <w:szCs w:val="16"/>
              </w:rPr>
            </w:pPr>
            <w:r>
              <w:rPr>
                <w:rFonts w:eastAsia="Times New Roman"/>
                <w:color w:val="000000"/>
                <w:sz w:val="16"/>
                <w:szCs w:val="16"/>
              </w:rPr>
              <w:t xml:space="preserve">Yes </w:t>
            </w:r>
            <w:r w:rsidRPr="00392BB7">
              <w:rPr>
                <w:rFonts w:eastAsia="Times New Roman"/>
                <w:color w:val="000000"/>
                <w:sz w:val="16"/>
                <w:szCs w:val="16"/>
              </w:rPr>
              <w:t>–</w:t>
            </w:r>
            <w:r w:rsidR="00DC36BE">
              <w:rPr>
                <w:rFonts w:eastAsia="Times New Roman"/>
                <w:color w:val="000000"/>
                <w:sz w:val="16"/>
                <w:szCs w:val="16"/>
              </w:rPr>
              <w:t xml:space="preserve"> 4</w:t>
            </w:r>
            <w:r w:rsidR="00DC36BE" w:rsidRPr="00392BB7">
              <w:rPr>
                <w:rFonts w:eastAsia="Times New Roman"/>
                <w:color w:val="000000"/>
                <w:sz w:val="16"/>
                <w:szCs w:val="16"/>
              </w:rPr>
              <w:t xml:space="preserve"> %</w:t>
            </w:r>
          </w:p>
          <w:p w:rsidR="00DC36BE" w:rsidRDefault="00DC36BE" w:rsidP="00DC36BE">
            <w:pPr>
              <w:spacing w:line="240" w:lineRule="auto"/>
              <w:rPr>
                <w:rFonts w:eastAsia="Times New Roman"/>
                <w:color w:val="000000"/>
                <w:sz w:val="16"/>
                <w:szCs w:val="16"/>
              </w:rPr>
            </w:pPr>
          </w:p>
          <w:p w:rsidR="00DC36BE" w:rsidRDefault="00DC36BE" w:rsidP="00DC36BE">
            <w:pPr>
              <w:spacing w:line="240" w:lineRule="auto"/>
              <w:rPr>
                <w:rFonts w:eastAsia="Times New Roman"/>
                <w:color w:val="000000"/>
                <w:sz w:val="16"/>
                <w:szCs w:val="16"/>
              </w:rPr>
            </w:pPr>
            <w:r>
              <w:rPr>
                <w:rFonts w:eastAsia="Times New Roman"/>
                <w:color w:val="000000"/>
                <w:sz w:val="16"/>
                <w:szCs w:val="16"/>
              </w:rPr>
              <w:t>Completed:</w:t>
            </w:r>
          </w:p>
          <w:p w:rsidR="001770B1" w:rsidRPr="00392BB7" w:rsidRDefault="00DC36BE" w:rsidP="00DC36BE">
            <w:pPr>
              <w:spacing w:line="240" w:lineRule="auto"/>
              <w:rPr>
                <w:rFonts w:eastAsia="Times New Roman"/>
                <w:color w:val="000000"/>
                <w:sz w:val="16"/>
                <w:szCs w:val="16"/>
              </w:rPr>
            </w:pPr>
            <w:r>
              <w:rPr>
                <w:rFonts w:eastAsia="Times New Roman"/>
                <w:color w:val="000000"/>
                <w:sz w:val="16"/>
                <w:szCs w:val="16"/>
              </w:rPr>
              <w:t>3</w:t>
            </w:r>
            <w:r w:rsidR="003153FE">
              <w:rPr>
                <w:rFonts w:eastAsia="Times New Roman"/>
                <w:color w:val="000000"/>
                <w:sz w:val="16"/>
                <w:szCs w:val="16"/>
              </w:rPr>
              <w:t xml:space="preserve"> </w:t>
            </w:r>
            <w:r>
              <w:rPr>
                <w:rFonts w:eastAsia="Times New Roman"/>
                <w:color w:val="000000"/>
                <w:sz w:val="16"/>
                <w:szCs w:val="16"/>
              </w:rPr>
              <w:t>%</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DC36BE" w:rsidRDefault="009D4FEF" w:rsidP="00DC36BE">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Pr>
                <w:rFonts w:eastAsia="Times New Roman"/>
                <w:color w:val="000000"/>
                <w:sz w:val="16"/>
                <w:szCs w:val="16"/>
              </w:rPr>
              <w:t>0.35 IU/ml: 0/1162</w:t>
            </w:r>
          </w:p>
          <w:p w:rsidR="001770B1" w:rsidRPr="00392BB7" w:rsidRDefault="009D4FEF" w:rsidP="00DC36BE">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DC36BE">
              <w:rPr>
                <w:rFonts w:eastAsia="Times New Roman"/>
                <w:color w:val="000000"/>
                <w:sz w:val="16"/>
                <w:szCs w:val="16"/>
              </w:rPr>
              <w:t>20 IU/ml: 0/96</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4</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r w:rsidRPr="00392BB7">
              <w:rPr>
                <w:rFonts w:eastAsia="Times New Roman"/>
                <w:color w:val="000000"/>
                <w:sz w:val="16"/>
                <w:szCs w:val="16"/>
              </w:rPr>
              <w:t>Gupta (2020)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{"citationItems":[{"id":"ITEM-1","itemData":{"DOI":"10.1164/rccm.201905-0969OC","ISBN":"0000000247740","ISSN":"1073-449X","author":[{"dropping-particle":"","family":"Gupta","given":"Rishi K","non-dropping-particle":"","parse-names":false,"suffix":""},{"dropping-particle":"","family":"Lipman","given":"Marc","non-dropping-particle":"","parse-names":false,"suffix":""},{"dropping-particle":"","family":"Jackson","given":"Charlotte","non-dropping-particle":"","parse-names":false,"suffix":""},{"dropping-particle":"","family":"Sitch","given":"Alice J","non-dropping-particle":"","parse-names":false,"suffix":""},{"dropping-particle":"","family":"Southern","given":"Jo","non-dropping-particle":"","parse-names":false,"suffix":""},{"dropping-particle":"","family":"Drobniewski","given":"Francis","non-dropping-particle":"","parse-names":false,"suffix":""},{"dropping-particle":"","family":"Deeks","given":"Jonathan J","non-dropping-particle":"","parse-names":false,"suffix":""},{"dropping-particle":"","family":"Tsou","given":"Chuen-yan","non-dropping-particle":"","parse-names":false,"suffix":""},{"dropping-particle":"","family":"Griffiths","given":"Chris","non-dropping-particle":"","parse-names":false,"suffix":""},{"dropping-particle":"","family":"Davidson","given":"Jennifer","non-dropping-particle":"","parse-names":false,"suffix":""},{"dropping-particle":"","family":"Campbell","given":"Colin","non-dropping-particle":"","parse-names":false,"suffix":""},{"dropping-particle":"","family":"Stirrup","given":"Oliver","non-dropping-particle":"","parse-names":false,"suffix":""},{"dropping-particle":"","family":"Noursadeghi","given":"Mahdad","non-dropping-particle":"","parse-names":false,"suffix":""},{"dropping-particle":"","family":"Kunst","given":"Heinke","non-dropping-particle":"","parse-names":false,"suffix":""},{"dropping-particle":"","family":"Haldar","given":"Pranab","non-dropping-particle":"","parse-names":false,"suffix":""},{"dropping-particle":"","family":"Lalvani","given":"Ajit","non-dropping-particle":"","parse-names":false,"suffix":""},{"dropping-particle":"","family":"Abubakar","given":"Ibrahim","non-dropping-particle":"","parse-names":false,"suffix":""}],"container-title":"American Journal of Respiratory and Critical Care Medicine","id":"ITEM-1","issue":"8","issued":{"date-parts":[["2020","4","15"]]},"page":"984-991","title":"Quantitative IFN-γ Release Assay and Tuberculin Skin Test Results to Predict Incident Tuberculosis. A Prospective Cohort Study","type":"article-journal","volume":"201"},"uris":["http://www.mendeley.com/documents/?uuid=923a1912-2350-440a-8fba-40bb605b6399"]}],"mendeley":{"formattedCitation":"(11)","plainTextFormattedCitation":"(11)","previouslyFormattedCitation":"[11]"},"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(11)</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High risk population: case contacts, migrants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United Kingdom</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2010 – 2017</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16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8440</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Median: 4.7 Years</w:t>
            </w:r>
          </w:p>
        </w:tc>
        <w:tc>
          <w:tcPr>
            <w:tcW w:w="1350" w:type="dxa"/>
          </w:tcPr>
          <w:p w:rsidR="001770B1" w:rsidRPr="00392BB7" w:rsidRDefault="003153FE" w:rsidP="00C529FA">
            <w:pPr>
              <w:spacing w:line="240" w:lineRule="auto"/>
              <w:rPr>
                <w:rFonts w:eastAsia="Times New Roman"/>
                <w:color w:val="000000"/>
                <w:sz w:val="16"/>
                <w:szCs w:val="16"/>
              </w:rPr>
            </w:pPr>
            <w:r>
              <w:rPr>
                <w:rFonts w:eastAsia="Times New Roman"/>
                <w:color w:val="000000"/>
                <w:sz w:val="16"/>
                <w:szCs w:val="16"/>
              </w:rPr>
              <w:t>Median: 188 days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Clinically confirmed through national TB surveillance program</w:t>
            </w:r>
          </w:p>
        </w:tc>
        <w:tc>
          <w:tcPr>
            <w:tcW w:w="1800" w:type="dxa"/>
          </w:tcPr>
          <w:p w:rsidR="003153FE" w:rsidRDefault="009D4FEF" w:rsidP="003153FE">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Pr>
                <w:rFonts w:eastAsia="Times New Roman"/>
                <w:color w:val="000000"/>
                <w:sz w:val="16"/>
                <w:szCs w:val="16"/>
              </w:rPr>
              <w:t>0.35 IU/ml: 34/6637</w:t>
            </w:r>
          </w:p>
          <w:p w:rsidR="003153FE" w:rsidRDefault="009D4FEF" w:rsidP="003153FE">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Pr>
                <w:rFonts w:eastAsia="Times New Roman"/>
                <w:color w:val="000000"/>
                <w:sz w:val="16"/>
                <w:szCs w:val="16"/>
              </w:rPr>
              <w:t>5 IU/ml: 7/405</w:t>
            </w:r>
          </w:p>
          <w:p w:rsidR="003153FE" w:rsidRDefault="009D4FEF" w:rsidP="003153FE">
            <w:pPr>
              <w:spacing w:line="240" w:lineRule="auto"/>
              <w:rPr>
                <w:rFonts w:eastAsia="Times New Roman"/>
                <w:color w:val="000000"/>
                <w:sz w:val="16"/>
                <w:szCs w:val="16"/>
              </w:rPr>
            </w:pPr>
            <w:r>
              <w:rPr>
                <w:rFonts w:eastAsia="Times New Roman"/>
                <w:color w:val="000000"/>
                <w:sz w:val="16"/>
                <w:szCs w:val="16"/>
              </w:rPr>
              <w:t>5</w:t>
            </w:r>
            <w:r w:rsidR="000B0E30" w:rsidRPr="00392BB7">
              <w:rPr>
                <w:rFonts w:eastAsia="Times New Roman"/>
                <w:color w:val="000000"/>
                <w:sz w:val="16"/>
                <w:szCs w:val="16"/>
              </w:rPr>
              <w:t>–</w:t>
            </w:r>
            <w:r>
              <w:rPr>
                <w:rFonts w:eastAsia="Times New Roman"/>
                <w:color w:val="000000"/>
                <w:sz w:val="16"/>
                <w:szCs w:val="16"/>
              </w:rPr>
              <w:t>10 IU/ml: 27/820</w:t>
            </w:r>
          </w:p>
          <w:p w:rsidR="001770B1" w:rsidRPr="00392BB7" w:rsidRDefault="003153FE" w:rsidP="003153FE">
            <w:pPr>
              <w:spacing w:line="240" w:lineRule="auto"/>
              <w:rPr>
                <w:rFonts w:eastAsia="Times New Roman"/>
                <w:color w:val="000000"/>
                <w:sz w:val="16"/>
                <w:szCs w:val="16"/>
              </w:rPr>
            </w:pPr>
            <w:r>
              <w:rPr>
                <w:rFonts w:eastAsia="Times New Roman"/>
                <w:color w:val="000000"/>
                <w:sz w:val="16"/>
                <w:szCs w:val="16"/>
              </w:rPr>
              <w:t>10</w:t>
            </w:r>
            <w:r w:rsidR="009D4FEF" w:rsidRPr="00392BB7">
              <w:rPr>
                <w:rFonts w:eastAsia="Times New Roman"/>
                <w:color w:val="000000"/>
                <w:sz w:val="16"/>
                <w:szCs w:val="16"/>
              </w:rPr>
              <w:t>–</w:t>
            </w:r>
            <w:r>
              <w:rPr>
                <w:rFonts w:eastAsia="Times New Roman"/>
                <w:color w:val="000000"/>
                <w:sz w:val="16"/>
                <w:szCs w:val="16"/>
              </w:rPr>
              <w:t>20 IU/ml: 26/578</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5</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Haldar</w:t>
            </w:r>
            <w:proofErr w:type="spellEnd"/>
            <w:r w:rsidRPr="00392BB7">
              <w:rPr>
                <w:rFonts w:eastAsia="Times New Roman"/>
                <w:color w:val="000000"/>
                <w:sz w:val="16"/>
                <w:szCs w:val="16"/>
              </w:rPr>
              <w:t xml:space="preserve"> (2013)</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10.1136/thoraxjnl-2011-200956","ISSN":"0040-6376","author":[{"dropping-particle":"","family":"Haldar","given":"Pranabashis","non-dropping-particle":"","parse-names":false,"suffix":""},{"dropping-particle":"","family":"Thuraisingam","given":"Helen","non-dropping-particle":"","parse-names":false,"suffix":""},{"dropping-particle":"","family":"Patel","given":"Hemu","non-dropping-particle":"","parse-names":false,"suffix":""},{"dropping-particle":"","family":"Pereira","given":"Nelun","non-dropping-particle":"","parse-names":false,"suffix":""},{"dropping-particle":"","family":"Free","given":"Robert C","non-dropping-particle":"","parse-names":false,"suffix":""},{"dropping-particle":"","family":"Entwisle","given":"James","non-dropping-particle":"","parse-names":false,"suffix":""},{"dropping-particle":"","family":"Wiselka","given":"Martin","non-dropping-particle":"","parse-names":false,"suffix":""},{"dropping-particle":"","family":"Hoskyns","given":"Edwyn Wren","non-dropping-particle":"","parse-names":false,"suffix":""},{"dropping-particle":"","family":"Monk","given":"Philip","non-dropping-particle":"","parse-names":false,"suffix":""},{"dropping-particle":"","family":"Barer","given":"Michael R","non-dropping-particle":"","parse-names":false,"suffix":""},{"dropping-particle":"","family":"Woltmann","given":"Gerrit","non-dropping-particle":"","parse-names":false,"suffix":""}],"container-title":"Thorax","id":"ITEM-1","issue":"3","issued":{"date-parts":[["2013","3"]]},"page":"240-246","title":"Single-step QuantiFERON screening of adult contacts: a prospective cohort study of tuberculosis risk","type":"article-journal","volume":"68"},"uris":["http://www.mendeley.com/documents/?uuid=a4049873-f039-4565-9af2-6ed01cec6ad3"]}],"mendeley":{"formattedCitation":"(12)","plainTextFormattedCitation":"(12)","previouslyFormattedCitation":"[12]"},"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(12)</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United Kingdom</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2007 – 2009</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16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811</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Median: 2.5 Years</w:t>
            </w:r>
          </w:p>
        </w:tc>
        <w:tc>
          <w:tcPr>
            <w:tcW w:w="1350" w:type="dxa"/>
          </w:tcPr>
          <w:p w:rsidR="001770B1" w:rsidRPr="00392BB7" w:rsidRDefault="003153FE" w:rsidP="00C529FA">
            <w:pPr>
              <w:spacing w:line="240" w:lineRule="auto"/>
              <w:rPr>
                <w:rFonts w:eastAsia="Times New Roman"/>
                <w:color w:val="000000"/>
                <w:sz w:val="16"/>
                <w:szCs w:val="16"/>
              </w:rPr>
            </w:pPr>
            <w:r>
              <w:rPr>
                <w:rFonts w:eastAsia="Times New Roman"/>
                <w:color w:val="000000"/>
                <w:sz w:val="16"/>
                <w:szCs w:val="16"/>
              </w:rPr>
              <w:t>Median: 171 days</w:t>
            </w:r>
          </w:p>
        </w:tc>
        <w:tc>
          <w:tcPr>
            <w:tcW w:w="1080" w:type="dxa"/>
            <w:shd w:val="clear" w:color="auto" w:fill="auto"/>
            <w:hideMark/>
          </w:tcPr>
          <w:p w:rsidR="001770B1" w:rsidRPr="00392BB7" w:rsidRDefault="006E7FE9" w:rsidP="003153FE">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3153FE" w:rsidRDefault="009D4FEF" w:rsidP="003153FE">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Pr>
                <w:rFonts w:eastAsia="Times New Roman"/>
                <w:color w:val="000000"/>
                <w:sz w:val="16"/>
                <w:szCs w:val="16"/>
              </w:rPr>
              <w:t>0.35 IU/ml: 6/601</w:t>
            </w:r>
          </w:p>
          <w:p w:rsidR="001770B1" w:rsidRPr="00392BB7" w:rsidRDefault="009D4FEF" w:rsidP="003153FE">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3153FE">
              <w:rPr>
                <w:rFonts w:eastAsia="Times New Roman"/>
                <w:color w:val="000000"/>
                <w:sz w:val="16"/>
                <w:szCs w:val="16"/>
              </w:rPr>
              <w:t>20 IU/ml: 14/210</w:t>
            </w:r>
          </w:p>
        </w:tc>
        <w:tc>
          <w:tcPr>
            <w:tcW w:w="810" w:type="dxa"/>
            <w:shd w:val="clear" w:color="auto" w:fill="auto"/>
            <w:hideMark/>
          </w:tcPr>
          <w:p w:rsidR="001770B1" w:rsidRPr="00392BB7" w:rsidRDefault="006E7FE9" w:rsidP="00C529FA">
            <w:pPr>
              <w:spacing w:line="240" w:lineRule="auto"/>
              <w:rPr>
                <w:rFonts w:eastAsia="Times New Roman"/>
                <w:color w:val="000000"/>
                <w:sz w:val="16"/>
                <w:szCs w:val="16"/>
              </w:rPr>
            </w:pPr>
            <w:r>
              <w:rPr>
                <w:rFonts w:eastAsia="Times New Roman"/>
                <w:color w:val="000000"/>
                <w:sz w:val="16"/>
                <w:szCs w:val="16"/>
              </w:rPr>
              <w:t>5</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Harstad</w:t>
            </w:r>
            <w:proofErr w:type="spellEnd"/>
            <w:r w:rsidRPr="00392BB7">
              <w:rPr>
                <w:rFonts w:eastAsia="Times New Roman"/>
                <w:color w:val="000000"/>
                <w:sz w:val="16"/>
                <w:szCs w:val="16"/>
              </w:rPr>
              <w:t xml:space="preserve"> (2010)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{"citationItems":[{"id":"ITEM-1","itemData":{"ISSN":"1815-7920","PMID":"20819271","abstract":"Screening with chest X-ray and the Mantoux test (the tuberculin skin test [TST]) is compulsory for adult asylum seekers who arrive in Norway. In 2005-2006, we included 823 asylum seekers in a study of the QuantiFERON-TB Gold test (QFT-G), and followed them for 23-32 months. Eight subjects with a positive and one with a negative QFT-G test were diagnosed with tuberculosis (TB). The positive (PPV) and negative predictive values (NPV) for TB were respectively 3.3% and 99.8%. The PPV was 2.3% and the NPV 99.1% for TST &gt;or= 15 mm, and the NPV was 99.5% for TST &gt;or= 6 mm in combination with a negative QFT-G.","author":[{"dropping-particle":"","family":"Harstad","given":"I","non-dropping-particle":"","parse-names":false,"suffix":""},{"dropping-particle":"","family":"Winje","given":"B A","non-dropping-particle":"","parse-names":false,"suffix":""},{"dropping-particle":"","family":"Heldal","given":"E","non-dropping-particle":"","parse-names":false,"suffix":""},{"dropping-particle":"","family":"Oftung","given":"F","non-dropping-particle":"","parse-names":false,"suffix":""},{"dropping-particle":"","family":"Jacobsen","given":"G W","non-dropping-particle":"","parse-names":false,"suffix":""}],"container-title":"The international journal of tuberculosis and lung disease","id":"ITEM-1","issue":"9","issued":{"date-parts":[["2010","9"]]},"page":"1209-11","title":"Predictive values of QuantiFERON-TB Gold testing in screening for tuberculosis disease in asylum seekers.","type":"article-journal","volume":"14"},"uris":["http://www.mendeley.com/documents/?uuid=0be515d0-47bb-4422-b598-d6fc4f06cc22"]}],"mendeley":{"formattedCitation":"(13)","plainTextFormattedCitation":"(13)","previouslyFormattedCitation":"[13]"},"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(13)</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Asylum seekers</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Norway</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2005 – 2008</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18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823</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23 to 32 months</w:t>
            </w:r>
          </w:p>
        </w:tc>
        <w:tc>
          <w:tcPr>
            <w:tcW w:w="1350" w:type="dxa"/>
          </w:tcPr>
          <w:p w:rsidR="001770B1" w:rsidRDefault="002D1E5C" w:rsidP="00C529FA">
            <w:pPr>
              <w:spacing w:line="240" w:lineRule="auto"/>
              <w:rPr>
                <w:rFonts w:eastAsia="Times New Roman"/>
                <w:color w:val="000000"/>
                <w:sz w:val="16"/>
                <w:szCs w:val="16"/>
              </w:rPr>
            </w:pPr>
            <w:r>
              <w:rPr>
                <w:rFonts w:eastAsia="Times New Roman"/>
                <w:color w:val="000000"/>
                <w:sz w:val="16"/>
                <w:szCs w:val="16"/>
              </w:rPr>
              <w:t>2 to 20 Months</w:t>
            </w:r>
          </w:p>
          <w:p w:rsidR="002D1E5C" w:rsidRPr="00392BB7" w:rsidRDefault="002D1E5C" w:rsidP="00C529FA">
            <w:pPr>
              <w:spacing w:line="240" w:lineRule="auto"/>
              <w:rPr>
                <w:rFonts w:eastAsia="Times New Roman"/>
                <w:color w:val="000000"/>
                <w:sz w:val="16"/>
                <w:szCs w:val="16"/>
              </w:rPr>
            </w:pPr>
            <w:r>
              <w:rPr>
                <w:rFonts w:eastAsia="Times New Roman"/>
                <w:color w:val="000000"/>
                <w:sz w:val="16"/>
                <w:szCs w:val="16"/>
              </w:rPr>
              <w:t>(1 case in 2 months)</w:t>
            </w:r>
          </w:p>
        </w:tc>
        <w:tc>
          <w:tcPr>
            <w:tcW w:w="1080" w:type="dxa"/>
            <w:shd w:val="clear" w:color="auto" w:fill="auto"/>
            <w:hideMark/>
          </w:tcPr>
          <w:p w:rsidR="007A49A2" w:rsidRDefault="007A49A2" w:rsidP="007A49A2">
            <w:pPr>
              <w:spacing w:line="240" w:lineRule="auto"/>
              <w:rPr>
                <w:rFonts w:eastAsia="Times New Roman"/>
                <w:color w:val="000000"/>
                <w:sz w:val="16"/>
                <w:szCs w:val="16"/>
              </w:rPr>
            </w:pPr>
            <w:r>
              <w:rPr>
                <w:rFonts w:eastAsia="Times New Roman"/>
                <w:color w:val="000000"/>
                <w:sz w:val="16"/>
                <w:szCs w:val="16"/>
              </w:rPr>
              <w:t>No</w:t>
            </w:r>
          </w:p>
          <w:p w:rsidR="001770B1" w:rsidRPr="00392BB7" w:rsidRDefault="007A49A2" w:rsidP="007A49A2">
            <w:pPr>
              <w:spacing w:line="240" w:lineRule="auto"/>
              <w:rPr>
                <w:rFonts w:eastAsia="Times New Roman"/>
                <w:color w:val="000000"/>
                <w:sz w:val="16"/>
                <w:szCs w:val="16"/>
              </w:rPr>
            </w:pPr>
            <w:r>
              <w:rPr>
                <w:rFonts w:eastAsia="Times New Roman"/>
                <w:color w:val="000000"/>
                <w:sz w:val="16"/>
                <w:szCs w:val="16"/>
              </w:rPr>
              <w:t>0%</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Clinically confirmed through National TB registry</w:t>
            </w:r>
          </w:p>
        </w:tc>
        <w:tc>
          <w:tcPr>
            <w:tcW w:w="1800" w:type="dxa"/>
          </w:tcPr>
          <w:p w:rsidR="003153FE" w:rsidRDefault="009D4FEF" w:rsidP="003153FE">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sidR="003153FE">
              <w:rPr>
                <w:rFonts w:eastAsia="Times New Roman"/>
                <w:color w:val="000000"/>
                <w:sz w:val="16"/>
                <w:szCs w:val="16"/>
              </w:rPr>
              <w:t>0.35 IU/ml: 0/577</w:t>
            </w:r>
          </w:p>
          <w:p w:rsidR="003153FE" w:rsidRDefault="003153FE" w:rsidP="003153FE">
            <w:pPr>
              <w:spacing w:line="240" w:lineRule="auto"/>
              <w:rPr>
                <w:rFonts w:eastAsia="Times New Roman"/>
                <w:color w:val="000000"/>
                <w:sz w:val="16"/>
                <w:szCs w:val="16"/>
              </w:rPr>
            </w:pPr>
          </w:p>
          <w:p w:rsidR="001770B1" w:rsidRPr="00392BB7" w:rsidRDefault="003153FE" w:rsidP="007A49A2">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Pr>
                <w:rFonts w:eastAsia="Times New Roman"/>
                <w:color w:val="000000"/>
                <w:sz w:val="16"/>
                <w:szCs w:val="16"/>
              </w:rPr>
              <w:t>20 IU/ml: 6/2</w:t>
            </w:r>
            <w:r w:rsidR="007A49A2">
              <w:rPr>
                <w:rFonts w:eastAsia="Times New Roman"/>
                <w:color w:val="000000"/>
                <w:sz w:val="16"/>
                <w:szCs w:val="16"/>
              </w:rPr>
              <w:t>38</w:t>
            </w:r>
          </w:p>
        </w:tc>
        <w:tc>
          <w:tcPr>
            <w:tcW w:w="810" w:type="dxa"/>
            <w:shd w:val="clear" w:color="auto" w:fill="auto"/>
            <w:hideMark/>
          </w:tcPr>
          <w:p w:rsidR="001770B1" w:rsidRPr="00392BB7" w:rsidRDefault="006E7FE9" w:rsidP="00C529FA">
            <w:pPr>
              <w:spacing w:line="240" w:lineRule="auto"/>
              <w:rPr>
                <w:rFonts w:eastAsia="Times New Roman"/>
                <w:color w:val="000000"/>
                <w:sz w:val="16"/>
                <w:szCs w:val="16"/>
              </w:rPr>
            </w:pPr>
            <w:r>
              <w:rPr>
                <w:rFonts w:eastAsia="Times New Roman"/>
                <w:color w:val="000000"/>
                <w:sz w:val="16"/>
                <w:szCs w:val="16"/>
              </w:rPr>
              <w:t>3</w:t>
            </w:r>
          </w:p>
        </w:tc>
      </w:tr>
      <w:tr w:rsidR="001770B1" w:rsidRPr="00C529FA" w:rsidTr="009D4FEF">
        <w:trPr>
          <w:trHeight w:val="1008"/>
        </w:trPr>
        <w:tc>
          <w:tcPr>
            <w:tcW w:w="1165" w:type="dxa"/>
            <w:shd w:val="clear" w:color="auto" w:fill="auto"/>
            <w:hideMark/>
          </w:tcPr>
          <w:p w:rsidR="001770B1" w:rsidRPr="00392BB7" w:rsidRDefault="001770B1" w:rsidP="000408A8">
            <w:pPr>
              <w:spacing w:line="240" w:lineRule="auto"/>
              <w:rPr>
                <w:rFonts w:eastAsia="Times New Roman"/>
                <w:color w:val="000000"/>
                <w:sz w:val="16"/>
                <w:szCs w:val="16"/>
              </w:rPr>
            </w:pPr>
            <w:proofErr w:type="spellStart"/>
            <w:r w:rsidRPr="00392BB7">
              <w:rPr>
                <w:rFonts w:eastAsia="Times New Roman"/>
                <w:color w:val="000000"/>
                <w:sz w:val="16"/>
                <w:szCs w:val="16"/>
              </w:rPr>
              <w:t>Jonsson</w:t>
            </w:r>
            <w:proofErr w:type="spellEnd"/>
            <w:r w:rsidRPr="00392BB7">
              <w:rPr>
                <w:rFonts w:eastAsia="Times New Roman"/>
                <w:color w:val="000000"/>
                <w:sz w:val="16"/>
                <w:szCs w:val="16"/>
              </w:rPr>
              <w:t xml:space="preserve"> (2017)</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10.1371/journal.pone.0187313","ISSN":"1932-6203","author":[{"dropping-particle":"","family":"Jonsson","given":"Jerker","non-dropping-particle":"","parse-names":false,"suffix":""},{"dropping-particle":"","family":"Westman","given":"Anna","non-dropping-particle":"","parse-names":false,"suffix":""},{"dropping-particle":"","family":"Bruchfeld","given":"Judith","non-dropping-particle":"","parse-names":false,"suffix":""},{"dropping-particle":"","family":"Sturegård","given":"Erik","non-dropping-particle":"","parse-names":false,"suffix":""},{"dropping-particle":"","family":"Gaines","given":"Hans","non-dropping-particle":"","parse-names":false,"suffix":""},{"dropping-particle":"","family":"Schön","given":"Thomas","non-dropping-particle":"","parse-names":false,"suffix":""}],"container-title":"PLOS ONE","editor":[{"dropping-particle":"","family":"Shams","given":"(Amir) Homayoun","non-dropping-particle":"","parse-names":false,"suffix":""}],"id":"ITEM-1","issue":"11","issued":{"date-parts":[["2017","11","2"]]},"page":"e0187313","title":"A borderline range for Quantiferon Gold In-Tube results","type":"article-journal","volume":"12"},"uris":["http://www.mendeley.com/documents/?uuid=aceb0a67-0144-490a-ae5b-1fd475ee5187"]}],"mendeley":{"formattedCitation":"(14)","plainTextFormattedCitation":"(14)","previouslyFormattedCitation":"[14]"},"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(14)</w:t>
            </w:r>
            <w:r w:rsidRPr="00392BB7">
              <w:rPr>
                <w:rFonts w:eastAsia="Times New Roman"/>
                <w:color w:val="000000"/>
                <w:sz w:val="16"/>
                <w:szCs w:val="16"/>
              </w:rPr>
              <w:fldChar w:fldCharType="end"/>
            </w:r>
          </w:p>
        </w:tc>
        <w:tc>
          <w:tcPr>
            <w:tcW w:w="117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All residents meeting Swedish guidelines for LTBI testing</w:t>
            </w:r>
          </w:p>
        </w:tc>
        <w:tc>
          <w:tcPr>
            <w:tcW w:w="99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Sweden</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2009 – 2016</w:t>
            </w:r>
          </w:p>
        </w:tc>
        <w:tc>
          <w:tcPr>
            <w:tcW w:w="153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38785</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Median: 4.3 Years</w:t>
            </w:r>
          </w:p>
        </w:tc>
        <w:tc>
          <w:tcPr>
            <w:tcW w:w="1350" w:type="dxa"/>
          </w:tcPr>
          <w:p w:rsidR="001770B1" w:rsidRPr="00392BB7" w:rsidRDefault="002D1E5C" w:rsidP="00C529FA">
            <w:pPr>
              <w:spacing w:line="240" w:lineRule="auto"/>
              <w:rPr>
                <w:rFonts w:eastAsia="Times New Roman"/>
                <w:color w:val="000000"/>
                <w:sz w:val="16"/>
                <w:szCs w:val="16"/>
              </w:rPr>
            </w:pPr>
            <w:r>
              <w:rPr>
                <w:rFonts w:eastAsia="Times New Roman"/>
                <w:color w:val="000000"/>
                <w:sz w:val="16"/>
                <w:szCs w:val="16"/>
              </w:rPr>
              <w:t>3 to 24+ Months</w:t>
            </w:r>
          </w:p>
        </w:tc>
        <w:tc>
          <w:tcPr>
            <w:tcW w:w="108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 xml:space="preserve">Yes </w:t>
            </w:r>
            <w:r w:rsidRPr="00392BB7">
              <w:rPr>
                <w:rFonts w:eastAsia="Times New Roman"/>
                <w:color w:val="000000"/>
                <w:sz w:val="16"/>
                <w:szCs w:val="16"/>
              </w:rPr>
              <w:br/>
              <w:t>unknown %</w:t>
            </w:r>
          </w:p>
        </w:tc>
        <w:tc>
          <w:tcPr>
            <w:tcW w:w="144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Clinically confirmed through national TB register</w:t>
            </w:r>
          </w:p>
        </w:tc>
        <w:tc>
          <w:tcPr>
            <w:tcW w:w="1800" w:type="dxa"/>
          </w:tcPr>
          <w:p w:rsidR="000B0E30" w:rsidRDefault="002D1E5C" w:rsidP="000B0E30">
            <w:pPr>
              <w:spacing w:line="240" w:lineRule="auto"/>
              <w:rPr>
                <w:rFonts w:eastAsia="Times New Roman"/>
                <w:color w:val="000000"/>
                <w:sz w:val="16"/>
                <w:szCs w:val="16"/>
              </w:rPr>
            </w:pPr>
            <w:r>
              <w:rPr>
                <w:rFonts w:eastAsia="Times New Roman"/>
                <w:color w:val="000000"/>
                <w:sz w:val="16"/>
                <w:szCs w:val="16"/>
              </w:rPr>
              <w:t>0</w:t>
            </w:r>
            <w:r w:rsidR="000B0E30" w:rsidRPr="00392BB7">
              <w:rPr>
                <w:rFonts w:eastAsia="Times New Roman"/>
                <w:color w:val="000000"/>
                <w:sz w:val="16"/>
                <w:szCs w:val="16"/>
              </w:rPr>
              <w:t>–</w:t>
            </w:r>
            <w:r w:rsidR="000B0E30">
              <w:rPr>
                <w:rFonts w:eastAsia="Times New Roman"/>
                <w:color w:val="000000"/>
                <w:sz w:val="16"/>
                <w:szCs w:val="16"/>
              </w:rPr>
              <w:t xml:space="preserve">0.35 IU/ml: </w:t>
            </w:r>
            <w:r>
              <w:rPr>
                <w:rFonts w:eastAsia="Times New Roman"/>
                <w:color w:val="000000"/>
                <w:sz w:val="16"/>
                <w:szCs w:val="16"/>
              </w:rPr>
              <w:t>23/30567</w:t>
            </w:r>
          </w:p>
          <w:p w:rsidR="002D1E5C" w:rsidRDefault="009D4FEF" w:rsidP="000B0E30">
            <w:pPr>
              <w:spacing w:line="240" w:lineRule="auto"/>
              <w:rPr>
                <w:rFonts w:eastAsia="Times New Roman"/>
                <w:color w:val="000000"/>
                <w:sz w:val="16"/>
                <w:szCs w:val="16"/>
              </w:rPr>
            </w:pPr>
            <w:r>
              <w:rPr>
                <w:rFonts w:eastAsia="Times New Roman"/>
                <w:color w:val="000000"/>
                <w:sz w:val="16"/>
                <w:szCs w:val="16"/>
              </w:rPr>
              <w:t>0.35</w:t>
            </w:r>
            <w:r w:rsidR="000B0E30" w:rsidRPr="00392BB7">
              <w:rPr>
                <w:rFonts w:eastAsia="Times New Roman"/>
                <w:color w:val="000000"/>
                <w:sz w:val="16"/>
                <w:szCs w:val="16"/>
              </w:rPr>
              <w:t>–</w:t>
            </w:r>
            <w:r w:rsidR="002D1E5C">
              <w:rPr>
                <w:rFonts w:eastAsia="Times New Roman"/>
                <w:color w:val="000000"/>
                <w:sz w:val="16"/>
                <w:szCs w:val="16"/>
              </w:rPr>
              <w:t>1</w:t>
            </w:r>
            <w:r w:rsidR="000B0E30">
              <w:rPr>
                <w:rFonts w:eastAsia="Times New Roman"/>
                <w:color w:val="000000"/>
                <w:sz w:val="16"/>
                <w:szCs w:val="16"/>
              </w:rPr>
              <w:t xml:space="preserve"> IU/ml: </w:t>
            </w:r>
            <w:r w:rsidR="002D1E5C">
              <w:rPr>
                <w:rFonts w:eastAsia="Times New Roman"/>
                <w:color w:val="000000"/>
                <w:sz w:val="16"/>
                <w:szCs w:val="16"/>
              </w:rPr>
              <w:t>15</w:t>
            </w:r>
            <w:r w:rsidR="000B0E30">
              <w:rPr>
                <w:rFonts w:eastAsia="Times New Roman"/>
                <w:color w:val="000000"/>
                <w:sz w:val="16"/>
                <w:szCs w:val="16"/>
              </w:rPr>
              <w:t>/</w:t>
            </w:r>
            <w:r w:rsidR="002D1E5C">
              <w:rPr>
                <w:rFonts w:eastAsia="Times New Roman"/>
                <w:color w:val="000000"/>
                <w:sz w:val="16"/>
                <w:szCs w:val="16"/>
              </w:rPr>
              <w:t>1937</w:t>
            </w:r>
          </w:p>
          <w:p w:rsidR="002D1E5C" w:rsidRPr="00392BB7" w:rsidRDefault="009D4FEF" w:rsidP="000B0E30">
            <w:pPr>
              <w:spacing w:line="240" w:lineRule="auto"/>
              <w:rPr>
                <w:rFonts w:eastAsia="Times New Roman"/>
                <w:color w:val="000000"/>
                <w:sz w:val="16"/>
                <w:szCs w:val="16"/>
              </w:rPr>
            </w:pPr>
            <w:r>
              <w:rPr>
                <w:rFonts w:eastAsia="Times New Roman"/>
                <w:color w:val="000000"/>
                <w:sz w:val="16"/>
                <w:szCs w:val="16"/>
              </w:rPr>
              <w:t>1</w:t>
            </w:r>
            <w:r w:rsidR="002D1E5C" w:rsidRPr="00392BB7">
              <w:rPr>
                <w:rFonts w:eastAsia="Times New Roman"/>
                <w:color w:val="000000"/>
                <w:sz w:val="16"/>
                <w:szCs w:val="16"/>
              </w:rPr>
              <w:t>–</w:t>
            </w:r>
            <w:r w:rsidR="002D1E5C">
              <w:rPr>
                <w:rFonts w:eastAsia="Times New Roman"/>
                <w:color w:val="000000"/>
                <w:sz w:val="16"/>
                <w:szCs w:val="16"/>
              </w:rPr>
              <w:t xml:space="preserve">20 IU/ml: 84/6281 </w:t>
            </w:r>
          </w:p>
        </w:tc>
        <w:tc>
          <w:tcPr>
            <w:tcW w:w="810" w:type="dxa"/>
            <w:shd w:val="clear" w:color="auto" w:fill="auto"/>
            <w:hideMark/>
          </w:tcPr>
          <w:p w:rsidR="001770B1" w:rsidRPr="00392BB7" w:rsidRDefault="001770B1" w:rsidP="00C529FA">
            <w:pPr>
              <w:spacing w:line="240" w:lineRule="auto"/>
              <w:rPr>
                <w:rFonts w:eastAsia="Times New Roman"/>
                <w:color w:val="000000"/>
                <w:sz w:val="16"/>
                <w:szCs w:val="16"/>
              </w:rPr>
            </w:pPr>
            <w:r w:rsidRPr="00392BB7">
              <w:rPr>
                <w:rFonts w:eastAsia="Times New Roman"/>
                <w:color w:val="000000"/>
                <w:sz w:val="16"/>
                <w:szCs w:val="16"/>
              </w:rPr>
              <w:t>3</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Joshi (2011)</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10.1183/09031936.00014611","ISSN":"0903-1936","author":[{"dropping-particle":"","family":"Joshi","given":"R.","non-dropping-particle":"","parse-names":false,"suffix":""},{"dropping-particle":"","family":"Narang","given":"U.","non-dropping-particle":"","parse-names":false,"suffix":""},{"dropping-particle":"","family":"Zwerling","given":"A.","non-dropping-particle":"","parse-names":false,"suffix":""},{"dropping-particle":"","family":"Jain","given":"D.","non-dropping-particle":"","parse-names":false,"suffix":""},{"dropping-particle":"","family":"Jain","given":"V.","non-dropping-particle":"","parse-names":false,"suffix":""},{"dropping-particle":"","family":"Kalantri","given":"S.","non-dropping-particle":"","parse-names":false,"suffix":""},{"dropping-particle":"","family":"Pai","given":"M.","non-dropping-particle":"","parse-names":false,"suffix":""}],"container-title":"European Respiratory Journal","id":"ITEM-1","issue":"6","issued":{"date-parts":[["2011","12","1"]]},"page":"1475-1477","title":"Predictive value of latent tuberculosis tests in Indian healthcare workers: a cohort study","type":"article-journal","volume":"38"},"uris":["http://www.mendeley.com/documents/?uuid=24f44919-7d48-4da7-9539-527700aab243"]}],"mendeley":{"formattedCitation":"(15)","plainTextFormattedCitation":"(15)","previouslyFormattedCitation":"[15]"},"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(15)</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India</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2004 – 2010</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18 to 100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726</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6 Years</w:t>
            </w:r>
          </w:p>
        </w:tc>
        <w:tc>
          <w:tcPr>
            <w:tcW w:w="1350" w:type="dxa"/>
          </w:tcPr>
          <w:p w:rsidR="007F66CB" w:rsidRPr="00392BB7" w:rsidRDefault="00C80C83" w:rsidP="007F66CB">
            <w:pPr>
              <w:spacing w:line="240" w:lineRule="auto"/>
              <w:rPr>
                <w:rFonts w:eastAsia="Times New Roman"/>
                <w:color w:val="000000"/>
                <w:sz w:val="16"/>
                <w:szCs w:val="16"/>
              </w:rPr>
            </w:pPr>
            <w:r>
              <w:rPr>
                <w:rFonts w:eastAsia="Times New Roman"/>
                <w:color w:val="000000"/>
                <w:sz w:val="16"/>
                <w:szCs w:val="16"/>
              </w:rPr>
              <w:t>3+ Months</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 xml:space="preserve">Yes </w:t>
            </w:r>
            <w:r w:rsidRPr="00392BB7">
              <w:rPr>
                <w:rFonts w:eastAsia="Times New Roman"/>
                <w:color w:val="000000"/>
                <w:sz w:val="16"/>
                <w:szCs w:val="16"/>
              </w:rPr>
              <w:br/>
              <w:t>unknown %</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7F66CB" w:rsidRDefault="009D4FEF" w:rsidP="007F66CB">
            <w:pPr>
              <w:spacing w:line="240" w:lineRule="auto"/>
              <w:rPr>
                <w:rFonts w:eastAsia="Times New Roman"/>
                <w:color w:val="000000"/>
                <w:sz w:val="16"/>
                <w:szCs w:val="16"/>
              </w:rPr>
            </w:pPr>
            <w:r>
              <w:rPr>
                <w:rFonts w:eastAsia="Times New Roman"/>
                <w:color w:val="000000"/>
                <w:sz w:val="16"/>
                <w:szCs w:val="16"/>
              </w:rPr>
              <w:t>0</w:t>
            </w:r>
            <w:r w:rsidR="007F66CB" w:rsidRPr="00392BB7">
              <w:rPr>
                <w:rFonts w:eastAsia="Times New Roman"/>
                <w:color w:val="000000"/>
                <w:sz w:val="16"/>
                <w:szCs w:val="16"/>
              </w:rPr>
              <w:t>–</w:t>
            </w:r>
            <w:r w:rsidR="007F66CB">
              <w:rPr>
                <w:rFonts w:eastAsia="Times New Roman"/>
                <w:color w:val="000000"/>
                <w:sz w:val="16"/>
                <w:szCs w:val="16"/>
              </w:rPr>
              <w:t>0.35 IU/ml: 8/2365</w:t>
            </w:r>
          </w:p>
          <w:p w:rsidR="007F66CB" w:rsidRDefault="007F66CB" w:rsidP="007F66CB">
            <w:pPr>
              <w:spacing w:line="240" w:lineRule="auto"/>
              <w:rPr>
                <w:rFonts w:eastAsia="Times New Roman"/>
                <w:color w:val="000000"/>
                <w:sz w:val="16"/>
                <w:szCs w:val="16"/>
              </w:rPr>
            </w:pPr>
          </w:p>
          <w:p w:rsidR="007F66CB" w:rsidRPr="00392BB7" w:rsidRDefault="009D4FEF" w:rsidP="007F66CB">
            <w:pPr>
              <w:spacing w:line="240" w:lineRule="auto"/>
              <w:rPr>
                <w:rFonts w:eastAsia="Times New Roman"/>
                <w:color w:val="000000"/>
                <w:sz w:val="16"/>
                <w:szCs w:val="16"/>
              </w:rPr>
            </w:pPr>
            <w:r>
              <w:rPr>
                <w:rFonts w:eastAsia="Times New Roman"/>
                <w:color w:val="000000"/>
                <w:sz w:val="16"/>
                <w:szCs w:val="16"/>
              </w:rPr>
              <w:t>0.35</w:t>
            </w:r>
            <w:r w:rsidR="007F66CB" w:rsidRPr="00392BB7">
              <w:rPr>
                <w:rFonts w:eastAsia="Times New Roman"/>
                <w:color w:val="000000"/>
                <w:sz w:val="16"/>
                <w:szCs w:val="16"/>
              </w:rPr>
              <w:t>–</w:t>
            </w:r>
            <w:r w:rsidR="007F66CB">
              <w:rPr>
                <w:rFonts w:eastAsia="Times New Roman"/>
                <w:color w:val="000000"/>
                <w:sz w:val="16"/>
                <w:szCs w:val="16"/>
              </w:rPr>
              <w:t>20 IU/ml: 6/1626</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4</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proofErr w:type="spellStart"/>
            <w:r w:rsidRPr="00392BB7">
              <w:rPr>
                <w:rFonts w:eastAsia="Times New Roman"/>
                <w:color w:val="000000"/>
                <w:sz w:val="16"/>
                <w:szCs w:val="16"/>
              </w:rPr>
              <w:t>Kruczak</w:t>
            </w:r>
            <w:proofErr w:type="spellEnd"/>
            <w:r w:rsidRPr="00392BB7">
              <w:rPr>
                <w:rFonts w:eastAsia="Times New Roman"/>
                <w:color w:val="000000"/>
                <w:sz w:val="16"/>
                <w:szCs w:val="16"/>
              </w:rPr>
              <w:t xml:space="preserve"> (2014)</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10.3109/00365548.2014.927955","ISSN":"0036-5548","author":[{"dropping-particle":"","family":"Kruczak","given":"Katarzyna","non-dropping-particle":"","parse-names":false,"suffix":""},{"dropping-particle":"","family":"Duplaga","given":"Mariusz","non-dropping-particle":"","parse-names":false,"suffix":""},{"dropping-particle":"","family":"Sanak","given":"Marek","non-dropping-particle":"","parse-names":false,"suffix":""},{"dropping-particle":"","family":"Cmiel","given":"Adam","non-dropping-particle":"","parse-names":false,"suffix":""},{"dropping-particle":"","family":"Mastalerz","given":"Lucyna","non-dropping-particle":"","parse-names":false,"suffix":""},{"dropping-particle":"","family":"Sladek","given":"Krzysztof","non-dropping-particle":"","parse-names":false,"suffix":""},{"dropping-particle":"","family":"Nizankowska-Mogilnicka","given":"Ewa","non-dropping-particle":"","parse-names":false,"suffix":""}],"container-title":"Scandinavian Journal of Infectious Diseases","id":"ITEM-1","issue":"9","issued":{"date-parts":[["2014","9","30"]]},"page":"649-655","title":"Comparison of IGRA tests and TST in the diagnosis of latent tuberculosis infection and predicting tuberculosis in risk groups in Krakow, Poland","type":"article-journal","volume":"46"},"uris":["http://www.mendeley.com/documents/?uuid=8d6c536d-cb1e-407e-8124-38624e3573c8"]}],"mendeley":{"formattedCitation":"(16)","plainTextFormattedCitation":"(16)","previouslyFormattedCitation":"[16]"},"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(16)</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9D4FEF">
            <w:pPr>
              <w:spacing w:line="240" w:lineRule="auto"/>
              <w:rPr>
                <w:rFonts w:eastAsia="Times New Roman"/>
                <w:color w:val="000000"/>
                <w:sz w:val="16"/>
                <w:szCs w:val="16"/>
              </w:rPr>
            </w:pPr>
            <w:r w:rsidRPr="00392BB7">
              <w:rPr>
                <w:rFonts w:eastAsia="Times New Roman"/>
                <w:color w:val="000000"/>
                <w:sz w:val="16"/>
                <w:szCs w:val="16"/>
              </w:rPr>
              <w:t>Hi</w:t>
            </w:r>
            <w:r w:rsidR="009D4FEF">
              <w:rPr>
                <w:rFonts w:eastAsia="Times New Roman"/>
                <w:color w:val="000000"/>
                <w:sz w:val="16"/>
                <w:szCs w:val="16"/>
              </w:rPr>
              <w:t xml:space="preserve">gh risk population: homeless, contacts, elderly, </w:t>
            </w:r>
            <w:r w:rsidR="009D4FEF">
              <w:rPr>
                <w:rFonts w:eastAsia="Times New Roman"/>
                <w:color w:val="000000"/>
                <w:sz w:val="16"/>
                <w:szCs w:val="16"/>
              </w:rPr>
              <w:lastRenderedPageBreak/>
              <w:t>healthy</w:t>
            </w:r>
            <w:r w:rsidRPr="00392BB7">
              <w:rPr>
                <w:rFonts w:eastAsia="Times New Roman"/>
                <w:color w:val="000000"/>
                <w:sz w:val="16"/>
                <w:szCs w:val="16"/>
              </w:rPr>
              <w:t xml:space="preserve"> group</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lastRenderedPageBreak/>
              <w:t>Poland</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2007 – 2012</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785</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4 to 5 Years</w:t>
            </w:r>
          </w:p>
        </w:tc>
        <w:tc>
          <w:tcPr>
            <w:tcW w:w="1350" w:type="dxa"/>
          </w:tcPr>
          <w:p w:rsidR="007F66CB" w:rsidRPr="00392BB7" w:rsidRDefault="007F66CB" w:rsidP="007F66CB">
            <w:pPr>
              <w:spacing w:line="240" w:lineRule="auto"/>
              <w:rPr>
                <w:rFonts w:eastAsia="Times New Roman"/>
                <w:color w:val="000000"/>
                <w:sz w:val="16"/>
                <w:szCs w:val="16"/>
              </w:rPr>
            </w:pPr>
            <w:r>
              <w:rPr>
                <w:rFonts w:eastAsia="Times New Roman"/>
                <w:color w:val="000000"/>
                <w:sz w:val="16"/>
                <w:szCs w:val="16"/>
              </w:rPr>
              <w:t>6 to 20 Months</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Clinically confirmed through local pulmonary clinic</w:t>
            </w:r>
          </w:p>
        </w:tc>
        <w:tc>
          <w:tcPr>
            <w:tcW w:w="1800" w:type="dxa"/>
          </w:tcPr>
          <w:p w:rsidR="007F66CB" w:rsidRDefault="009D4FEF" w:rsidP="007F66CB">
            <w:pPr>
              <w:spacing w:line="240" w:lineRule="auto"/>
              <w:rPr>
                <w:rFonts w:eastAsia="Times New Roman"/>
                <w:color w:val="000000"/>
                <w:sz w:val="16"/>
                <w:szCs w:val="16"/>
              </w:rPr>
            </w:pPr>
            <w:r>
              <w:rPr>
                <w:rFonts w:eastAsia="Times New Roman"/>
                <w:color w:val="000000"/>
                <w:sz w:val="16"/>
                <w:szCs w:val="16"/>
              </w:rPr>
              <w:t>0</w:t>
            </w:r>
            <w:r w:rsidR="007F66CB" w:rsidRPr="00392BB7">
              <w:rPr>
                <w:rFonts w:eastAsia="Times New Roman"/>
                <w:color w:val="000000"/>
                <w:sz w:val="16"/>
                <w:szCs w:val="16"/>
              </w:rPr>
              <w:t>–</w:t>
            </w:r>
            <w:r>
              <w:rPr>
                <w:rFonts w:eastAsia="Times New Roman"/>
                <w:color w:val="000000"/>
                <w:sz w:val="16"/>
                <w:szCs w:val="16"/>
              </w:rPr>
              <w:t>0.35 IU/ml: 4/574</w:t>
            </w:r>
          </w:p>
          <w:p w:rsidR="007F66CB" w:rsidRPr="00392BB7" w:rsidRDefault="009D4FEF" w:rsidP="007F66CB">
            <w:pPr>
              <w:spacing w:line="240" w:lineRule="auto"/>
              <w:rPr>
                <w:rFonts w:eastAsia="Times New Roman"/>
                <w:color w:val="000000"/>
                <w:sz w:val="16"/>
                <w:szCs w:val="16"/>
              </w:rPr>
            </w:pPr>
            <w:r>
              <w:rPr>
                <w:rFonts w:eastAsia="Times New Roman"/>
                <w:color w:val="000000"/>
                <w:sz w:val="16"/>
                <w:szCs w:val="16"/>
              </w:rPr>
              <w:t>0.35</w:t>
            </w:r>
            <w:r w:rsidR="007F66CB" w:rsidRPr="00392BB7">
              <w:rPr>
                <w:rFonts w:eastAsia="Times New Roman"/>
                <w:color w:val="000000"/>
                <w:sz w:val="16"/>
                <w:szCs w:val="16"/>
              </w:rPr>
              <w:t>–</w:t>
            </w:r>
            <w:r w:rsidR="007F66CB">
              <w:rPr>
                <w:rFonts w:eastAsia="Times New Roman"/>
                <w:color w:val="000000"/>
                <w:sz w:val="16"/>
                <w:szCs w:val="16"/>
              </w:rPr>
              <w:t>20 IU/ml: 8/211</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5</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Lee (2019)</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{"citationItems":[{"id":"ITEM-1","itemData":{"DOI":"10.5588/ijtld.18.0198","ISSN":"1027-3719","author":[{"dropping-particle":"","family":"Lee","given":"S.","non-dropping-particle":"","parse-names":false,"suffix":""},{"dropping-particle":"","family":"Lee","given":"J. E.","non-dropping-particle":"","parse-names":false,"suffix":""},{"dropping-particle":"","family":"Kang","given":"J. S.","non-dropping-particle":"","parse-names":false,"suffix":""},{"dropping-particle":"","family":"Lee","given":"S. O.","non-dropping-particle":"","parse-names":false,"suffix":""},{"dropping-particle":"","family":"Lee","given":"S. H.","non-dropping-particle":"","parse-names":false,"suffix":""}],"container-title":"The International Journal of Tuberculosis and Lung Disease","id":"ITEM-1","issue":"4","issued":{"date-parts":[["2019","4","1"]]},"page":"422-427","title":"Long-term performance of the IGRA to predict and prevent active tuberculosis development in HIV-infected patients","type":"article-journal","volume":"23"},"uris":["http://www.mendeley.com/documents/?uuid=5675298b-ce92-4a45-baf9-4eb507f7c5a0"]}],"mendeley":{"formattedCitation":"(17)","plainTextFormattedCitation":"(17)","previouslyFormattedCitation":"[17]"},"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(17)</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HIV-infected patients</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Republic of Korea</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2006 – 2016</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15 to 100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416</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Median: 4 Years</w:t>
            </w:r>
          </w:p>
        </w:tc>
        <w:tc>
          <w:tcPr>
            <w:tcW w:w="1350" w:type="dxa"/>
          </w:tcPr>
          <w:p w:rsidR="007F66CB" w:rsidRPr="00392BB7" w:rsidRDefault="00C80C83" w:rsidP="00C80C83">
            <w:pPr>
              <w:spacing w:line="240" w:lineRule="auto"/>
              <w:rPr>
                <w:rFonts w:eastAsia="Times New Roman"/>
                <w:color w:val="000000"/>
                <w:sz w:val="16"/>
                <w:szCs w:val="16"/>
              </w:rPr>
            </w:pPr>
            <w:r>
              <w:rPr>
                <w:rFonts w:eastAsia="Times New Roman"/>
                <w:color w:val="000000"/>
                <w:sz w:val="16"/>
                <w:szCs w:val="16"/>
              </w:rPr>
              <w:t>3+ Months</w:t>
            </w:r>
          </w:p>
        </w:tc>
        <w:tc>
          <w:tcPr>
            <w:tcW w:w="1080" w:type="dxa"/>
            <w:shd w:val="clear" w:color="auto" w:fill="auto"/>
            <w:hideMark/>
          </w:tcPr>
          <w:p w:rsidR="007F66CB" w:rsidRDefault="007F66CB" w:rsidP="007F66CB">
            <w:pPr>
              <w:spacing w:line="240" w:lineRule="auto"/>
              <w:rPr>
                <w:rFonts w:eastAsia="Times New Roman"/>
                <w:color w:val="000000"/>
                <w:sz w:val="16"/>
                <w:szCs w:val="16"/>
              </w:rPr>
            </w:pPr>
            <w:r>
              <w:rPr>
                <w:rFonts w:eastAsia="Times New Roman"/>
                <w:color w:val="000000"/>
                <w:sz w:val="16"/>
                <w:szCs w:val="16"/>
              </w:rPr>
              <w:t>Provided:</w:t>
            </w:r>
          </w:p>
          <w:p w:rsidR="007F66CB" w:rsidRDefault="007F66CB" w:rsidP="007F66CB">
            <w:pPr>
              <w:spacing w:line="240" w:lineRule="auto"/>
              <w:rPr>
                <w:rFonts w:eastAsia="Times New Roman"/>
                <w:color w:val="000000"/>
                <w:sz w:val="16"/>
                <w:szCs w:val="16"/>
              </w:rPr>
            </w:pPr>
            <w:r>
              <w:rPr>
                <w:rFonts w:eastAsia="Times New Roman"/>
                <w:color w:val="000000"/>
                <w:sz w:val="16"/>
                <w:szCs w:val="16"/>
              </w:rPr>
              <w:t xml:space="preserve">Yes </w:t>
            </w:r>
            <w:r w:rsidRPr="00392BB7">
              <w:rPr>
                <w:rFonts w:eastAsia="Times New Roman"/>
                <w:color w:val="000000"/>
                <w:sz w:val="16"/>
                <w:szCs w:val="16"/>
              </w:rPr>
              <w:t>–</w:t>
            </w:r>
            <w:r>
              <w:rPr>
                <w:rFonts w:eastAsia="Times New Roman"/>
                <w:color w:val="000000"/>
                <w:sz w:val="16"/>
                <w:szCs w:val="16"/>
              </w:rPr>
              <w:t xml:space="preserve"> 5</w:t>
            </w:r>
            <w:r w:rsidRPr="00392BB7">
              <w:rPr>
                <w:rFonts w:eastAsia="Times New Roman"/>
                <w:color w:val="000000"/>
                <w:sz w:val="16"/>
                <w:szCs w:val="16"/>
              </w:rPr>
              <w:t xml:space="preserve"> %</w:t>
            </w:r>
          </w:p>
          <w:p w:rsidR="007F66CB" w:rsidRDefault="007F66CB" w:rsidP="007F66CB">
            <w:pPr>
              <w:spacing w:line="240" w:lineRule="auto"/>
              <w:rPr>
                <w:rFonts w:eastAsia="Times New Roman"/>
                <w:color w:val="000000"/>
                <w:sz w:val="16"/>
                <w:szCs w:val="16"/>
              </w:rPr>
            </w:pPr>
          </w:p>
          <w:p w:rsidR="007F66CB" w:rsidRDefault="007F66CB" w:rsidP="007F66CB">
            <w:pPr>
              <w:spacing w:line="240" w:lineRule="auto"/>
              <w:rPr>
                <w:rFonts w:eastAsia="Times New Roman"/>
                <w:color w:val="000000"/>
                <w:sz w:val="16"/>
                <w:szCs w:val="16"/>
              </w:rPr>
            </w:pPr>
            <w:r>
              <w:rPr>
                <w:rFonts w:eastAsia="Times New Roman"/>
                <w:color w:val="000000"/>
                <w:sz w:val="16"/>
                <w:szCs w:val="16"/>
              </w:rPr>
              <w:t>Completed:</w:t>
            </w:r>
          </w:p>
          <w:p w:rsidR="007F66CB" w:rsidRPr="00392BB7" w:rsidRDefault="007F66CB" w:rsidP="007F66CB">
            <w:pPr>
              <w:spacing w:line="240" w:lineRule="auto"/>
              <w:rPr>
                <w:rFonts w:eastAsia="Times New Roman"/>
                <w:color w:val="000000"/>
                <w:sz w:val="16"/>
                <w:szCs w:val="16"/>
              </w:rPr>
            </w:pPr>
            <w:r>
              <w:rPr>
                <w:rFonts w:eastAsia="Times New Roman"/>
                <w:color w:val="000000"/>
                <w:sz w:val="16"/>
                <w:szCs w:val="16"/>
              </w:rPr>
              <w:t>unknown %</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Bacteriologically, radiologically</w:t>
            </w:r>
          </w:p>
        </w:tc>
        <w:tc>
          <w:tcPr>
            <w:tcW w:w="1800" w:type="dxa"/>
          </w:tcPr>
          <w:p w:rsidR="007F66CB" w:rsidRDefault="009D4FEF" w:rsidP="007F66CB">
            <w:pPr>
              <w:spacing w:line="240" w:lineRule="auto"/>
              <w:rPr>
                <w:rFonts w:eastAsia="Times New Roman"/>
                <w:color w:val="000000"/>
                <w:sz w:val="16"/>
                <w:szCs w:val="16"/>
              </w:rPr>
            </w:pPr>
            <w:r>
              <w:rPr>
                <w:rFonts w:eastAsia="Times New Roman"/>
                <w:color w:val="000000"/>
                <w:sz w:val="16"/>
                <w:szCs w:val="16"/>
              </w:rPr>
              <w:t>0</w:t>
            </w:r>
            <w:r w:rsidR="007F66CB" w:rsidRPr="00392BB7">
              <w:rPr>
                <w:rFonts w:eastAsia="Times New Roman"/>
                <w:color w:val="000000"/>
                <w:sz w:val="16"/>
                <w:szCs w:val="16"/>
              </w:rPr>
              <w:t>–</w:t>
            </w:r>
            <w:r>
              <w:rPr>
                <w:rFonts w:eastAsia="Times New Roman"/>
                <w:color w:val="000000"/>
                <w:sz w:val="16"/>
                <w:szCs w:val="16"/>
              </w:rPr>
              <w:t>0.35 IU/ml: 1/354</w:t>
            </w:r>
          </w:p>
          <w:p w:rsidR="007F66CB" w:rsidRPr="00392BB7" w:rsidRDefault="009D4FEF" w:rsidP="007F66CB">
            <w:pPr>
              <w:spacing w:line="240" w:lineRule="auto"/>
              <w:rPr>
                <w:rFonts w:eastAsia="Times New Roman"/>
                <w:color w:val="000000"/>
                <w:sz w:val="16"/>
                <w:szCs w:val="16"/>
              </w:rPr>
            </w:pPr>
            <w:r>
              <w:rPr>
                <w:rFonts w:eastAsia="Times New Roman"/>
                <w:color w:val="000000"/>
                <w:sz w:val="16"/>
                <w:szCs w:val="16"/>
              </w:rPr>
              <w:t>0.35</w:t>
            </w:r>
            <w:r w:rsidR="007F66CB" w:rsidRPr="00392BB7">
              <w:rPr>
                <w:rFonts w:eastAsia="Times New Roman"/>
                <w:color w:val="000000"/>
                <w:sz w:val="16"/>
                <w:szCs w:val="16"/>
              </w:rPr>
              <w:t>–</w:t>
            </w:r>
            <w:r w:rsidR="007F66CB">
              <w:rPr>
                <w:rFonts w:eastAsia="Times New Roman"/>
                <w:color w:val="000000"/>
                <w:sz w:val="16"/>
                <w:szCs w:val="16"/>
              </w:rPr>
              <w:t>20 IU/ml: 4/62</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5</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Lu (2020)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{"citationItems":[{"id":"ITEM-1","itemData":{"DOI":"10.1093/cid/ciaa519","ISSN":"1537-6591","PMID":"32369577","abstract":"BACKGROUND Discordance between QuantiFERON-TB (QFT) Gold In-Tube and tuberculin skin tests (TST) is not well understood. To identify factors that determine discordance between TST and QFT tests when compared to either TST+QFT+ or TST-QFT- results in a medium tuberculosis burden setting. METHODS We conducted a population-based study in Eastern China and administered TST and QFT tests to participants. We calculated kappa values while constructing multivariable logistic regression models to evaluate predictors of test discordance. We analyzed the predictive value of discordant and concordant test results for progression to tuberculosis over 6 years of follow-up. RESULTS Overall, 5,405 participants were enrolled; 2,043 (37.8%) and 1,104 (20.4%) were TST and QFT positive. There was fair agreement between the TST and the QFT (kappa values between 0.30-0.39 at different TST cutoffs). Agreement was lower among BCG-vaccinated participants (κ, 0.17 versus 0.47). TST+QFT- results were associated with decreasing age, smoking, undiagnosed diabetes, and BCG vaccination (adjusted Odds Ratio, 1.45, 95%CI, 1.11-1.90). TST-QFT+ results were associated with increasing age, male sex, smoking, and diagnosed diabetes. Compared to participants with TST-QFT- results, QFT+ and TST+QFT+ participants were 6.3 (95%CI, 1.9-20.4) and 7.5 (95%CI, 2.3-25.1) times more likely to progress to tuberculosis. CONCLUSIONS In this population-based study of over 5000 participants from a medium tuberculosis burden region, test agreement between QFT and TST was fair overall, and we found multiple novel predictors of discordant QFT/TST test results. QFT provides a substantial improvement to the TST among these populations and was multi-fold better predictive of progression to tuberculosis.","author":[{"dropping-particle":"","family":"Lu","given":"Peng","non-dropping-particle":"","parse-names":false,"suffix":""},{"dropping-particle":"","family":"Liu","given":"Qiao","non-dropping-particle":"","parse-names":false,"suffix":""},{"dropping-particle":"","family":"Zhou","given":"Yang","non-dropping-particle":"","parse-names":false,"suffix":""},{"dropping-particle":"","family":"Martinez","given":"Leonardo","non-dropping-particle":"","parse-names":false,"suffix":""},{"dropping-particle":"","family":"Kong","given":"Wen","non-dropping-particle":"","parse-names":false,"suffix":""},{"dropping-particle":"","family":"Ding","given":"Xiaoyan","non-dropping-particle":"","parse-names":false,"suffix":""},{"dropping-particle":"","family":"Peng","given":"Hong","non-dropping-particle":"","parse-names":false,"suffix":""},{"dropping-particle":"","family":"Zhu","given":"Tao","non-dropping-particle":"","parse-names":false,"suffix":""},{"dropping-particle":"","family":"Zhu","given":"Limei","non-dropping-particle":"","parse-names":false,"suffix":""},{"dropping-particle":"","family":"Lu","given":"Wei","non-dropping-particle":"","parse-names":false,"suffix":""}],"container-title":"Clinical infectious diseases","id":"ITEM-1","issue":"8","issued":{"date-parts":[["2020","5","5"]]},"page":"1056-61","title":"Predictors of Discordant Tuberculin Skin test and QuantiFERON-TB Gold In-Tube Results in Eastern China: A Population-based, Cohort Study.","type":"article-journal","volume":"15"},"uris":["http://www.mendeley.com/documents/?uuid=f19e6dd4-55e5-4074-b61e-ac61e0f2ca16"]}],"mendeley":{"formattedCitation":"(18)","plainTextFormattedCitation":"(18)","previouslyFormattedCitation":"[18]"},"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(18)</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Population based</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China</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2013 – 2019</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5 to 100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5,405</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6 Years</w:t>
            </w:r>
          </w:p>
        </w:tc>
        <w:tc>
          <w:tcPr>
            <w:tcW w:w="1350" w:type="dxa"/>
          </w:tcPr>
          <w:p w:rsidR="007F66CB" w:rsidRPr="00392BB7" w:rsidRDefault="00CD5ACF" w:rsidP="007F66CB">
            <w:pPr>
              <w:spacing w:line="240" w:lineRule="auto"/>
              <w:rPr>
                <w:rFonts w:eastAsia="Times New Roman"/>
                <w:color w:val="000000"/>
                <w:sz w:val="16"/>
                <w:szCs w:val="16"/>
              </w:rPr>
            </w:pPr>
            <w:r>
              <w:rPr>
                <w:rFonts w:eastAsia="Times New Roman"/>
                <w:color w:val="000000"/>
                <w:sz w:val="16"/>
                <w:szCs w:val="16"/>
              </w:rPr>
              <w:t>3+ Months</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8133EE" w:rsidRDefault="008133EE" w:rsidP="008133EE">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9D4FEF">
              <w:rPr>
                <w:rFonts w:eastAsia="Times New Roman"/>
                <w:color w:val="000000"/>
                <w:sz w:val="16"/>
                <w:szCs w:val="16"/>
              </w:rPr>
              <w:t>0.35 IU/ml: 4/25806</w:t>
            </w:r>
          </w:p>
          <w:p w:rsidR="008133EE" w:rsidRDefault="008133EE" w:rsidP="008133EE">
            <w:pPr>
              <w:spacing w:line="240" w:lineRule="auto"/>
              <w:rPr>
                <w:rFonts w:eastAsia="Times New Roman"/>
                <w:color w:val="000000"/>
                <w:sz w:val="16"/>
                <w:szCs w:val="16"/>
              </w:rPr>
            </w:pPr>
            <w:r>
              <w:rPr>
                <w:rFonts w:eastAsia="Times New Roman"/>
                <w:color w:val="000000"/>
                <w:sz w:val="16"/>
                <w:szCs w:val="16"/>
              </w:rPr>
              <w:t xml:space="preserve">0.35 </w:t>
            </w:r>
            <w:r w:rsidRPr="00392BB7">
              <w:rPr>
                <w:rFonts w:eastAsia="Times New Roman"/>
                <w:color w:val="000000"/>
                <w:sz w:val="16"/>
                <w:szCs w:val="16"/>
              </w:rPr>
              <w:t>–</w:t>
            </w:r>
            <w:r>
              <w:rPr>
                <w:rFonts w:eastAsia="Times New Roman"/>
                <w:color w:val="000000"/>
                <w:sz w:val="16"/>
                <w:szCs w:val="16"/>
              </w:rPr>
              <w:t xml:space="preserve"> 20 IU/ml: 9/6624</w:t>
            </w:r>
          </w:p>
          <w:p w:rsidR="008133EE" w:rsidRDefault="008133EE" w:rsidP="008133EE">
            <w:pPr>
              <w:spacing w:line="240" w:lineRule="auto"/>
              <w:rPr>
                <w:rFonts w:eastAsia="Times New Roman"/>
                <w:color w:val="000000"/>
                <w:sz w:val="16"/>
                <w:szCs w:val="16"/>
              </w:rPr>
            </w:pPr>
          </w:p>
          <w:p w:rsidR="007F66CB" w:rsidRPr="00392BB7" w:rsidRDefault="007F66CB" w:rsidP="008133EE">
            <w:pPr>
              <w:spacing w:line="240" w:lineRule="auto"/>
              <w:rPr>
                <w:rFonts w:eastAsia="Times New Roman"/>
                <w:color w:val="000000"/>
                <w:sz w:val="16"/>
                <w:szCs w:val="16"/>
              </w:rPr>
            </w:pP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5</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Mahomed (2011)</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10.1371/journal.pone.0017984","ISSN":"1932-6203","author":[{"dropping-particle":"","family":"Mahomed","given":"Hassan","non-dropping-particle":"","parse-names":false,"suffix":""},{"dropping-particle":"","family":"Hawkridge","given":"Tony","non-dropping-particle":"","parse-names":false,"suffix":""},{"dropping-particle":"","family":"Verver","given":"Suzanne","non-dropping-particle":"","parse-names":false,"suffix":""},{"dropping-particle":"","family":"Abrahams","given":"Deborah","non-dropping-particle":"","parse-names":false,"suffix":""},{"dropping-particle":"","family":"Geiter","given":"Lawrence","non-dropping-particle":"","parse-names":false,"suffix":""},{"dropping-particle":"","family":"Hatherill","given":"Mark","non-dropping-particle":"","parse-names":false,"suffix":""},{"dropping-particle":"","family":"Ehrlich","given":"Rodney","non-dropping-particle":"","parse-names":false,"suffix":""},{"dropping-particle":"","family":"Hanekom","given":"Willem A","non-dropping-particle":"","parse-names":false,"suffix":""},{"dropping-particle":"","family":"Hussey","given":"Gregory D","non-dropping-particle":"","parse-names":false,"suffix":""}],"container-title":"PLoS ONE","editor":[{"dropping-particle":"","family":"Pai","given":"Madhukar","non-dropping-particle":"","parse-names":false,"suffix":""}],"id":"ITEM-1","issue":"3","issued":{"date-parts":[["2011","3","29"]]},"page":"e17984","title":"The Tuberculin Skin Test versus QuantiFERON TB Gold in Predicting Tuberculosis Disease in an Adolescent Cohort Study in South Africa","type":"article-journal","volume":"6"},"uris":["http://www.mendeley.com/documents/?uuid=54c8a6ab-a522-40ac-8b18-4baa51b40d0c"]}],"mendeley":{"formattedCitation":"(19)","plainTextFormattedCitation":"(19)","previouslyFormattedCitation":"[19]"},"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(19)</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Children</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South Africa</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2005 – 2009</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Children</w:t>
            </w:r>
            <w:r w:rsidRPr="00392BB7">
              <w:rPr>
                <w:rFonts w:eastAsia="Times New Roman"/>
                <w:color w:val="000000"/>
                <w:sz w:val="16"/>
                <w:szCs w:val="16"/>
              </w:rPr>
              <w:br/>
              <w:t>12 to 18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5244</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Median: 2.4 Years</w:t>
            </w:r>
          </w:p>
        </w:tc>
        <w:tc>
          <w:tcPr>
            <w:tcW w:w="1350" w:type="dxa"/>
          </w:tcPr>
          <w:p w:rsidR="007F66CB" w:rsidRPr="00392BB7" w:rsidRDefault="00B83BAD" w:rsidP="007F66CB">
            <w:pPr>
              <w:spacing w:line="240" w:lineRule="auto"/>
              <w:rPr>
                <w:rFonts w:eastAsia="Times New Roman"/>
                <w:color w:val="000000"/>
                <w:sz w:val="16"/>
                <w:szCs w:val="16"/>
              </w:rPr>
            </w:pPr>
            <w:r>
              <w:rPr>
                <w:rFonts w:eastAsia="Times New Roman"/>
                <w:color w:val="000000"/>
                <w:sz w:val="16"/>
                <w:szCs w:val="16"/>
              </w:rPr>
              <w:t>6+ Months</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Bacteriologically</w:t>
            </w:r>
          </w:p>
        </w:tc>
        <w:tc>
          <w:tcPr>
            <w:tcW w:w="1800" w:type="dxa"/>
          </w:tcPr>
          <w:p w:rsidR="00B83BAD" w:rsidRDefault="00B83BAD" w:rsidP="00B83BAD">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9D4FEF">
              <w:rPr>
                <w:rFonts w:eastAsia="Times New Roman"/>
                <w:color w:val="000000"/>
                <w:sz w:val="16"/>
                <w:szCs w:val="16"/>
              </w:rPr>
              <w:t>0.35 IU/ml: 13/2575</w:t>
            </w:r>
          </w:p>
          <w:p w:rsidR="00B83BAD" w:rsidRDefault="00B83BAD" w:rsidP="00B83BAD">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39/2669</w:t>
            </w:r>
          </w:p>
          <w:p w:rsidR="007F66CB" w:rsidRPr="00392BB7" w:rsidRDefault="007F66CB" w:rsidP="007F66CB">
            <w:pPr>
              <w:spacing w:line="240" w:lineRule="auto"/>
              <w:rPr>
                <w:rFonts w:eastAsia="Times New Roman"/>
                <w:color w:val="000000"/>
                <w:sz w:val="16"/>
                <w:szCs w:val="16"/>
              </w:rPr>
            </w:pP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5</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proofErr w:type="spellStart"/>
            <w:r w:rsidRPr="00392BB7">
              <w:rPr>
                <w:rFonts w:eastAsia="Times New Roman"/>
                <w:color w:val="000000"/>
                <w:sz w:val="16"/>
                <w:szCs w:val="16"/>
              </w:rPr>
              <w:t>Nienhaus</w:t>
            </w:r>
            <w:proofErr w:type="spellEnd"/>
            <w:r w:rsidRPr="00392BB7">
              <w:rPr>
                <w:rFonts w:eastAsia="Times New Roman"/>
                <w:color w:val="000000"/>
                <w:sz w:val="16"/>
                <w:szCs w:val="16"/>
              </w:rPr>
              <w:t xml:space="preserve"> (2013)</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10.1186/1745-6673-8-1","ISSN":"1745-6673","author":[{"dropping-particle":"","family":"Nienhaus","given":"Albert","non-dropping-particle":"","parse-names":false,"suffix":""},{"dropping-particle":"","family":"Costa","given":"José Torres","non-dropping-particle":"","parse-names":false,"suffix":""}],"container-title":"Journal of Occupational Medicine and Toxicology","id":"ITEM-1","issue":"1","issued":{"date-parts":[["2013"]]},"page":"1","title":"Screening for tuberculosis and the use of a borderline zone for the interpretation of the interferon-γ release assay (IGRA) in Portuguese healthcare workers","type":"article-journal","volume":"8"},"uris":["http://www.mendeley.com/documents/?uuid=c9af6dd1-b78d-4ddd-aa39-96edbf6d7174"]}],"mendeley":{"formattedCitation":"(20)","plainTextFormattedCitation":"(20)","previouslyFormattedCitation":"[20]"},"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(20)</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Portugal</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2007 – 2010</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2815</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Mean: 1.1 Years</w:t>
            </w:r>
          </w:p>
        </w:tc>
        <w:tc>
          <w:tcPr>
            <w:tcW w:w="1350" w:type="dxa"/>
          </w:tcPr>
          <w:p w:rsidR="007F66CB" w:rsidRPr="00392BB7" w:rsidRDefault="00A4021D" w:rsidP="007F66CB">
            <w:pPr>
              <w:spacing w:line="240" w:lineRule="auto"/>
              <w:rPr>
                <w:rFonts w:eastAsia="Times New Roman"/>
                <w:color w:val="000000"/>
                <w:sz w:val="16"/>
                <w:szCs w:val="16"/>
              </w:rPr>
            </w:pPr>
            <w:r>
              <w:rPr>
                <w:rFonts w:eastAsia="Times New Roman"/>
                <w:color w:val="000000"/>
                <w:sz w:val="16"/>
                <w:szCs w:val="16"/>
              </w:rPr>
              <w:t>4 to 24 Months</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Clinically, radiologically, symptoms</w:t>
            </w:r>
          </w:p>
        </w:tc>
        <w:tc>
          <w:tcPr>
            <w:tcW w:w="1800" w:type="dxa"/>
          </w:tcPr>
          <w:p w:rsidR="00B83BAD" w:rsidRDefault="00B83BAD" w:rsidP="00B83BAD">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9D4FEF">
              <w:rPr>
                <w:rFonts w:eastAsia="Times New Roman"/>
                <w:color w:val="000000"/>
                <w:sz w:val="16"/>
                <w:szCs w:val="16"/>
              </w:rPr>
              <w:t>0.20 IU/ml: 0/1764</w:t>
            </w:r>
          </w:p>
          <w:p w:rsidR="00B83BAD" w:rsidRDefault="00B83BAD" w:rsidP="00B83BAD">
            <w:pPr>
              <w:spacing w:line="240" w:lineRule="auto"/>
              <w:rPr>
                <w:rFonts w:eastAsia="Times New Roman"/>
                <w:color w:val="000000"/>
                <w:sz w:val="16"/>
                <w:szCs w:val="16"/>
              </w:rPr>
            </w:pPr>
            <w:r>
              <w:rPr>
                <w:rFonts w:eastAsia="Times New Roman"/>
                <w:color w:val="000000"/>
                <w:sz w:val="16"/>
                <w:szCs w:val="16"/>
              </w:rPr>
              <w:t>0.20</w:t>
            </w:r>
            <w:r w:rsidRPr="00392BB7">
              <w:rPr>
                <w:rFonts w:eastAsia="Times New Roman"/>
                <w:color w:val="000000"/>
                <w:sz w:val="16"/>
                <w:szCs w:val="16"/>
              </w:rPr>
              <w:t>–</w:t>
            </w:r>
            <w:r w:rsidR="009D4FEF">
              <w:rPr>
                <w:rFonts w:eastAsia="Times New Roman"/>
                <w:color w:val="000000"/>
                <w:sz w:val="16"/>
                <w:szCs w:val="16"/>
              </w:rPr>
              <w:t>0.70 IU/ml: 1/323</w:t>
            </w:r>
          </w:p>
          <w:p w:rsidR="007F66CB" w:rsidRPr="00392BB7" w:rsidRDefault="00B83BAD" w:rsidP="00B83BAD">
            <w:pPr>
              <w:spacing w:line="240" w:lineRule="auto"/>
              <w:rPr>
                <w:rFonts w:eastAsia="Times New Roman"/>
                <w:color w:val="000000"/>
                <w:sz w:val="16"/>
                <w:szCs w:val="16"/>
              </w:rPr>
            </w:pPr>
            <w:r>
              <w:rPr>
                <w:rFonts w:eastAsia="Times New Roman"/>
                <w:color w:val="000000"/>
                <w:sz w:val="16"/>
                <w:szCs w:val="16"/>
              </w:rPr>
              <w:t>0.70</w:t>
            </w:r>
            <w:r w:rsidRPr="00392BB7">
              <w:rPr>
                <w:rFonts w:eastAsia="Times New Roman"/>
                <w:color w:val="000000"/>
                <w:sz w:val="16"/>
                <w:szCs w:val="16"/>
              </w:rPr>
              <w:t>–</w:t>
            </w:r>
            <w:r>
              <w:rPr>
                <w:rFonts w:eastAsia="Times New Roman"/>
                <w:color w:val="000000"/>
                <w:sz w:val="16"/>
                <w:szCs w:val="16"/>
              </w:rPr>
              <w:t>20 IU/ml: 3/728</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3</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proofErr w:type="spellStart"/>
            <w:r w:rsidRPr="00392BB7">
              <w:rPr>
                <w:rFonts w:eastAsia="Times New Roman"/>
                <w:color w:val="000000"/>
                <w:sz w:val="16"/>
                <w:szCs w:val="16"/>
              </w:rPr>
              <w:t>Noorbakhsh</w:t>
            </w:r>
            <w:proofErr w:type="spellEnd"/>
            <w:r w:rsidRPr="00392BB7">
              <w:rPr>
                <w:rFonts w:eastAsia="Times New Roman"/>
                <w:color w:val="000000"/>
                <w:sz w:val="16"/>
                <w:szCs w:val="16"/>
              </w:rPr>
              <w:t xml:space="preserve"> (2011)</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{"citationItems":[{"id":"ITEM-1","itemData":{"ISSN":"1020-3397","PMID":"22259925","abstract":"In a cross-sectional study in a hospital in Tehran in 2006-08 the QuantiFERON-TB interferon-gamma release assay (QTB) was compared with the tuberculin skin test (TST) in 59 young people (aged &lt; 20 years) with close contact with immunocompetent cases of proven pulmonary tuberculosis. After 1 year follow-up 10 subjects had progressed to tuberculosis disease and received treatment; TSTwas positive in 30% and QTB in 100%. Of the 49 non-progressive subjects, TST was positive in 10.4% and QTB in 16.3%. The agreement between TST and QTB assay in non-progressive subjects was poor (K = 0.43). False positive and false negative rates for TST were 40.0% and 9.3% respectively; positive and predictive values were 60.0% and 90.7%. We suggest adding the interferon assay to the skin test in the decision to perform chest X-ray or to start chemoprophylaxis at least in younger subjects (aged &lt; 20 years).","author":[{"dropping-particle":"","family":"Noorbakhsh","given":"S","non-dropping-particle":"","parse-names":false,"suffix":""},{"dropping-particle":"","family":"Mousavi","given":"J","non-dropping-particle":"","parse-names":false,"suffix":""},{"dropping-particle":"","family":"Barati","given":"M","non-dropping-particle":"","parse-names":false,"suffix":""},{"dropping-particle":"","family":"Shamshiri","given":"A R","non-dropping-particle":"","parse-names":false,"suffix":""},{"dropping-particle":"","family":"Shekarabi","given":"M","non-dropping-particle":"","parse-names":false,"suffix":""},{"dropping-particle":"","family":"Tabatabaei","given":"A","non-dropping-particle":"","parse-names":false,"suffix":""},{"dropping-particle":"","family":"Soleimani","given":"G","non-dropping-particle":"","parse-names":false,"suffix":""}],"container-title":"Eastern Mediterranean Health Journal","id":"ITEM-1","issue":"9","issued":{"date-parts":[["2011","9"]]},"page":"714-8","title":"Evaluation of an interferon-gamma release assay in young contacts of active tuberculosis cases.","type":"article-journal","volume":"17"},"uris":["http://www.mendeley.com/documents/?uuid=077b6718-cbea-49fe-9f5f-c35adf6a3fe2"]}],"mendeley":{"formattedCitation":"(21)","plainTextFormattedCitation":"(21)","previouslyFormattedCitation":"[21]"},"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(21)</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Iran</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2006 – 2008</w:t>
            </w:r>
          </w:p>
        </w:tc>
        <w:tc>
          <w:tcPr>
            <w:tcW w:w="153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Children</w:t>
            </w:r>
            <w:r w:rsidRPr="00392BB7">
              <w:rPr>
                <w:rFonts w:eastAsia="Times New Roman"/>
                <w:color w:val="000000"/>
                <w:sz w:val="16"/>
                <w:szCs w:val="16"/>
              </w:rPr>
              <w:br/>
              <w:t>0 to 19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49</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1 Year</w:t>
            </w:r>
          </w:p>
        </w:tc>
        <w:tc>
          <w:tcPr>
            <w:tcW w:w="1350" w:type="dxa"/>
          </w:tcPr>
          <w:p w:rsidR="007F66CB" w:rsidRPr="00392BB7" w:rsidRDefault="00C80C83" w:rsidP="00CD5ACF">
            <w:pPr>
              <w:spacing w:line="240" w:lineRule="auto"/>
              <w:rPr>
                <w:rFonts w:eastAsia="Times New Roman"/>
                <w:color w:val="000000"/>
                <w:sz w:val="16"/>
                <w:szCs w:val="16"/>
              </w:rPr>
            </w:pPr>
            <w:r>
              <w:rPr>
                <w:rFonts w:eastAsia="Times New Roman"/>
                <w:color w:val="000000"/>
                <w:sz w:val="16"/>
                <w:szCs w:val="16"/>
              </w:rPr>
              <w:t>3+ Months</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Clinically</w:t>
            </w:r>
          </w:p>
        </w:tc>
        <w:tc>
          <w:tcPr>
            <w:tcW w:w="1800" w:type="dxa"/>
          </w:tcPr>
          <w:p w:rsidR="00A4021D" w:rsidRDefault="00A4021D" w:rsidP="00A4021D">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9D4FEF">
              <w:rPr>
                <w:rFonts w:eastAsia="Times New Roman"/>
                <w:color w:val="000000"/>
                <w:sz w:val="16"/>
                <w:szCs w:val="16"/>
              </w:rPr>
              <w:t>0.35 IU/ml: 0/31</w:t>
            </w:r>
          </w:p>
          <w:p w:rsidR="00A4021D" w:rsidRDefault="00A4021D" w:rsidP="00A4021D">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10/18</w:t>
            </w:r>
          </w:p>
          <w:p w:rsidR="007F66CB" w:rsidRPr="00392BB7" w:rsidRDefault="007F66CB" w:rsidP="007F66CB">
            <w:pPr>
              <w:spacing w:line="240" w:lineRule="auto"/>
              <w:rPr>
                <w:rFonts w:eastAsia="Times New Roman"/>
                <w:color w:val="000000"/>
                <w:sz w:val="16"/>
                <w:szCs w:val="16"/>
              </w:rPr>
            </w:pP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4</w:t>
            </w:r>
          </w:p>
        </w:tc>
      </w:tr>
      <w:tr w:rsidR="007F66CB" w:rsidRPr="00C529FA" w:rsidTr="009D4FEF">
        <w:trPr>
          <w:trHeight w:val="1008"/>
        </w:trPr>
        <w:tc>
          <w:tcPr>
            <w:tcW w:w="1165" w:type="dxa"/>
            <w:shd w:val="clear" w:color="auto" w:fill="auto"/>
            <w:hideMark/>
          </w:tcPr>
          <w:p w:rsidR="007F66CB" w:rsidRPr="00392BB7" w:rsidRDefault="007F66CB" w:rsidP="007F66CB">
            <w:pPr>
              <w:spacing w:line="240" w:lineRule="auto"/>
              <w:rPr>
                <w:rFonts w:eastAsia="Times New Roman"/>
                <w:color w:val="000000"/>
                <w:sz w:val="16"/>
                <w:szCs w:val="16"/>
              </w:rPr>
            </w:pPr>
            <w:proofErr w:type="spellStart"/>
            <w:r w:rsidRPr="00392BB7">
              <w:rPr>
                <w:rFonts w:eastAsia="Times New Roman"/>
                <w:color w:val="000000"/>
                <w:sz w:val="16"/>
                <w:szCs w:val="16"/>
              </w:rPr>
              <w:t>Ringshausen</w:t>
            </w:r>
            <w:proofErr w:type="spellEnd"/>
            <w:r w:rsidRPr="00392BB7">
              <w:rPr>
                <w:rFonts w:eastAsia="Times New Roman"/>
                <w:color w:val="000000"/>
                <w:sz w:val="16"/>
                <w:szCs w:val="16"/>
              </w:rPr>
              <w:t xml:space="preserve"> (2010)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{"citationItems":[{"id":"ITEM-1","itemData":{"DOI":"10.1186/1471-2334-10-220","ISSN":"1471-2334","PMID":"20653946","abstract":"BACKGROUND Data on the performance of Mycobacterium-tuberculosis-specific interferon-(IFN)-gamma release assays (IGRAs) in the serial testing of health care workers (HCWs) is limited. The objective of the present study was to determine the frequency of IGRA conversions and reversions and to identify predictors of persistent IGRA positivity among serially tested German HCWs in the absence of recent extensive tuberculosis (TB) exposure. METHODS In this observational cohort-study HCWs were prospectively recruited within occupational safety and health measures and underwent a tuberculin skin test (TST) and the IGRA QuantiFERON-TB Gold In-Tube (QFT-GIT) at baseline. The QFT-GIT was repeated 18 weeks later in the median. QFT-GIT conversions (and reversions) were defined as baseline IFN-gamma &lt; 0.35 IU/ml and follow-up IFN-gamma &gt; or = 0.35 IU/ml (and vice versa). Predictors of persistently positive QFT-GIT results were calculated by logistic regression analysis. RESULTS In total, 18 (9.9%) and 15 (8.2%) of 182 analyzed HCWs were QFT-GIT-positive at baseline and at follow-up, respectively. We observed a strong overall agreement between baseline and follow-up QFT-GIT results (kappa = 0.70). Reversions (6/18, 33.3%) occurred more frequently than conversions (3/162, 1.9%). Age and positive prior and recent TST results independently predicted persistent QFT-GIT positivity. Furthermore, the chance of having persistently positive QFT-GIT results raised about 3% with each additional 0.1 IU/ml increase in the baseline IFN-gamma response (adjusted odds ratio 1.03, 95% confidence interval 1.01-1.04). No active TB cases were detected within an observational period of more than two years. CONCLUSIONS The QFT-GIT's utility for the application in serial testing was limited by a substantial proportion of reversions. This shortcoming could be overcome by the implementation of a borderline zone for the interpretation of QFT-GIT results. However, further studies are needed to clearly define the within-subject variability of the QFT-GIT and to confirm that increasing age, concordantly positive TST results, and the extend of baseline IFN-gamma responses may predict the persistence of QFT-GIT positivity over time in serially tested HCWs with only a low or medium TB screening risk in a TB low-incidence setting.","author":[{"dropping-particle":"","family":"Ringshausen","given":"Felix C","non-dropping-particle":"","parse-names":false,"suffix":""},{"dropping-particle":"","family":"Nienhaus","given":"Albert","non-dropping-particle":"","parse-names":false,"suffix":""},{"dropping-particle":"","family":"Schablon","given":"Anja","non-dropping-particle":"","parse-names":false,"suffix":""},{"dropping-particle":"","family":"Schlösser","given":"Stephan","non-dropping-particle":"","parse-names":false,"suffix":""},{"dropping-particle":"","family":"Schultze-Werninghaus","given":"Gerhard","non-dropping-particle":"","parse-names":false,"suffix":""},{"dropping-particle":"","family":"Rohde","given":"Gernot","non-dropping-particle":"","parse-names":false,"suffix":""}],"container-title":"BMC infectious diseases","id":"ITEM-1","issued":{"date-parts":[["2010","7","23"]]},"page":"220","title":"Predictors of persistently positive Mycobacterium-tuberculosis-specific interferon-gamma responses in the serial testing of health care workers.","type":"article-journal","volume":"10"},"uris":["http://www.mendeley.com/documents/?uuid=a15f0d0a-05fc-4c98-8fee-965f38a835fe"]}],"mendeley":{"formattedCitation":"(22)","plainTextFormattedCitation":"(22)","previouslyFormattedCitation":"[22]"},"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(22)</w:t>
            </w:r>
            <w:r w:rsidRPr="00392BB7">
              <w:rPr>
                <w:rFonts w:eastAsia="Times New Roman"/>
                <w:color w:val="000000"/>
                <w:sz w:val="16"/>
                <w:szCs w:val="16"/>
              </w:rPr>
              <w:fldChar w:fldCharType="end"/>
            </w:r>
          </w:p>
        </w:tc>
        <w:tc>
          <w:tcPr>
            <w:tcW w:w="117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Germany</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2005 – 2010</w:t>
            </w:r>
          </w:p>
        </w:tc>
        <w:tc>
          <w:tcPr>
            <w:tcW w:w="1530" w:type="dxa"/>
            <w:shd w:val="clear" w:color="auto" w:fill="auto"/>
            <w:hideMark/>
          </w:tcPr>
          <w:p w:rsidR="007F66CB" w:rsidRPr="00392BB7" w:rsidRDefault="007F66CB" w:rsidP="00EE19F4">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w:t>
            </w:r>
            <w:r w:rsidR="00EE19F4">
              <w:rPr>
                <w:rFonts w:eastAsia="Times New Roman"/>
                <w:color w:val="000000"/>
                <w:sz w:val="16"/>
                <w:szCs w:val="16"/>
              </w:rPr>
              <w:t>9 to 62</w:t>
            </w:r>
            <w:r w:rsidRPr="00392BB7">
              <w:rPr>
                <w:rFonts w:eastAsia="Times New Roman"/>
                <w:color w:val="000000"/>
                <w:sz w:val="16"/>
                <w:szCs w:val="16"/>
              </w:rPr>
              <w:t xml:space="preserve"> years</w:t>
            </w: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180</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Median: 2.7 years</w:t>
            </w:r>
          </w:p>
        </w:tc>
        <w:tc>
          <w:tcPr>
            <w:tcW w:w="1350" w:type="dxa"/>
          </w:tcPr>
          <w:p w:rsidR="007F66CB" w:rsidRPr="00392BB7" w:rsidRDefault="00CD5ACF" w:rsidP="007F66CB">
            <w:pPr>
              <w:spacing w:line="240" w:lineRule="auto"/>
              <w:rPr>
                <w:rFonts w:eastAsia="Times New Roman"/>
                <w:color w:val="000000"/>
                <w:sz w:val="16"/>
                <w:szCs w:val="16"/>
              </w:rPr>
            </w:pPr>
            <w:r>
              <w:rPr>
                <w:rFonts w:eastAsia="Times New Roman"/>
                <w:color w:val="000000"/>
                <w:sz w:val="16"/>
                <w:szCs w:val="16"/>
              </w:rPr>
              <w:t>Not reported</w:t>
            </w:r>
          </w:p>
        </w:tc>
        <w:tc>
          <w:tcPr>
            <w:tcW w:w="108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Radiologically</w:t>
            </w:r>
          </w:p>
        </w:tc>
        <w:tc>
          <w:tcPr>
            <w:tcW w:w="1800" w:type="dxa"/>
          </w:tcPr>
          <w:p w:rsidR="00A4021D" w:rsidRDefault="00A4021D" w:rsidP="00A4021D">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9D4FEF">
              <w:rPr>
                <w:rFonts w:eastAsia="Times New Roman"/>
                <w:color w:val="000000"/>
                <w:sz w:val="16"/>
                <w:szCs w:val="16"/>
              </w:rPr>
              <w:t>0.35 IU/ml: 0/162</w:t>
            </w:r>
          </w:p>
          <w:p w:rsidR="00A4021D" w:rsidRDefault="00A4021D" w:rsidP="00A4021D">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0/18</w:t>
            </w:r>
          </w:p>
          <w:p w:rsidR="007F66CB" w:rsidRPr="00392BB7" w:rsidRDefault="007F66CB" w:rsidP="007F66CB">
            <w:pPr>
              <w:spacing w:line="240" w:lineRule="auto"/>
              <w:rPr>
                <w:rFonts w:eastAsia="Times New Roman"/>
                <w:color w:val="000000"/>
                <w:sz w:val="16"/>
                <w:szCs w:val="16"/>
              </w:rPr>
            </w:pPr>
          </w:p>
        </w:tc>
        <w:tc>
          <w:tcPr>
            <w:tcW w:w="810" w:type="dxa"/>
            <w:shd w:val="clear" w:color="auto" w:fill="auto"/>
            <w:hideMark/>
          </w:tcPr>
          <w:p w:rsidR="007F66CB" w:rsidRPr="00392BB7" w:rsidRDefault="007F66CB" w:rsidP="007F66CB">
            <w:pPr>
              <w:spacing w:line="240" w:lineRule="auto"/>
              <w:rPr>
                <w:rFonts w:eastAsia="Times New Roman"/>
                <w:color w:val="000000"/>
                <w:sz w:val="16"/>
                <w:szCs w:val="16"/>
              </w:rPr>
            </w:pPr>
            <w:r w:rsidRPr="00392BB7">
              <w:rPr>
                <w:rFonts w:eastAsia="Times New Roman"/>
                <w:color w:val="000000"/>
                <w:sz w:val="16"/>
                <w:szCs w:val="16"/>
              </w:rPr>
              <w:t>3</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Rose (2014)</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{"citationItems":[{"id":"ITEM-1","itemData":{"DOI":"10.1186/1471-2334-14-516","ISSN":"1471-2334","PMID":"25248406","abstract":"BACKGROUND HIV infected children are at increased risk of TB disease and require annual TB screening. Data on use of IGRA for TB screening in them are limited. We retrospectively evaluated the usefulness of Quantiferon Gold-in-tube test (QFT), an IGRA in screening for LTBI in relatively healthy, immunologically stable HIV infected children. METHODS HIV infected children with no prior history of TB were screened for latent TB as part of routine care. They underwent risk of TB assessment, TST and QFT. QFT was repeated twice or three times depending on the quantitative values. Independent test validation was also performed. RESULTS Eighty one children had 109 QFT tests. All had adequate mitogen responses. The initial QFT was positive in 15 (18.5%) children; quantitative IGRA responses were 0.35-1.0 IU/mL in 9 (60%), 1.0-10 IU/mL in5 (33.3%) and &gt;10 IU/mL in 1 (6.7%). None that tested positive had documented TB exposure or TB disease. Baseline characteristics in the QFT positive and negative groups were similar. Repeat testing within 17 weeks demonstrated reversion to negative in 79% of cases. Repeat blinded independent testing of all QFT positive results and a random selection of initial negative tests demonstrated concordance in 96% of cases. Seven children (QFT &gt; 1.0 IU/mL or positive TST) were offered INH preventive therapy. In no case has TB disease developed in 2 years of close follow-up. CONCLUSIONS QFT is a valid method for LTBI screening relatively healthy, immunologically stable HIV infected children. However, reversion to negative on repeat testing and lack of correlation with TST results and risk of TB exposure makes interpretation difficult.","author":[{"dropping-particle":"","family":"Rose","given":"Winsley","non-dropping-particle":"","parse-names":false,"suffix":""},{"dropping-particle":"","family":"Kitai","given":"Ian","non-dropping-particle":"","parse-names":false,"suffix":""},{"dropping-particle":"","family":"Kakkar","given":"Fatima","non-dropping-particle":"","parse-names":false,"suffix":""},{"dropping-particle":"","family":"Read","given":"Stanley E","non-dropping-particle":"","parse-names":false,"suffix":""},{"dropping-particle":"","family":"Behr","given":"Marcel A","non-dropping-particle":"","parse-names":false,"suffix":""},{"dropping-particle":"","family":"Bitnun","given":"Ari","non-dropping-particle":"","parse-names":false,"suffix":""}],"container-title":"BMC infectious diseases","id":"ITEM-1","issue":"1","issued":{"date-parts":[["2014","9","23"]]},"page":"516","title":"Quantiferon Gold-in-tube assay for TB screening in HIV infected children: influence of quantitative values.","type":"article-journal","volume":"14"},"uris":["http://www.mendeley.com/documents/?uuid=d2552c26-02b9-4a4d-8db7-0e2f7b34dfe8"]}],"mendeley":{"formattedCitation":"(23)","plainTextFormattedCitation":"(23)","previouslyFormattedCitation":"[23]"},"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(23)</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HIV-infected patients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Canada</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2010 – 2011</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Children</w:t>
            </w:r>
            <w:r w:rsidRPr="00392BB7">
              <w:rPr>
                <w:rFonts w:eastAsia="Times New Roman"/>
                <w:color w:val="000000"/>
                <w:sz w:val="16"/>
                <w:szCs w:val="16"/>
              </w:rPr>
              <w:br/>
              <w:t>0 to 18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80</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 year</w:t>
            </w:r>
          </w:p>
        </w:tc>
        <w:tc>
          <w:tcPr>
            <w:tcW w:w="1350" w:type="dxa"/>
          </w:tcPr>
          <w:p w:rsidR="00EE19F4" w:rsidRPr="00392BB7" w:rsidRDefault="00CD5ACF" w:rsidP="00EE19F4">
            <w:pPr>
              <w:spacing w:line="240" w:lineRule="auto"/>
              <w:rPr>
                <w:rFonts w:eastAsia="Times New Roman"/>
                <w:color w:val="000000"/>
                <w:sz w:val="16"/>
                <w:szCs w:val="16"/>
              </w:rPr>
            </w:pPr>
            <w:r>
              <w:rPr>
                <w:rFonts w:eastAsia="Times New Roman"/>
                <w:color w:val="000000"/>
                <w:sz w:val="16"/>
                <w:szCs w:val="16"/>
              </w:rPr>
              <w:t>Not reported</w:t>
            </w:r>
          </w:p>
        </w:tc>
        <w:tc>
          <w:tcPr>
            <w:tcW w:w="1080" w:type="dxa"/>
            <w:shd w:val="clear" w:color="auto" w:fill="auto"/>
            <w:hideMark/>
          </w:tcPr>
          <w:p w:rsidR="00EE19F4" w:rsidRDefault="00EE19F4" w:rsidP="00EE19F4">
            <w:pPr>
              <w:spacing w:line="240" w:lineRule="auto"/>
              <w:rPr>
                <w:rFonts w:eastAsia="Times New Roman"/>
                <w:color w:val="000000"/>
                <w:sz w:val="16"/>
                <w:szCs w:val="16"/>
              </w:rPr>
            </w:pPr>
            <w:r>
              <w:rPr>
                <w:rFonts w:eastAsia="Times New Roman"/>
                <w:color w:val="000000"/>
                <w:sz w:val="16"/>
                <w:szCs w:val="16"/>
              </w:rPr>
              <w:t>Provided:</w:t>
            </w:r>
          </w:p>
          <w:p w:rsidR="00EE19F4" w:rsidRDefault="00EE19F4" w:rsidP="00EE19F4">
            <w:pPr>
              <w:spacing w:line="240" w:lineRule="auto"/>
              <w:rPr>
                <w:rFonts w:eastAsia="Times New Roman"/>
                <w:color w:val="000000"/>
                <w:sz w:val="16"/>
                <w:szCs w:val="16"/>
              </w:rPr>
            </w:pPr>
            <w:r>
              <w:rPr>
                <w:rFonts w:eastAsia="Times New Roman"/>
                <w:color w:val="000000"/>
                <w:sz w:val="16"/>
                <w:szCs w:val="16"/>
              </w:rPr>
              <w:t xml:space="preserve">Yes </w:t>
            </w:r>
            <w:r w:rsidRPr="00392BB7">
              <w:rPr>
                <w:rFonts w:eastAsia="Times New Roman"/>
                <w:color w:val="000000"/>
                <w:sz w:val="16"/>
                <w:szCs w:val="16"/>
              </w:rPr>
              <w:t>–</w:t>
            </w:r>
            <w:r>
              <w:rPr>
                <w:rFonts w:eastAsia="Times New Roman"/>
                <w:color w:val="000000"/>
                <w:sz w:val="16"/>
                <w:szCs w:val="16"/>
              </w:rPr>
              <w:t xml:space="preserve"> 5</w:t>
            </w:r>
            <w:r w:rsidRPr="00392BB7">
              <w:rPr>
                <w:rFonts w:eastAsia="Times New Roman"/>
                <w:color w:val="000000"/>
                <w:sz w:val="16"/>
                <w:szCs w:val="16"/>
              </w:rPr>
              <w:t xml:space="preserve"> %</w:t>
            </w:r>
          </w:p>
          <w:p w:rsidR="00EE19F4" w:rsidRDefault="00EE19F4" w:rsidP="00EE19F4">
            <w:pPr>
              <w:spacing w:line="240" w:lineRule="auto"/>
              <w:rPr>
                <w:rFonts w:eastAsia="Times New Roman"/>
                <w:color w:val="000000"/>
                <w:sz w:val="16"/>
                <w:szCs w:val="16"/>
              </w:rPr>
            </w:pPr>
          </w:p>
          <w:p w:rsidR="00EE19F4" w:rsidRDefault="00EE19F4" w:rsidP="00EE19F4">
            <w:pPr>
              <w:spacing w:line="240" w:lineRule="auto"/>
              <w:rPr>
                <w:rFonts w:eastAsia="Times New Roman"/>
                <w:color w:val="000000"/>
                <w:sz w:val="16"/>
                <w:szCs w:val="16"/>
              </w:rPr>
            </w:pPr>
            <w:r>
              <w:rPr>
                <w:rFonts w:eastAsia="Times New Roman"/>
                <w:color w:val="000000"/>
                <w:sz w:val="16"/>
                <w:szCs w:val="16"/>
              </w:rPr>
              <w:t>Completed:</w:t>
            </w:r>
          </w:p>
          <w:p w:rsidR="00EE19F4" w:rsidRPr="00392BB7" w:rsidRDefault="00EE19F4" w:rsidP="00EE19F4">
            <w:pPr>
              <w:spacing w:line="240" w:lineRule="auto"/>
              <w:rPr>
                <w:rFonts w:eastAsia="Times New Roman"/>
                <w:color w:val="000000"/>
                <w:sz w:val="16"/>
                <w:szCs w:val="16"/>
              </w:rPr>
            </w:pPr>
            <w:r>
              <w:rPr>
                <w:rFonts w:eastAsia="Times New Roman"/>
                <w:color w:val="000000"/>
                <w:sz w:val="16"/>
                <w:szCs w:val="16"/>
              </w:rPr>
              <w:t>unknown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EE19F4" w:rsidRDefault="00EE19F4" w:rsidP="00EE19F4">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0.20 IU/ml: 0/65</w:t>
            </w:r>
          </w:p>
          <w:p w:rsidR="00EE19F4" w:rsidRDefault="00EE19F4" w:rsidP="00EE19F4">
            <w:pPr>
              <w:spacing w:line="240" w:lineRule="auto"/>
              <w:rPr>
                <w:rFonts w:eastAsia="Times New Roman"/>
                <w:color w:val="000000"/>
                <w:sz w:val="16"/>
                <w:szCs w:val="16"/>
              </w:rPr>
            </w:pPr>
            <w:r>
              <w:rPr>
                <w:rFonts w:eastAsia="Times New Roman"/>
                <w:color w:val="000000"/>
                <w:sz w:val="16"/>
                <w:szCs w:val="16"/>
              </w:rPr>
              <w:t>0.20</w:t>
            </w:r>
            <w:r w:rsidRPr="00392BB7">
              <w:rPr>
                <w:rFonts w:eastAsia="Times New Roman"/>
                <w:color w:val="000000"/>
                <w:sz w:val="16"/>
                <w:szCs w:val="16"/>
              </w:rPr>
              <w:t>–</w:t>
            </w:r>
            <w:r w:rsidR="0067223D">
              <w:rPr>
                <w:rFonts w:eastAsia="Times New Roman"/>
                <w:color w:val="000000"/>
                <w:sz w:val="16"/>
                <w:szCs w:val="16"/>
              </w:rPr>
              <w:t>0.70 IU/ml: 0/9</w:t>
            </w:r>
          </w:p>
          <w:p w:rsidR="00EE19F4" w:rsidRPr="00392BB7" w:rsidRDefault="00EE19F4" w:rsidP="00EE19F4">
            <w:pPr>
              <w:spacing w:line="240" w:lineRule="auto"/>
              <w:rPr>
                <w:rFonts w:eastAsia="Times New Roman"/>
                <w:color w:val="000000"/>
                <w:sz w:val="16"/>
                <w:szCs w:val="16"/>
              </w:rPr>
            </w:pPr>
            <w:r>
              <w:rPr>
                <w:rFonts w:eastAsia="Times New Roman"/>
                <w:color w:val="000000"/>
                <w:sz w:val="16"/>
                <w:szCs w:val="16"/>
              </w:rPr>
              <w:t>0.70</w:t>
            </w:r>
            <w:r w:rsidRPr="00392BB7">
              <w:rPr>
                <w:rFonts w:eastAsia="Times New Roman"/>
                <w:color w:val="000000"/>
                <w:sz w:val="16"/>
                <w:szCs w:val="16"/>
              </w:rPr>
              <w:t>–</w:t>
            </w:r>
            <w:r>
              <w:rPr>
                <w:rFonts w:eastAsia="Times New Roman"/>
                <w:color w:val="000000"/>
                <w:sz w:val="16"/>
                <w:szCs w:val="16"/>
              </w:rPr>
              <w:t>20 IU/ml: 0/6</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t>Santin</w:t>
            </w:r>
            <w:proofErr w:type="spellEnd"/>
            <w:r w:rsidRPr="00392BB7">
              <w:rPr>
                <w:rFonts w:eastAsia="Times New Roman"/>
                <w:color w:val="000000"/>
                <w:sz w:val="16"/>
                <w:szCs w:val="16"/>
              </w:rPr>
              <w:t xml:space="preserve"> (2011)</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10.1016/j.diagmicrobio.2010.09.005","ISSN":"07328893","author":[{"dropping-particle":"","family":"Santin","given":"Miguel","non-dropping-particle":"","parse-names":false,"suffix":""},{"dropping-particle":"","family":"Casas","given":"Susana","non-dropping-particle":"","parse-names":false,"suffix":""},{"dropping-particle":"","family":"Saumoy","given":"Maria","non-dropping-particle":"","parse-names":false,"suffix":""},{"dropping-particle":"","family":"Andreu","given":"Ana","non-dropping-particle":"","parse-names":false,"suffix":""},{"dropping-particle":"","family":"Moure","given":"Raquel","non-dropping-particle":"","parse-names":false,"suffix":""},{"dropping-particle":"","family":"Alcaide","given":"Fernando","non-dropping-particle":"","parse-names":false,"suffix":""},{"dropping-particle":"","family":"Ferrer","given":"Elena","non-dropping-particle":"","parse-names":false,"suffix":""},{"dropping-particle":"","family":"Podzamczer","given":"Daniel","non-dropping-particle":"","parse-names":false,"suffix":""}],"container-title":"Diagnostic Microbiology and Infectious Disease","id":"ITEM-1","issue":"1","issued":{"date-parts":[["2011","1"]]},"page":"59-65","title":"Detection of latent tuberculosis by the tuberculin skin test and a whole-blood interferon-γ release assay, and the development of active tuberculosis in HIV-seropositive persons","type":"article-journal","volume":"69"},"uris":["http://www.mendeley.com/documents/?uuid=3fa09128-c750-4436-b673-060c739a546d"]}],"mendeley":{"formattedCitation":"(24)","plainTextFormattedCitation":"(24)","previouslyFormattedCitation":"[24]"},"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(24)</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HIV-infected patients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Spain</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2007 – 2009</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18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135</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Median: 1.6 Years</w:t>
            </w:r>
          </w:p>
        </w:tc>
        <w:tc>
          <w:tcPr>
            <w:tcW w:w="1350" w:type="dxa"/>
          </w:tcPr>
          <w:p w:rsidR="00EE19F4" w:rsidRPr="00392BB7" w:rsidRDefault="00CD5ACF" w:rsidP="00EE19F4">
            <w:pPr>
              <w:spacing w:line="240" w:lineRule="auto"/>
              <w:rPr>
                <w:rFonts w:eastAsia="Times New Roman"/>
                <w:color w:val="000000"/>
                <w:sz w:val="16"/>
                <w:szCs w:val="16"/>
              </w:rPr>
            </w:pPr>
            <w:r>
              <w:rPr>
                <w:rFonts w:eastAsia="Times New Roman"/>
                <w:color w:val="000000"/>
                <w:sz w:val="16"/>
                <w:szCs w:val="16"/>
              </w:rPr>
              <w:t>Not reported</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confirmed through national TB surveillance program</w:t>
            </w:r>
          </w:p>
        </w:tc>
        <w:tc>
          <w:tcPr>
            <w:tcW w:w="1800" w:type="dxa"/>
          </w:tcPr>
          <w:p w:rsidR="00EE19F4" w:rsidRDefault="00EE19F4" w:rsidP="00EE19F4">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0.35 IU/ml: 0/122</w:t>
            </w:r>
          </w:p>
          <w:p w:rsidR="00EE19F4" w:rsidRDefault="00EE19F4" w:rsidP="00EE19F4">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0/13</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4</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lastRenderedPageBreak/>
              <w:t>Schablon</w:t>
            </w:r>
            <w:proofErr w:type="spellEnd"/>
            <w:r w:rsidRPr="00392BB7">
              <w:rPr>
                <w:rFonts w:eastAsia="Times New Roman"/>
                <w:color w:val="000000"/>
                <w:sz w:val="16"/>
                <w:szCs w:val="16"/>
              </w:rPr>
              <w:t xml:space="preserve"> (2013)</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{"citationItems":[{"id":"ITEM-1","itemData":{"DOI":"10.3205/dgkh000217","ISSN":"2196-5226","PMID":"24327943","abstract":"BACKGROUND Healthcare workers (HCW) are a risk group for tuberculosis (TB). That is why interferon-gamma release assay (IGRA) serial testing is performed on HCWs repeatedly exposed to infectious patients or materials. However, the variability of IGRA in serial testing is not yet well understood. We therefore analysed the prevalence of positive IGRA results as well as conversion and reversion rates in the serial testing of healthcare trainees in a low-incidence country. METHODS In a prospective cohort study, all trainees (n=194) who began training as a nurse or healthcare worker at the Vivantes Healthcare Training Institute in Berlin on 1 October 2008 or 1 April 2009 were IGRA-tested at three different times during the three years of training. Socio-demographic data and possible risk factors (e.g., TB contacts, time spent abroad, area of work) were recorded by means of a standardised questionnaire. The QuantiFERON Gold In-Tube (QFT) was used as an IGRA. RESULTS At the beginning of the training the cohort comprised 194 trainees. 70% were female. Their average age was 23. The prevalence of positive QFT was 2.1% (4/194). In the first follow-up test, 2 out of 154 (1.3%) tested IGRA-positive, 151 (98%) had constantly negative results. One IGRA was constantly positive (0.6%) and there was one conversion and one reversion (0.6% respectively). In the second follow-up (n=142) there was again one conversion (0.7%), one reversion and the one constantly positive test result in all three QFT. This trainee had active TB in 2002. All other test results were constantly negative (n=139; 98%). No case of active tuberculosis was diagnosed over the three-year observation period. Contact with TB patients was reported by 42 (29.6%) trainees during the follow-up. The two trainees with a conversion in QFT had no known contact with TB patients. Discordant results in the three consecutive QFT were observed in three trainees (2.1%). Using a borderline zone from 0.2-0.7 IU/mL reduced the number of trainees with discordant results from three to one - a reversion. CONCLUSION The prevalence rate of latent TB infection is low in healthcare trainees without known risk factors for TB infection in their history. The infection risk seems to be low in this population even though contacts with TB patients during the training were reported. Introducing a borderline zone for the interpretation of reversions and conversions in this cohort appears to be safe and reduces the number of discordant …","author":[{"dropping-particle":"","family":"Schablon","given":"Anja","non-dropping-particle":"","parse-names":false,"suffix":""},{"dropping-particle":"","family":"Peters","given":"Claudia","non-dropping-particle":"","parse-names":false,"suffix":""},{"dropping-particle":"","family":"Diel","given":"Roland","non-dropping-particle":"","parse-names":false,"suffix":""},{"dropping-particle":"","family":"Diner","given":"Genia","non-dropping-particle":"","parse-names":false,"suffix":""},{"dropping-particle":"","family":"Anske","given":"Ute","non-dropping-particle":"","parse-names":false,"suffix":""},{"dropping-particle":"","family":"Pankow","given":"Wulf","non-dropping-particle":"","parse-names":false,"suffix":""},{"dropping-particle":"","family":"Ringshausen","given":"Felix C","non-dropping-particle":"","parse-names":false,"suffix":""},{"dropping-particle":"","family":"Nienhaus","given":"Albert","non-dropping-particle":"","parse-names":false,"suffix":""}],"container-title":"GMS hygiene and infection control","id":"ITEM-1","issue":"2","issued":{"date-parts":[["2013"]]},"page":"Doc17","title":"Serial IGRA testing of trainees in the healthcare sector in a country with low incidence for tuberculosis - a prospective cohort study.","type":"article-journal","volume":"8"},"uris":["http://www.mendeley.com/documents/?uuid=2962aa4a-183c-4a30-aab7-e82761f7e9ff"]}],"mendeley":{"formattedCitation":"(25)","plainTextFormattedCitation":"(25)","previouslyFormattedCitation":"[25]"},"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(25)</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Germany</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2008 – 2012</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17 to 53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194</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 years</w:t>
            </w:r>
          </w:p>
        </w:tc>
        <w:tc>
          <w:tcPr>
            <w:tcW w:w="1350" w:type="dxa"/>
          </w:tcPr>
          <w:p w:rsidR="00EE19F4" w:rsidRPr="00392BB7" w:rsidRDefault="00CD5ACF" w:rsidP="00EE19F4">
            <w:pPr>
              <w:spacing w:line="240" w:lineRule="auto"/>
              <w:rPr>
                <w:rFonts w:eastAsia="Times New Roman"/>
                <w:color w:val="000000"/>
                <w:sz w:val="16"/>
                <w:szCs w:val="16"/>
              </w:rPr>
            </w:pPr>
            <w:r>
              <w:rPr>
                <w:rFonts w:eastAsia="Times New Roman"/>
                <w:color w:val="000000"/>
                <w:sz w:val="16"/>
                <w:szCs w:val="16"/>
              </w:rPr>
              <w:t>Not reported</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radiologically</w:t>
            </w:r>
          </w:p>
        </w:tc>
        <w:tc>
          <w:tcPr>
            <w:tcW w:w="1800" w:type="dxa"/>
          </w:tcPr>
          <w:p w:rsidR="00D42814" w:rsidRDefault="00D42814" w:rsidP="00D42814">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0.35 IU/ml: 0/190</w:t>
            </w:r>
          </w:p>
          <w:p w:rsidR="00D42814" w:rsidRDefault="00D42814" w:rsidP="00D42814">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0/4</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4</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Sharma (2017)</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{"citationItems":[{"id":"ITEM-1","itemData":{"DOI":"10.1371/journal.pone.0169539","ISSN":"1932-6203","author":[{"dropping-particle":"","family":"Sharma","given":"Surendra K.","non-dropping-particle":"","parse-names":false,"suffix":""},{"dropping-particle":"","family":"Vashishtha","given":"Richa","non-dropping-particle":"","parse-names":false,"suffix":""},{"dropping-particle":"","family":"Chauhan","given":"L. S.","non-dropping-particle":"","parse-names":false,"suffix":""},{"dropping-particle":"","family":"Sreenivas","given":"V.","non-dropping-particle":"","parse-names":false,"suffix":""},{"dropping-particle":"","family":"Seth","given":"Divya","non-dropping-particle":"","parse-names":false,"suffix":""}],"container-title":"PLOS ONE","editor":[{"dropping-particle":"","family":"Hasnain","given":"Seyed Ehtesham","non-dropping-particle":"","parse-names":false,"suffix":""}],"id":"ITEM-1","issue":"1","issued":{"date-parts":[["2017","1","6"]]},"page":"e0169539","title":"Comparison of TST and IGRA in Diagnosis of Latent Tuberculosis Infection in a High TB-Burden Setting","type":"article-journal","volume":"12"},"uris":["http://www.mendeley.com/documents/?uuid=6a4d8bf4-af2a-4c3b-b305-c20fb334db61"]}],"mendeley":{"formattedCitation":"(26)","plainTextFormattedCitation":"(26)","previouslyFormattedCitation":"[26]"},"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(26)</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India</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2008 – 2014</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1 to 65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1498</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 Years</w:t>
            </w:r>
          </w:p>
        </w:tc>
        <w:tc>
          <w:tcPr>
            <w:tcW w:w="1350" w:type="dxa"/>
          </w:tcPr>
          <w:p w:rsidR="00EE19F4" w:rsidRPr="00392BB7" w:rsidRDefault="00D42814" w:rsidP="00EE19F4">
            <w:pPr>
              <w:spacing w:line="240" w:lineRule="auto"/>
              <w:rPr>
                <w:rFonts w:eastAsia="Times New Roman"/>
                <w:color w:val="000000"/>
                <w:sz w:val="16"/>
                <w:szCs w:val="16"/>
              </w:rPr>
            </w:pPr>
            <w:r>
              <w:rPr>
                <w:rFonts w:eastAsia="Times New Roman"/>
                <w:color w:val="000000"/>
                <w:sz w:val="16"/>
                <w:szCs w:val="16"/>
              </w:rPr>
              <w:t>11 to 15 Months</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D42814" w:rsidRDefault="00D42814" w:rsidP="00D42814">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0.35 IU/ml: 19/581</w:t>
            </w:r>
          </w:p>
          <w:p w:rsidR="00D42814" w:rsidRDefault="00D42814" w:rsidP="00D42814">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56/917</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4</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Tsou (2015)</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10.1111/ggi.12416","ISSN":"14441586","author":[{"dropping-particle":"","family":"Tsou","given":"Ping-hsien","non-dropping-particle":"","parse-names":false,"suffix":""},{"dropping-particle":"","family":"Huang","given":"Wei-Chang","non-dropping-particle":"","parse-names":false,"suffix":""},{"dropping-particle":"","family":"Huang","given":"Chen-cheng","non-dropping-particle":"","parse-names":false,"suffix":""},{"dropping-particle":"","family":"Lin","given":"Chen-fu","non-dropping-particle":"","parse-names":false,"suffix":""},{"dropping-particle":"","family":"Wu","given":"Kun-ming","non-dropping-particle":"","parse-names":false,"suffix":""},{"dropping-particle":"","family":"Hsu","given":"Jeng-yuan","non-dropping-particle":"","parse-names":false,"suffix":""},{"dropping-particle":"","family":"Shen","given":"Gwan-han","non-dropping-particle":"","parse-names":false,"suffix":""}],"container-title":"Geriatrics &amp; Gerontology International","id":"ITEM-1","issue":"10","issued":{"date-parts":[["2015","10"]]},"page":"1179-1184","title":"Quantiferon TB-Gold conversion can predict active tuberculosis development in elderly nursing home residents","type":"article-journal","volume":"15"},"uris":["http://www.mendeley.com/documents/?uuid=0ad63db6-2890-4fd1-ab59-b0b6c9a8563d"]}],"mendeley":{"formattedCitation":"(27)","plainTextFormattedCitation":"(27)","previouslyFormattedCitation":"[27]"},"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(27)</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Elderly nursing home residents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Taiwan (Province of China)</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2004 – 2009</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65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139</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5 years</w:t>
            </w:r>
          </w:p>
        </w:tc>
        <w:tc>
          <w:tcPr>
            <w:tcW w:w="1350" w:type="dxa"/>
          </w:tcPr>
          <w:p w:rsidR="00EE19F4" w:rsidRPr="00392BB7" w:rsidRDefault="00CD12F6" w:rsidP="00EE19F4">
            <w:pPr>
              <w:spacing w:line="240" w:lineRule="auto"/>
              <w:rPr>
                <w:rFonts w:eastAsia="Times New Roman"/>
                <w:color w:val="000000"/>
                <w:sz w:val="16"/>
                <w:szCs w:val="16"/>
              </w:rPr>
            </w:pPr>
            <w:r>
              <w:rPr>
                <w:rFonts w:eastAsia="Times New Roman"/>
                <w:color w:val="000000"/>
                <w:sz w:val="16"/>
                <w:szCs w:val="16"/>
              </w:rPr>
              <w:t>4 to 5 Years</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w:t>
            </w:r>
          </w:p>
        </w:tc>
        <w:tc>
          <w:tcPr>
            <w:tcW w:w="1800" w:type="dxa"/>
          </w:tcPr>
          <w:p w:rsidR="00CD12F6" w:rsidRDefault="00CD12F6" w:rsidP="00CD12F6">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0.35 IU/ml: 2/100</w:t>
            </w:r>
          </w:p>
          <w:p w:rsidR="00CD12F6" w:rsidRDefault="00CD12F6" w:rsidP="00CD12F6">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1/39</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5</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t>Verhagen</w:t>
            </w:r>
            <w:proofErr w:type="spellEnd"/>
            <w:r w:rsidRPr="00392BB7">
              <w:rPr>
                <w:rFonts w:eastAsia="Times New Roman"/>
                <w:color w:val="000000"/>
                <w:sz w:val="16"/>
                <w:szCs w:val="16"/>
              </w:rPr>
              <w:t xml:space="preserve"> (2014)</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{"citationItems":[{"id":"ITEM-1","itemData":{"DOI":"10.1186/1471-2334-14-383","ISSN":"1471-2334","author":[{"dropping-particle":"","family":"Verhagen","given":"Lilly M","non-dropping-particle":"","parse-names":false,"suffix":""},{"dropping-particle":"","family":"Maes","given":"Mailis","non-dropping-particle":"","parse-names":false,"suffix":""},{"dropping-particle":"","family":"Villalba","given":"Julian A","non-dropping-particle":"","parse-names":false,"suffix":""},{"dropping-particle":"","family":"D’Alessandro","given":"Adriana","non-dropping-particle":"","parse-names":false,"suffix":""},{"dropping-particle":"","family":"Rodriguez","given":"Lazaro Perez","non-dropping-particle":"","parse-names":false,"suffix":""},{"dropping-particle":"","family":"España","given":"Mercedes F","non-dropping-particle":"","parse-names":false,"suffix":""},{"dropping-particle":"","family":"Hermans","given":"Peter WM","non-dropping-particle":"","parse-names":false,"suffix":""},{"dropping-particle":"","family":"Waard","given":"Jacobus H","non-dropping-particle":"de","parse-names":false,"suffix":""}],"container-title":"BMC Infectious Diseases","id":"ITEM-1","issue":"1","issued":{"date-parts":[["2014","12","11"]]},"page":"383","title":"Agreement between QuantiFERON-TB Gold In-Tube and the tuberculin skin test and predictors of positive test results in Warao Amerindian pediatric tuberculosis contacts","type":"article-journal","volume":"14"},"uris":["http://www.mendeley.com/documents/?uuid=8f37f956-505d-43cf-b69c-b8955755b335"]}],"mendeley":{"formattedCitation":"(28)","plainTextFormattedCitation":"(28)","previouslyFormattedCitation":"[28]"},"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(28)</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Venezuela (Bolivarian Republic of)</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2010 – 2012</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Children</w:t>
            </w:r>
            <w:r w:rsidRPr="00392BB7">
              <w:rPr>
                <w:rFonts w:eastAsia="Times New Roman"/>
                <w:color w:val="000000"/>
                <w:sz w:val="16"/>
                <w:szCs w:val="16"/>
              </w:rPr>
              <w:br/>
              <w:t>0 to 15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140</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 Year</w:t>
            </w:r>
          </w:p>
        </w:tc>
        <w:tc>
          <w:tcPr>
            <w:tcW w:w="1350" w:type="dxa"/>
          </w:tcPr>
          <w:p w:rsidR="00EE19F4" w:rsidRPr="00392BB7" w:rsidRDefault="00CD12F6" w:rsidP="00EE19F4">
            <w:pPr>
              <w:spacing w:line="240" w:lineRule="auto"/>
              <w:rPr>
                <w:rFonts w:eastAsia="Times New Roman"/>
                <w:color w:val="000000"/>
                <w:sz w:val="16"/>
                <w:szCs w:val="16"/>
              </w:rPr>
            </w:pPr>
            <w:r>
              <w:rPr>
                <w:rFonts w:eastAsia="Times New Roman"/>
                <w:color w:val="000000"/>
                <w:sz w:val="16"/>
                <w:szCs w:val="16"/>
              </w:rPr>
              <w:t>6 to 12 Months</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confirmed through national TB surveillance program</w:t>
            </w:r>
          </w:p>
        </w:tc>
        <w:tc>
          <w:tcPr>
            <w:tcW w:w="1800" w:type="dxa"/>
          </w:tcPr>
          <w:p w:rsidR="00CD12F6" w:rsidRDefault="00CD12F6" w:rsidP="00CD12F6">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0.35 IU/ml: 2/77</w:t>
            </w:r>
          </w:p>
          <w:p w:rsidR="00CD12F6" w:rsidRDefault="00CD12F6" w:rsidP="00CD12F6">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2/63</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5</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Whitaker (2013)</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{"citationItems":[{"id":"ITEM-1","itemData":{"DOI":"10.1371/journal.pone.0058202","ISSN":"1932-6203","author":[{"dropping-particle":"","family":"A. Whitaker","given":"Jennifer","non-dropping-particle":"","parse-names":false,"suffix":""},{"dropping-particle":"","family":"Mirtskhulava","given":"Veriko","non-dropping-particle":"","parse-names":false,"suffix":""},{"dropping-particle":"","family":"Kipiani","given":"Maia","non-dropping-particle":"","parse-names":false,"suffix":""},{"dropping-particle":"","family":"Harris","given":"Drew A","non-dropping-particle":"","parse-names":false,"suffix":""},{"dropping-particle":"","family":"Tabagari","given":"Nino","non-dropping-particle":"","parse-names":false,"suffix":""},{"dropping-particle":"","family":"Kempker","given":"Russell R","non-dropping-particle":"","parse-names":false,"suffix":""},{"dropping-particle":"","family":"Blumberg","given":"Henry M","non-dropping-particle":"","parse-names":false,"suffix":""}],"container-title":"PLoS ONE","editor":[{"dropping-particle":"","family":"Ruhwald","given":"Morten","non-dropping-particle":"","parse-names":false,"suffix":""}],"id":"ITEM-1","issue":"3","issued":{"date-parts":[["2013","3","25"]]},"page":"e58202","title":"Prevalence and Incidence of Latent Tuberculosis Infection in Georgian Healthcare Workers","type":"article-journal","volume":"8"},"uris":["http://www.mendeley.com/documents/?uuid=9f88a633-f807-4a3e-a30b-7d2d0eaf7627"]}],"mendeley":{"formattedCitation":"(29)","plainTextFormattedCitation":"(29)","previouslyFormattedCitation":"[29]"},"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(29)</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Healthcare workers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Georgia</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2009 – 2011</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Adults</w:t>
            </w:r>
            <w:r w:rsidRPr="00392BB7">
              <w:rPr>
                <w:rFonts w:eastAsia="Times New Roman"/>
                <w:color w:val="000000"/>
                <w:sz w:val="16"/>
                <w:szCs w:val="16"/>
              </w:rPr>
              <w:br/>
              <w:t>18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319</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2.2 Years</w:t>
            </w:r>
          </w:p>
        </w:tc>
        <w:tc>
          <w:tcPr>
            <w:tcW w:w="1350" w:type="dxa"/>
          </w:tcPr>
          <w:p w:rsidR="00EE19F4" w:rsidRPr="00392BB7" w:rsidRDefault="00CD12F6" w:rsidP="00EE19F4">
            <w:pPr>
              <w:spacing w:line="240" w:lineRule="auto"/>
              <w:rPr>
                <w:rFonts w:eastAsia="Times New Roman"/>
                <w:color w:val="000000"/>
                <w:sz w:val="16"/>
                <w:szCs w:val="16"/>
              </w:rPr>
            </w:pPr>
            <w:r>
              <w:rPr>
                <w:rFonts w:eastAsia="Times New Roman"/>
                <w:color w:val="000000"/>
                <w:sz w:val="16"/>
                <w:szCs w:val="16"/>
              </w:rPr>
              <w:t>12 Months</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Unknown</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confirmed through TB Control Program databases</w:t>
            </w:r>
          </w:p>
        </w:tc>
        <w:tc>
          <w:tcPr>
            <w:tcW w:w="1800" w:type="dxa"/>
          </w:tcPr>
          <w:p w:rsidR="00CD12F6" w:rsidRDefault="00CD12F6" w:rsidP="00CD12F6">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223D">
              <w:rPr>
                <w:rFonts w:eastAsia="Times New Roman"/>
                <w:color w:val="000000"/>
                <w:sz w:val="16"/>
                <w:szCs w:val="16"/>
              </w:rPr>
              <w:t>0.35 IU/ml: 0/173</w:t>
            </w:r>
          </w:p>
          <w:p w:rsidR="00CD12F6" w:rsidRDefault="00CD12F6" w:rsidP="00CD12F6">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3/146</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t>Winje</w:t>
            </w:r>
            <w:proofErr w:type="spellEnd"/>
            <w:r w:rsidRPr="00392BB7">
              <w:rPr>
                <w:rFonts w:eastAsia="Times New Roman"/>
                <w:color w:val="000000"/>
                <w:sz w:val="16"/>
                <w:szCs w:val="16"/>
              </w:rPr>
              <w:t xml:space="preserve"> (2018)</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{"citationItems":[{"id":"ITEM-1","itemData":{"DOI":"10.1136/thoraxjnl-2017-211147","ISSN":"0040-6376","author":[{"dropping-particle":"","family":"Winje","given":"Brita Askeland","non-dropping-particle":"","parse-names":false,"suffix":""},{"dropping-particle":"","family":"White","given":"Richard","non-dropping-particle":"","parse-names":false,"suffix":""},{"dropping-particle":"","family":"Syre","given":"Heidi","non-dropping-particle":"","parse-names":false,"suffix":""},{"dropping-particle":"","family":"Skutlaberg","given":"Dag Harald","non-dropping-particle":"","parse-names":false,"suffix":""},{"dropping-particle":"","family":"Oftung","given":"Fredrik","non-dropping-particle":"","parse-names":false,"suffix":""},{"dropping-particle":"","family":"Mengshoel","given":"Anne Torunn","non-dropping-particle":"","parse-names":false,"suffix":""},{"dropping-particle":"","family":"Blix","given":"Hege Salvesen","non-dropping-particle":"","parse-names":false,"suffix":""},{"dropping-particle":"","family":"Brantsæter","given":"Arne Broch","non-dropping-particle":"","parse-names":false,"suffix":""},{"dropping-particle":"","family":"Holter","given":"Ellen Kristine","non-dropping-particle":"","parse-names":false,"suffix":""},{"dropping-particle":"","family":"Handal","given":"Nina","non-dropping-particle":"","parse-names":false,"suffix":""},{"dropping-particle":"","family":"Simonsen","given":"Gunnar Skov","non-dropping-particle":"","parse-names":false,"suffix":""},{"dropping-particle":"","family":"Afset","given":"Jan Egil","non-dropping-particle":"","parse-names":false,"suffix":""},{"dropping-particle":"","family":"Bakken Kran","given":"Anne Marte","non-dropping-particle":"","parse-names":false,"suffix":""}],"container-title":"Thorax","id":"ITEM-1","issue":"7","issued":{"date-parts":[["2018","7"]]},"page":"652-661","title":"Stratification by interferon-γ release assay level predicts risk of incident TB","type":"article-journal","volume":"73"},"uris":["http://www.mendeley.com/documents/?uuid=f64b5d4c-7ef1-4e37-adc8-544eb4d8cbe0"]}],"mendeley":{"formattedCitation":"(30)","plainTextFormattedCitation":"(30)","previouslyFormattedCitation":"[30]"},"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(30)</w:t>
            </w:r>
            <w:r w:rsidRPr="00392BB7">
              <w:rPr>
                <w:rFonts w:eastAsia="Times New Roman"/>
                <w:color w:val="000000"/>
                <w:sz w:val="16"/>
                <w:szCs w:val="16"/>
              </w:rPr>
              <w:fldChar w:fldCharType="end"/>
            </w:r>
            <w:r w:rsidR="00180407">
              <w:rPr>
                <w:rFonts w:eastAsia="Times New Roman"/>
                <w:color w:val="000000"/>
                <w:sz w:val="16"/>
                <w:szCs w:val="16"/>
              </w:rPr>
              <w:t xml:space="preserve"> **</w:t>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Population based</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Norway</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2009 – 2014</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44006</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 to 8.5 years</w:t>
            </w:r>
          </w:p>
        </w:tc>
        <w:tc>
          <w:tcPr>
            <w:tcW w:w="1350" w:type="dxa"/>
          </w:tcPr>
          <w:p w:rsidR="00EE19F4" w:rsidRPr="00392BB7" w:rsidRDefault="00174F7D" w:rsidP="00EE19F4">
            <w:pPr>
              <w:spacing w:line="240" w:lineRule="auto"/>
              <w:rPr>
                <w:rFonts w:eastAsia="Times New Roman"/>
                <w:color w:val="000000"/>
                <w:sz w:val="16"/>
                <w:szCs w:val="16"/>
              </w:rPr>
            </w:pPr>
            <w:r>
              <w:rPr>
                <w:rFonts w:eastAsia="Times New Roman"/>
                <w:color w:val="000000"/>
                <w:sz w:val="16"/>
                <w:szCs w:val="16"/>
              </w:rPr>
              <w:t>Median: 9 Months</w:t>
            </w:r>
          </w:p>
        </w:tc>
        <w:tc>
          <w:tcPr>
            <w:tcW w:w="1080" w:type="dxa"/>
            <w:shd w:val="clear" w:color="auto" w:fill="auto"/>
            <w:hideMark/>
          </w:tcPr>
          <w:p w:rsidR="00EE19F4" w:rsidRPr="00392BB7" w:rsidRDefault="006E7FE9" w:rsidP="00EE19F4">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confirmed through national TB surveillance program</w:t>
            </w:r>
          </w:p>
        </w:tc>
        <w:tc>
          <w:tcPr>
            <w:tcW w:w="1800" w:type="dxa"/>
          </w:tcPr>
          <w:p w:rsidR="00CD12F6" w:rsidRDefault="00CD12F6" w:rsidP="00CD12F6">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676CF5">
              <w:rPr>
                <w:rFonts w:eastAsia="Times New Roman"/>
                <w:color w:val="000000"/>
                <w:sz w:val="16"/>
                <w:szCs w:val="16"/>
              </w:rPr>
              <w:t>0.35 IU/ml: 15</w:t>
            </w:r>
            <w:r w:rsidR="0067223D">
              <w:rPr>
                <w:rFonts w:eastAsia="Times New Roman"/>
                <w:color w:val="000000"/>
                <w:sz w:val="16"/>
                <w:szCs w:val="16"/>
              </w:rPr>
              <w:t>/</w:t>
            </w:r>
            <w:r w:rsidR="00676CF5">
              <w:rPr>
                <w:rFonts w:eastAsia="Times New Roman"/>
                <w:color w:val="000000"/>
                <w:sz w:val="16"/>
                <w:szCs w:val="16"/>
              </w:rPr>
              <w:t>22077</w:t>
            </w:r>
          </w:p>
          <w:p w:rsidR="00CD12F6" w:rsidRDefault="00CD12F6" w:rsidP="00CD12F6">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sidR="00676CF5">
              <w:rPr>
                <w:rFonts w:eastAsia="Times New Roman"/>
                <w:color w:val="000000"/>
                <w:sz w:val="16"/>
                <w:szCs w:val="16"/>
              </w:rPr>
              <w:t>1 IU/ml: 14</w:t>
            </w:r>
            <w:r w:rsidR="0067223D">
              <w:rPr>
                <w:rFonts w:eastAsia="Times New Roman"/>
                <w:color w:val="000000"/>
                <w:sz w:val="16"/>
                <w:szCs w:val="16"/>
              </w:rPr>
              <w:t>/2</w:t>
            </w:r>
            <w:r w:rsidR="00676CF5">
              <w:rPr>
                <w:rFonts w:eastAsia="Times New Roman"/>
                <w:color w:val="000000"/>
                <w:sz w:val="16"/>
                <w:szCs w:val="16"/>
              </w:rPr>
              <w:t>020</w:t>
            </w:r>
          </w:p>
          <w:p w:rsidR="00CD12F6" w:rsidRDefault="00CD12F6" w:rsidP="00CD12F6">
            <w:pPr>
              <w:spacing w:line="240" w:lineRule="auto"/>
              <w:rPr>
                <w:rFonts w:eastAsia="Times New Roman"/>
                <w:color w:val="000000"/>
                <w:sz w:val="16"/>
                <w:szCs w:val="16"/>
              </w:rPr>
            </w:pPr>
            <w:r>
              <w:rPr>
                <w:rFonts w:eastAsia="Times New Roman"/>
                <w:color w:val="000000"/>
                <w:sz w:val="16"/>
                <w:szCs w:val="16"/>
              </w:rPr>
              <w:t>1</w:t>
            </w:r>
            <w:r w:rsidRPr="00392BB7">
              <w:rPr>
                <w:rFonts w:eastAsia="Times New Roman"/>
                <w:color w:val="000000"/>
                <w:sz w:val="16"/>
                <w:szCs w:val="16"/>
              </w:rPr>
              <w:t>–</w:t>
            </w:r>
            <w:r>
              <w:rPr>
                <w:rFonts w:eastAsia="Times New Roman"/>
                <w:color w:val="000000"/>
                <w:sz w:val="16"/>
                <w:szCs w:val="16"/>
              </w:rPr>
              <w:t>4 IU/</w:t>
            </w:r>
            <w:r w:rsidR="0067223D">
              <w:rPr>
                <w:rFonts w:eastAsia="Times New Roman"/>
                <w:color w:val="000000"/>
                <w:sz w:val="16"/>
                <w:szCs w:val="16"/>
              </w:rPr>
              <w:t xml:space="preserve">ml: </w:t>
            </w:r>
            <w:r w:rsidR="00676CF5">
              <w:rPr>
                <w:rFonts w:eastAsia="Times New Roman"/>
                <w:color w:val="000000"/>
                <w:sz w:val="16"/>
                <w:szCs w:val="16"/>
              </w:rPr>
              <w:t>48</w:t>
            </w:r>
            <w:r w:rsidR="0067223D">
              <w:rPr>
                <w:rFonts w:eastAsia="Times New Roman"/>
                <w:color w:val="000000"/>
                <w:sz w:val="16"/>
                <w:szCs w:val="16"/>
              </w:rPr>
              <w:t>/2</w:t>
            </w:r>
            <w:r w:rsidR="00676CF5">
              <w:rPr>
                <w:rFonts w:eastAsia="Times New Roman"/>
                <w:color w:val="000000"/>
                <w:sz w:val="16"/>
                <w:szCs w:val="16"/>
              </w:rPr>
              <w:t>553</w:t>
            </w:r>
          </w:p>
          <w:p w:rsidR="00EE19F4" w:rsidRPr="00392BB7" w:rsidRDefault="00CD12F6" w:rsidP="00676CF5">
            <w:pPr>
              <w:spacing w:line="240" w:lineRule="auto"/>
              <w:rPr>
                <w:rFonts w:eastAsia="Times New Roman"/>
                <w:color w:val="000000"/>
                <w:sz w:val="16"/>
                <w:szCs w:val="16"/>
              </w:rPr>
            </w:pPr>
            <w:r>
              <w:rPr>
                <w:rFonts w:eastAsia="Times New Roman"/>
                <w:color w:val="000000"/>
                <w:sz w:val="16"/>
                <w:szCs w:val="16"/>
              </w:rPr>
              <w:t>4</w:t>
            </w:r>
            <w:r w:rsidRPr="00392BB7">
              <w:rPr>
                <w:rFonts w:eastAsia="Times New Roman"/>
                <w:color w:val="000000"/>
                <w:sz w:val="16"/>
                <w:szCs w:val="16"/>
              </w:rPr>
              <w:t>–</w:t>
            </w:r>
            <w:r w:rsidR="00174F7D">
              <w:rPr>
                <w:rFonts w:eastAsia="Times New Roman"/>
                <w:color w:val="000000"/>
                <w:sz w:val="16"/>
                <w:szCs w:val="16"/>
              </w:rPr>
              <w:t>20 IU/ml: 1</w:t>
            </w:r>
            <w:r w:rsidR="00676CF5">
              <w:rPr>
                <w:rFonts w:eastAsia="Times New Roman"/>
                <w:color w:val="000000"/>
                <w:sz w:val="16"/>
                <w:szCs w:val="16"/>
              </w:rPr>
              <w:t>43/4893</w:t>
            </w:r>
          </w:p>
        </w:tc>
        <w:tc>
          <w:tcPr>
            <w:tcW w:w="810" w:type="dxa"/>
            <w:shd w:val="clear" w:color="auto" w:fill="auto"/>
            <w:hideMark/>
          </w:tcPr>
          <w:p w:rsidR="00EE19F4" w:rsidRPr="00392BB7" w:rsidRDefault="006E7FE9" w:rsidP="00EE19F4">
            <w:pPr>
              <w:spacing w:line="240" w:lineRule="auto"/>
              <w:rPr>
                <w:rFonts w:eastAsia="Times New Roman"/>
                <w:color w:val="000000"/>
                <w:sz w:val="16"/>
                <w:szCs w:val="16"/>
              </w:rPr>
            </w:pPr>
            <w:r>
              <w:rPr>
                <w:rFonts w:eastAsia="Times New Roman"/>
                <w:color w:val="000000"/>
                <w:sz w:val="16"/>
                <w:szCs w:val="16"/>
              </w:rPr>
              <w:t>5</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t>Yoshiyama</w:t>
            </w:r>
            <w:proofErr w:type="spellEnd"/>
            <w:r w:rsidRPr="00392BB7">
              <w:rPr>
                <w:rFonts w:eastAsia="Times New Roman"/>
                <w:color w:val="000000"/>
                <w:sz w:val="16"/>
                <w:szCs w:val="16"/>
              </w:rPr>
              <w:t xml:space="preserve"> (2010)</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10.3109/23744235.2015.1026935","ISSN":"2374-4235","author":[{"dropping-particle":"","family":"Yoshiyama","given":"Takashi","non-dropping-particle":"","parse-names":false,"suffix":""},{"dropping-particle":"","family":"Harada","given":"Nobuyuki","non-dropping-particle":"","parse-names":false,"suffix":""},{"dropping-particle":"","family":"Higuchi","given":"Kazue","non-dropping-particle":"","parse-names":false,"suffix":""},{"dropping-particle":"","family":"Saitou","given":"Masami","non-dropping-particle":"","parse-names":false,"suffix":""},{"dropping-particle":"","family":"Kato","given":"Seiya","non-dropping-particle":"","parse-names":false,"suffix":""}],"container-title":"Infectious Diseases","id":"ITEM-1","issue":"8","issued":{"date-parts":[["2015","8","3"]]},"page":"542-549","title":"Use of the QuantiFERON ® -TB Gold in Tube test for screening TB contacts and predictive value for active TB","type":"article-journal","volume":"47"},"uris":["http://www.mendeley.com/documents/?uuid=356e7a0d-5719-4e0e-927a-d182fdfac250"]}],"mendeley":{"formattedCitation":"(31)","plainTextFormattedCitation":"(31)","previouslyFormattedCitation":"[31]"},"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(31)</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Japan</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2003 – 2007</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10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3102</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Mean: 1.6 Years</w:t>
            </w:r>
          </w:p>
        </w:tc>
        <w:tc>
          <w:tcPr>
            <w:tcW w:w="1350" w:type="dxa"/>
          </w:tcPr>
          <w:p w:rsidR="00EE19F4" w:rsidRPr="00392BB7" w:rsidRDefault="00D9240E" w:rsidP="00EE19F4">
            <w:pPr>
              <w:spacing w:line="240" w:lineRule="auto"/>
              <w:rPr>
                <w:rFonts w:eastAsia="Times New Roman"/>
                <w:color w:val="000000"/>
                <w:sz w:val="16"/>
                <w:szCs w:val="16"/>
              </w:rPr>
            </w:pPr>
            <w:r>
              <w:rPr>
                <w:rFonts w:eastAsia="Times New Roman"/>
                <w:color w:val="000000"/>
                <w:sz w:val="16"/>
                <w:szCs w:val="16"/>
              </w:rPr>
              <w:t>3+ Months</w:t>
            </w:r>
          </w:p>
        </w:tc>
        <w:tc>
          <w:tcPr>
            <w:tcW w:w="1080" w:type="dxa"/>
            <w:shd w:val="clear" w:color="auto" w:fill="auto"/>
            <w:hideMark/>
          </w:tcPr>
          <w:p w:rsidR="00EE19F4" w:rsidRPr="00392BB7" w:rsidRDefault="006E7FE9" w:rsidP="00D9240E">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Bacteriologically</w:t>
            </w:r>
            <w:r w:rsidR="00B46D8A">
              <w:rPr>
                <w:rFonts w:eastAsia="Times New Roman"/>
                <w:color w:val="000000"/>
                <w:sz w:val="16"/>
                <w:szCs w:val="16"/>
              </w:rPr>
              <w:t>,</w:t>
            </w:r>
            <w:r w:rsidRPr="00392BB7">
              <w:rPr>
                <w:rFonts w:eastAsia="Times New Roman"/>
                <w:color w:val="000000"/>
                <w:sz w:val="16"/>
                <w:szCs w:val="16"/>
              </w:rPr>
              <w:t xml:space="preserve"> confirmed through public health centers</w:t>
            </w:r>
          </w:p>
        </w:tc>
        <w:tc>
          <w:tcPr>
            <w:tcW w:w="1800" w:type="dxa"/>
          </w:tcPr>
          <w:p w:rsidR="00D9240E" w:rsidRDefault="00D9240E" w:rsidP="00D9240E">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Pr>
                <w:rFonts w:eastAsia="Times New Roman"/>
                <w:color w:val="000000"/>
                <w:sz w:val="16"/>
                <w:szCs w:val="16"/>
              </w:rPr>
              <w:t>0.35 IU/ml: 19/2683</w:t>
            </w:r>
          </w:p>
          <w:p w:rsidR="00D9240E" w:rsidRDefault="00D9240E" w:rsidP="00D9240E">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20/419</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6E7FE9" w:rsidP="00EE19F4">
            <w:pPr>
              <w:spacing w:line="240" w:lineRule="auto"/>
              <w:rPr>
                <w:rFonts w:eastAsia="Times New Roman"/>
                <w:color w:val="000000"/>
                <w:sz w:val="16"/>
                <w:szCs w:val="16"/>
              </w:rPr>
            </w:pPr>
            <w:r>
              <w:rPr>
                <w:rFonts w:eastAsia="Times New Roman"/>
                <w:color w:val="000000"/>
                <w:sz w:val="16"/>
                <w:szCs w:val="16"/>
              </w:rPr>
              <w:t>4</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t>Yoshiyama</w:t>
            </w:r>
            <w:proofErr w:type="spellEnd"/>
            <w:r w:rsidRPr="00392BB7">
              <w:rPr>
                <w:rFonts w:eastAsia="Times New Roman"/>
                <w:color w:val="000000"/>
                <w:sz w:val="16"/>
                <w:szCs w:val="16"/>
              </w:rPr>
              <w:t xml:space="preserve"> (2015)</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{"citationItems":[{"id":"ITEM-1","itemData":{"ISSN":"1815-7920","PMID":"20550763","abstract":"OBJECTIVE To evaluate the performance of the QuantiFERON(R)-TB Gold (QFT-G) test for screening tuberculosis (TB) contacts and estimating their risk of progressing to active TB disease. METHODS Data on clinical progression to active disease were collected from public health centres 2 years after close contacts of TB cases had been QFT-G-tested. RESULTS Among 3102 contacts observed, 419 were QFT-G-positive, and isoniazid (INH) treatment was initiated in 323. Twenty (4.8%) of these 419 developed TB disease. Among 2683 QFT-G-negative persons, 19 were diagnosed with TB (0.7%) during the average follow-up period of 1.6 years. The estimated sensitivity of QFT-G in detecting contacts who would progress to active TB was 51%, or 64% allowing for the effects of INH treatment. Among the QFT-G-negative contacts, all those who developed TB disease were contacts of highly infectious cases. Large-scale tuberculin skin testing was not available. CONCLUSIONS TB incidence among QFT-G-positive contacts was higher than among QFT-G-negative contacts, but the number of TB cases among QFT-G-negative contacts is non-negligible, especially among contacts of highly infectious cases.","author":[{"dropping-particle":"","family":"Yoshiyama","given":"T","non-dropping-particle":"","parse-names":false,"suffix":""},{"dropping-particle":"","family":"Harada","given":"N","non-dropping-particle":"","parse-names":false,"suffix":""},{"dropping-particle":"","family":"Higuchi","given":"K","non-dropping-particle":"","parse-names":false,"suffix":""},{"dropping-particle":"","family":"Sekiya","given":"Y","non-dropping-particle":"","parse-names":false,"suffix":""},{"dropping-particle":"","family":"Uchimura","given":"K","non-dropping-particle":"","parse-names":false,"suffix":""}],"container-title":"The international journal of tuberculosis and lung disease","id":"ITEM-1","issue":"7","issued":{"date-parts":[["2010","7"]]},"page":"819-27","title":"Use of the QuantiFERON-TB Gold test for screening tuberculosis contacts and predicting active disease.","type":"article-journal","volume":"14"},"uris":["http://www.mendeley.com/documents/?uuid=e31bb364-3bd7-4231-a3a2-5b000fc8dc5a"]}],"mendeley":{"formattedCitation":"(32)","plainTextFormattedCitation":"(32)","previouslyFormattedCitation":"[32]"},"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(32)</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Japan</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2010 – 2013</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625</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Mean: 1.7 Years</w:t>
            </w:r>
          </w:p>
        </w:tc>
        <w:tc>
          <w:tcPr>
            <w:tcW w:w="1350" w:type="dxa"/>
          </w:tcPr>
          <w:p w:rsidR="00EE19F4" w:rsidRPr="00392BB7" w:rsidRDefault="00D9240E" w:rsidP="00EE19F4">
            <w:pPr>
              <w:spacing w:line="240" w:lineRule="auto"/>
              <w:rPr>
                <w:rFonts w:eastAsia="Times New Roman"/>
                <w:color w:val="000000"/>
                <w:sz w:val="16"/>
                <w:szCs w:val="16"/>
              </w:rPr>
            </w:pPr>
            <w:r>
              <w:rPr>
                <w:rFonts w:eastAsia="Times New Roman"/>
                <w:color w:val="000000"/>
                <w:sz w:val="16"/>
                <w:szCs w:val="16"/>
              </w:rPr>
              <w:t>3+ Months</w:t>
            </w:r>
          </w:p>
        </w:tc>
        <w:tc>
          <w:tcPr>
            <w:tcW w:w="1080" w:type="dxa"/>
            <w:shd w:val="clear" w:color="auto" w:fill="auto"/>
            <w:hideMark/>
          </w:tcPr>
          <w:p w:rsidR="00EE19F4" w:rsidRPr="00392BB7" w:rsidRDefault="006E7FE9" w:rsidP="005F41A9">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Bacteriologically, clinically</w:t>
            </w:r>
          </w:p>
        </w:tc>
        <w:tc>
          <w:tcPr>
            <w:tcW w:w="1800" w:type="dxa"/>
          </w:tcPr>
          <w:p w:rsidR="00D9240E" w:rsidRDefault="00D9240E" w:rsidP="00D9240E">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Pr>
                <w:rFonts w:eastAsia="Times New Roman"/>
                <w:color w:val="000000"/>
                <w:sz w:val="16"/>
                <w:szCs w:val="16"/>
              </w:rPr>
              <w:t>0.35 IU/ml: 2/547</w:t>
            </w:r>
          </w:p>
          <w:p w:rsidR="00D9240E" w:rsidRDefault="00D9240E" w:rsidP="00D9240E">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10/168</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6E7FE9" w:rsidP="00EE19F4">
            <w:pPr>
              <w:spacing w:line="240" w:lineRule="auto"/>
              <w:rPr>
                <w:rFonts w:eastAsia="Times New Roman"/>
                <w:color w:val="000000"/>
                <w:sz w:val="16"/>
                <w:szCs w:val="16"/>
              </w:rPr>
            </w:pPr>
            <w:r>
              <w:rPr>
                <w:rFonts w:eastAsia="Times New Roman"/>
                <w:color w:val="000000"/>
                <w:sz w:val="16"/>
                <w:szCs w:val="16"/>
              </w:rPr>
              <w:t>4</w:t>
            </w:r>
          </w:p>
        </w:tc>
      </w:tr>
      <w:tr w:rsidR="00EE19F4" w:rsidRPr="00C529FA" w:rsidTr="009D4FEF">
        <w:trPr>
          <w:trHeight w:val="1301"/>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lastRenderedPageBreak/>
              <w:t>Zellweger (2015)</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10.1164/rccm.201502-0232OC","ISSN":"1073-449X","author":[{"dropping-particle":"","family":"Zellweger","given":"Jean-Pierre","non-dropping-particle":"","parse-names":false,"suffix":""},{"dropping-particle":"","family":"Sotgiu","given":"Giovanni","non-dropping-particle":"","parse-names":false,"suffix":""},{"dropping-particle":"","family":"Block","given":"Michael","non-dropping-particle":"","parse-names":false,"suffix":""},{"dropping-particle":"","family":"Dore","given":"Simone","non-dropping-particle":"","parse-names":false,"suffix":""},{"dropping-particle":"","family":"Altet","given":"Neus","non-dropping-particle":"","parse-names":false,"suffix":""},{"dropping-particle":"","family":"Blunschi","given":"Rebecca","non-dropping-particle":"","parse-names":false,"suffix":""},{"dropping-particle":"","family":"Bogyi","given":"Matthias","non-dropping-particle":"","parse-names":false,"suffix":""},{"dropping-particle":"","family":"Bothamley","given":"Graham","non-dropping-particle":"","parse-names":false,"suffix":""},{"dropping-particle":"","family":"Bothe","given":"Christina","non-dropping-particle":"","parse-names":false,"suffix":""},{"dropping-particle":"","family":"Codecasa","given":"Luigi","non-dropping-particle":"","parse-names":false,"suffix":""},{"dropping-particle":"","family":"Costa","given":"Patrizia","non-dropping-particle":"","parse-names":false,"suffix":""},{"dropping-particle":"","family":"Dominguez","given":"Jose","non-dropping-particle":"","parse-names":false,"suffix":""},{"dropping-particle":"","family":"Duarte","given":"Raquel","non-dropping-particle":"","parse-names":false,"suffix":""},{"dropping-particle":"","family":"Fløe","given":"Andreas","non-dropping-particle":"","parse-names":false,"suffix":""},{"dropping-particle":"","family":"Fresard","given":"Isabelle","non-dropping-particle":"","parse-names":false,"suffix":""},{"dropping-particle":"","family":"García-García","given":"José-María","non-dropping-particle":"","parse-names":false,"suffix":""},{"dropping-particle":"","family":"Goletti","given":"Delia","non-dropping-particle":"","parse-names":false,"suffix":""},{"dropping-particle":"","family":"Halm","given":"Petra","non-dropping-particle":"","parse-names":false,"suffix":""},{"dropping-particle":"","family":"Hellwig","given":"Doris","non-dropping-particle":"","parse-names":false,"suffix":""},{"dropping-particle":"","family":"Henninger","given":"Eveline","non-dropping-particle":"","parse-names":false,"suffix":""},{"dropping-particle":"","family":"Heykes-Uden","given":"Helga","non-dropping-particle":"","parse-names":false,"suffix":""},{"dropping-particle":"","family":"Horn","given":"Liane","non-dropping-particle":"","parse-names":false,"suffix":""},{"dropping-particle":"","family":"Kruczak","given":"Katarzyna","non-dropping-particle":"","parse-names":false,"suffix":""},{"dropping-particle":"","family":"Latorre","given":"Irene","non-dropping-particle":"","parse-names":false,"suffix":""},{"dropping-particle":"","family":"Pache","given":"Geneviève","non-dropping-particle":"","parse-names":false,"suffix":""},{"dropping-particle":"","family":"Rath","given":"Heidrun","non-dropping-particle":"","parse-names":false,"suffix":""},{"dropping-particle":"","family":"Ringshausen","given":"Felix C.","non-dropping-particle":"","parse-names":false,"suffix":""},{"dropping-particle":"","family":"Ruiz","given":"Asunción Seminario","non-dropping-particle":"","parse-names":false,"suffix":""},{"dropping-particle":"","family":"Solovic","given":"Ivan","non-dropping-particle":"","parse-names":false,"suffix":""},{"dropping-particle":"de","family":"Souza-Galvão","given":"Maria-Luiza","non-dropping-particle":"","parse-names":false,"suffix":""},{"dropping-particle":"","family":"Widmer","given":"Ursula","non-dropping-particle":"","parse-names":false,"suffix":""},{"dropping-particle":"","family":"Witte","given":"Peter","non-dropping-particle":"","parse-names":false,"suffix":""},{"dropping-particle":"","family":"Lange","given":"Christoph","non-dropping-particle":"","parse-names":false,"suffix":""}],"container-title":"American Journal of Respiratory and Critical Care Medicine","id":"ITEM-1","issue":"10","issued":{"date-parts":[["2015","5","15"]]},"page":"1176-1184","title":"Risk Assessment of Tuberculosis in Contacts by IFN-γ Release Assays. A Tuberculosis Network European Trials Group Study","type":"article-journal","volume":"191"},"uris":["http://www.mendeley.com/documents/?uuid=65d20c8a-f4e1-4f6c-aeb1-e3b5286942c1"]}],"mendeley":{"formattedCitation":"(33)","plainTextFormattedCitation":"(33)","previouslyFormattedCitation":"[33]"},"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(33)</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Prospective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Tuberculosis case contacts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Europe</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2009 – 2013</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100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3425</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Median: 2.5</w:t>
            </w:r>
          </w:p>
        </w:tc>
        <w:tc>
          <w:tcPr>
            <w:tcW w:w="1350" w:type="dxa"/>
          </w:tcPr>
          <w:p w:rsidR="00EE19F4" w:rsidRPr="00392BB7" w:rsidRDefault="00EA322F" w:rsidP="00EE19F4">
            <w:pPr>
              <w:spacing w:line="240" w:lineRule="auto"/>
              <w:rPr>
                <w:rFonts w:eastAsia="Times New Roman"/>
                <w:color w:val="000000"/>
                <w:sz w:val="16"/>
                <w:szCs w:val="16"/>
              </w:rPr>
            </w:pPr>
            <w:r>
              <w:rPr>
                <w:rFonts w:eastAsia="Times New Roman"/>
                <w:color w:val="000000"/>
                <w:sz w:val="16"/>
                <w:szCs w:val="16"/>
              </w:rPr>
              <w:t>84 to 968 Days</w:t>
            </w:r>
          </w:p>
        </w:tc>
        <w:tc>
          <w:tcPr>
            <w:tcW w:w="1080" w:type="dxa"/>
            <w:shd w:val="clear" w:color="auto" w:fill="auto"/>
            <w:hideMark/>
          </w:tcPr>
          <w:p w:rsidR="00EA322F" w:rsidRDefault="00EA322F" w:rsidP="00EA322F">
            <w:pPr>
              <w:spacing w:line="240" w:lineRule="auto"/>
              <w:rPr>
                <w:rFonts w:eastAsia="Times New Roman"/>
                <w:color w:val="000000"/>
                <w:sz w:val="16"/>
                <w:szCs w:val="16"/>
              </w:rPr>
            </w:pPr>
            <w:r>
              <w:rPr>
                <w:rFonts w:eastAsia="Times New Roman"/>
                <w:color w:val="000000"/>
                <w:sz w:val="16"/>
                <w:szCs w:val="16"/>
              </w:rPr>
              <w:t>Provided:</w:t>
            </w:r>
          </w:p>
          <w:p w:rsidR="00EA322F" w:rsidRDefault="00EA322F" w:rsidP="00EA322F">
            <w:pPr>
              <w:spacing w:line="240" w:lineRule="auto"/>
              <w:rPr>
                <w:rFonts w:eastAsia="Times New Roman"/>
                <w:color w:val="000000"/>
                <w:sz w:val="16"/>
                <w:szCs w:val="16"/>
              </w:rPr>
            </w:pPr>
            <w:r>
              <w:rPr>
                <w:rFonts w:eastAsia="Times New Roman"/>
                <w:color w:val="000000"/>
                <w:sz w:val="16"/>
                <w:szCs w:val="16"/>
              </w:rPr>
              <w:t xml:space="preserve">Yes </w:t>
            </w:r>
            <w:r w:rsidRPr="00392BB7">
              <w:rPr>
                <w:rFonts w:eastAsia="Times New Roman"/>
                <w:color w:val="000000"/>
                <w:sz w:val="16"/>
                <w:szCs w:val="16"/>
              </w:rPr>
              <w:t>–</w:t>
            </w:r>
            <w:r>
              <w:rPr>
                <w:rFonts w:eastAsia="Times New Roman"/>
                <w:color w:val="000000"/>
                <w:sz w:val="16"/>
                <w:szCs w:val="16"/>
              </w:rPr>
              <w:t xml:space="preserve"> 19</w:t>
            </w:r>
            <w:r w:rsidRPr="00392BB7">
              <w:rPr>
                <w:rFonts w:eastAsia="Times New Roman"/>
                <w:color w:val="000000"/>
                <w:sz w:val="16"/>
                <w:szCs w:val="16"/>
              </w:rPr>
              <w:t xml:space="preserve"> %</w:t>
            </w:r>
          </w:p>
          <w:p w:rsidR="00EA322F" w:rsidRDefault="00EA322F" w:rsidP="00EA322F">
            <w:pPr>
              <w:spacing w:line="240" w:lineRule="auto"/>
              <w:rPr>
                <w:rFonts w:eastAsia="Times New Roman"/>
                <w:color w:val="000000"/>
                <w:sz w:val="16"/>
                <w:szCs w:val="16"/>
              </w:rPr>
            </w:pPr>
          </w:p>
          <w:p w:rsidR="00EA322F" w:rsidRDefault="00EA322F" w:rsidP="00EA322F">
            <w:pPr>
              <w:spacing w:line="240" w:lineRule="auto"/>
              <w:rPr>
                <w:rFonts w:eastAsia="Times New Roman"/>
                <w:color w:val="000000"/>
                <w:sz w:val="16"/>
                <w:szCs w:val="16"/>
              </w:rPr>
            </w:pPr>
            <w:r>
              <w:rPr>
                <w:rFonts w:eastAsia="Times New Roman"/>
                <w:color w:val="000000"/>
                <w:sz w:val="16"/>
                <w:szCs w:val="16"/>
              </w:rPr>
              <w:t>Completed:</w:t>
            </w:r>
          </w:p>
          <w:p w:rsidR="00EE19F4" w:rsidRPr="00392BB7" w:rsidRDefault="00EA322F" w:rsidP="00EA322F">
            <w:pPr>
              <w:spacing w:line="240" w:lineRule="auto"/>
              <w:rPr>
                <w:rFonts w:eastAsia="Times New Roman"/>
                <w:color w:val="000000"/>
                <w:sz w:val="16"/>
                <w:szCs w:val="16"/>
              </w:rPr>
            </w:pPr>
            <w:r>
              <w:rPr>
                <w:rFonts w:eastAsia="Times New Roman"/>
                <w:color w:val="000000"/>
                <w:sz w:val="16"/>
                <w:szCs w:val="16"/>
              </w:rPr>
              <w:t>Unknown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confirmed through national TB surveillance program</w:t>
            </w:r>
          </w:p>
        </w:tc>
        <w:tc>
          <w:tcPr>
            <w:tcW w:w="1800" w:type="dxa"/>
          </w:tcPr>
          <w:p w:rsidR="005F41A9" w:rsidRDefault="005F41A9" w:rsidP="005F41A9">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sidR="00EA322F">
              <w:rPr>
                <w:rFonts w:eastAsia="Times New Roman"/>
                <w:color w:val="000000"/>
                <w:sz w:val="16"/>
                <w:szCs w:val="16"/>
              </w:rPr>
              <w:t>0.35 IU/ml: 3/2410</w:t>
            </w:r>
          </w:p>
          <w:p w:rsidR="005F41A9" w:rsidRDefault="005F41A9" w:rsidP="005F41A9">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0.70 IU/ml: 2/219</w:t>
            </w:r>
          </w:p>
          <w:p w:rsidR="005F41A9" w:rsidRDefault="005F41A9" w:rsidP="005F41A9">
            <w:pPr>
              <w:spacing w:line="240" w:lineRule="auto"/>
              <w:rPr>
                <w:rFonts w:eastAsia="Times New Roman"/>
                <w:color w:val="000000"/>
                <w:sz w:val="16"/>
                <w:szCs w:val="16"/>
              </w:rPr>
            </w:pPr>
            <w:r>
              <w:rPr>
                <w:rFonts w:eastAsia="Times New Roman"/>
                <w:color w:val="000000"/>
                <w:sz w:val="16"/>
                <w:szCs w:val="16"/>
              </w:rPr>
              <w:t>0.70</w:t>
            </w:r>
            <w:r w:rsidRPr="00392BB7">
              <w:rPr>
                <w:rFonts w:eastAsia="Times New Roman"/>
                <w:color w:val="000000"/>
                <w:sz w:val="16"/>
                <w:szCs w:val="16"/>
              </w:rPr>
              <w:t>–</w:t>
            </w:r>
            <w:r>
              <w:rPr>
                <w:rFonts w:eastAsia="Times New Roman"/>
                <w:color w:val="000000"/>
                <w:sz w:val="16"/>
                <w:szCs w:val="16"/>
              </w:rPr>
              <w:t>1 IU/</w:t>
            </w:r>
            <w:r w:rsidR="00EA322F">
              <w:rPr>
                <w:rFonts w:eastAsia="Times New Roman"/>
                <w:color w:val="000000"/>
                <w:sz w:val="16"/>
                <w:szCs w:val="16"/>
              </w:rPr>
              <w:t>ml: 1</w:t>
            </w:r>
            <w:r>
              <w:rPr>
                <w:rFonts w:eastAsia="Times New Roman"/>
                <w:color w:val="000000"/>
                <w:sz w:val="16"/>
                <w:szCs w:val="16"/>
              </w:rPr>
              <w:t>/</w:t>
            </w:r>
            <w:r w:rsidR="00EA322F">
              <w:rPr>
                <w:rFonts w:eastAsia="Times New Roman"/>
                <w:color w:val="000000"/>
                <w:sz w:val="16"/>
                <w:szCs w:val="16"/>
              </w:rPr>
              <w:t>56</w:t>
            </w:r>
          </w:p>
          <w:p w:rsidR="00EE19F4" w:rsidRDefault="005F41A9" w:rsidP="005F41A9">
            <w:pPr>
              <w:spacing w:line="240" w:lineRule="auto"/>
              <w:rPr>
                <w:rFonts w:eastAsia="Times New Roman"/>
                <w:color w:val="000000"/>
                <w:sz w:val="16"/>
                <w:szCs w:val="16"/>
              </w:rPr>
            </w:pPr>
            <w:r>
              <w:rPr>
                <w:rFonts w:eastAsia="Times New Roman"/>
                <w:color w:val="000000"/>
                <w:sz w:val="16"/>
                <w:szCs w:val="16"/>
              </w:rPr>
              <w:t>1</w:t>
            </w:r>
            <w:r w:rsidRPr="00392BB7">
              <w:rPr>
                <w:rFonts w:eastAsia="Times New Roman"/>
                <w:color w:val="000000"/>
                <w:sz w:val="16"/>
                <w:szCs w:val="16"/>
              </w:rPr>
              <w:t>–</w:t>
            </w:r>
            <w:r>
              <w:rPr>
                <w:rFonts w:eastAsia="Times New Roman"/>
                <w:color w:val="000000"/>
                <w:sz w:val="16"/>
                <w:szCs w:val="16"/>
              </w:rPr>
              <w:t>1.40</w:t>
            </w:r>
            <w:r w:rsidR="00EA322F">
              <w:rPr>
                <w:rFonts w:eastAsia="Times New Roman"/>
                <w:color w:val="000000"/>
                <w:sz w:val="16"/>
                <w:szCs w:val="16"/>
              </w:rPr>
              <w:t xml:space="preserve"> IU/ml: 1</w:t>
            </w:r>
            <w:r>
              <w:rPr>
                <w:rFonts w:eastAsia="Times New Roman"/>
                <w:color w:val="000000"/>
                <w:sz w:val="16"/>
                <w:szCs w:val="16"/>
              </w:rPr>
              <w:t>/</w:t>
            </w:r>
            <w:r w:rsidR="00EA322F">
              <w:rPr>
                <w:rFonts w:eastAsia="Times New Roman"/>
                <w:color w:val="000000"/>
                <w:sz w:val="16"/>
                <w:szCs w:val="16"/>
              </w:rPr>
              <w:t>63</w:t>
            </w:r>
          </w:p>
          <w:p w:rsidR="005F41A9" w:rsidRDefault="005F41A9" w:rsidP="005F41A9">
            <w:pPr>
              <w:spacing w:line="240" w:lineRule="auto"/>
              <w:rPr>
                <w:rFonts w:eastAsia="Times New Roman"/>
                <w:color w:val="000000"/>
                <w:sz w:val="16"/>
                <w:szCs w:val="16"/>
              </w:rPr>
            </w:pPr>
            <w:r>
              <w:rPr>
                <w:rFonts w:eastAsia="Times New Roman"/>
                <w:color w:val="000000"/>
                <w:sz w:val="16"/>
                <w:szCs w:val="16"/>
              </w:rPr>
              <w:t>1.40</w:t>
            </w:r>
            <w:r w:rsidRPr="00392BB7">
              <w:rPr>
                <w:rFonts w:eastAsia="Times New Roman"/>
                <w:color w:val="000000"/>
                <w:sz w:val="16"/>
                <w:szCs w:val="16"/>
              </w:rPr>
              <w:t>–</w:t>
            </w:r>
            <w:r>
              <w:rPr>
                <w:rFonts w:eastAsia="Times New Roman"/>
                <w:color w:val="000000"/>
                <w:sz w:val="16"/>
                <w:szCs w:val="16"/>
              </w:rPr>
              <w:t>2</w:t>
            </w:r>
            <w:r w:rsidR="00EA322F">
              <w:rPr>
                <w:rFonts w:eastAsia="Times New Roman"/>
                <w:color w:val="000000"/>
                <w:sz w:val="16"/>
                <w:szCs w:val="16"/>
              </w:rPr>
              <w:t xml:space="preserve"> IU/ml: 1/6</w:t>
            </w:r>
            <w:r>
              <w:rPr>
                <w:rFonts w:eastAsia="Times New Roman"/>
                <w:color w:val="000000"/>
                <w:sz w:val="16"/>
                <w:szCs w:val="16"/>
              </w:rPr>
              <w:t>2</w:t>
            </w:r>
          </w:p>
          <w:p w:rsidR="00EA322F" w:rsidRDefault="00EA322F" w:rsidP="005F41A9">
            <w:pPr>
              <w:spacing w:line="240" w:lineRule="auto"/>
              <w:rPr>
                <w:rFonts w:eastAsia="Times New Roman"/>
                <w:color w:val="000000"/>
                <w:sz w:val="16"/>
                <w:szCs w:val="16"/>
              </w:rPr>
            </w:pPr>
            <w:r>
              <w:rPr>
                <w:rFonts w:eastAsia="Times New Roman"/>
                <w:color w:val="000000"/>
                <w:sz w:val="16"/>
                <w:szCs w:val="16"/>
              </w:rPr>
              <w:t>2-5 IU/ml: 4/74</w:t>
            </w:r>
          </w:p>
          <w:p w:rsidR="00EA322F" w:rsidRDefault="00EA322F" w:rsidP="005F41A9">
            <w:pPr>
              <w:spacing w:line="240" w:lineRule="auto"/>
              <w:rPr>
                <w:rFonts w:eastAsia="Times New Roman"/>
                <w:color w:val="000000"/>
                <w:sz w:val="16"/>
                <w:szCs w:val="16"/>
              </w:rPr>
            </w:pPr>
            <w:r>
              <w:rPr>
                <w:rFonts w:eastAsia="Times New Roman"/>
                <w:color w:val="000000"/>
                <w:sz w:val="16"/>
                <w:szCs w:val="16"/>
              </w:rPr>
              <w:t>5-10 IU/ml: 1/154</w:t>
            </w:r>
          </w:p>
          <w:p w:rsidR="00EA322F" w:rsidRPr="00392BB7" w:rsidRDefault="00EA322F" w:rsidP="005F41A9">
            <w:pPr>
              <w:spacing w:line="240" w:lineRule="auto"/>
              <w:rPr>
                <w:rFonts w:eastAsia="Times New Roman"/>
                <w:color w:val="000000"/>
                <w:sz w:val="16"/>
                <w:szCs w:val="16"/>
              </w:rPr>
            </w:pPr>
            <w:r>
              <w:rPr>
                <w:rFonts w:eastAsia="Times New Roman"/>
                <w:color w:val="000000"/>
                <w:sz w:val="16"/>
                <w:szCs w:val="16"/>
              </w:rPr>
              <w:t>10-20 IU/ml: 7/287</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3</w:t>
            </w:r>
          </w:p>
        </w:tc>
      </w:tr>
      <w:tr w:rsidR="00EE19F4" w:rsidRPr="00C529FA" w:rsidTr="0067223D">
        <w:trPr>
          <w:trHeight w:val="1008"/>
        </w:trPr>
        <w:tc>
          <w:tcPr>
            <w:tcW w:w="1165" w:type="dxa"/>
            <w:shd w:val="clear" w:color="auto" w:fill="auto"/>
            <w:hideMark/>
          </w:tcPr>
          <w:p w:rsidR="00EE19F4" w:rsidRPr="00392BB7" w:rsidRDefault="00EE19F4" w:rsidP="00EE19F4">
            <w:pPr>
              <w:spacing w:line="240" w:lineRule="auto"/>
              <w:rPr>
                <w:rFonts w:eastAsia="Times New Roman"/>
                <w:color w:val="000000"/>
                <w:sz w:val="16"/>
                <w:szCs w:val="16"/>
              </w:rPr>
            </w:pPr>
            <w:proofErr w:type="spellStart"/>
            <w:r w:rsidRPr="00392BB7">
              <w:rPr>
                <w:rFonts w:eastAsia="Times New Roman"/>
                <w:color w:val="000000"/>
                <w:sz w:val="16"/>
                <w:szCs w:val="16"/>
              </w:rPr>
              <w:t>Zenner</w:t>
            </w:r>
            <w:proofErr w:type="spellEnd"/>
            <w:r w:rsidRPr="00392BB7">
              <w:rPr>
                <w:rFonts w:eastAsia="Times New Roman"/>
                <w:color w:val="000000"/>
                <w:sz w:val="16"/>
                <w:szCs w:val="16"/>
              </w:rPr>
              <w:t xml:space="preserve"> (2017)</w:t>
            </w:r>
            <w:r w:rsidRPr="00392BB7">
              <w:rPr>
                <w:rFonts w:eastAsia="Times New Roman"/>
                <w:color w:val="000000"/>
                <w:sz w:val="16"/>
                <w:szCs w:val="16"/>
              </w:rPr>
              <w:fldChar w:fldCharType="begin" w:fldLock="1"/>
            </w:r>
            <w:r w:rsidR="009179CE">
              <w:rPr>
                <w:rFonts w:eastAsia="Times New Roman"/>
                <w:color w:val="000000"/>
                <w:sz w:val="16"/>
                <w:szCs w:val="16"/>
              </w:rPr>
              <w:instrText>ADDIN CSL_CITATION {"citationItems":[{"id":"ITEM-1","itemData":{"DOI":"10.1183/13993003.02505-2016","ISSN":"0903-1936","abstract":"Approximately 72% of tuberculosis (TB) cases in England occur among non-UK born individuals, mostly as a result of reactivation of latent TB infection (LTBI). Programmatic LTBI screening is a key intervention of the TB strategy for England. This article reviews the results of a long-standing LTBI screening initiative in England.","author":[{"dropping-particle":"","family":"Zenner","given":"Dominik","non-dropping-particle":"","parse-names":false,"suffix":""},{"dropping-particle":"","family":"Loutet","given":"Miranda G.","non-dropping-particle":"","parse-names":false,"suffix":""},{"dropping-particle":"","family":"Harris","given":"Ross","non-dropping-particle":"","parse-names":false,"suffix":""},{"dropping-particle":"","family":"Wilson","given":"Stephen","non-dropping-particle":"","parse-names":false,"suffix":""},{"dropping-particle":"","family":"Ormerod","given":"L. Peter","non-dropping-particle":"","parse-names":false,"suffix":""}],"container-title":"European Respiratory Journal","id":"ITEM-1","issue":"1","issued":{"date-parts":[["2017","7","27"]]},"page":"1602505","title":"Evaluating 17 years of latent tuberculosis infection screening in north-west England: a retrospective cohort study of reactivation","type":"article-journal","volume":"50"},"uris":["http://www.mendeley.com/documents/?uuid=6748f9e3-007e-458f-b926-23f88978722f"]}],"mendeley":{"formattedCitation":"(34)","plainTextFormattedCitation":"(34)","previouslyFormattedCitation":"[34]"},"properties":{"noteIndex":0},"schema":"https://github.com/citation-style-language/schema/raw/master/csl-citation.json"}</w:instrText>
            </w:r>
            <w:r w:rsidRPr="00392BB7">
              <w:rPr>
                <w:rFonts w:eastAsia="Times New Roman"/>
                <w:color w:val="000000"/>
                <w:sz w:val="16"/>
                <w:szCs w:val="16"/>
              </w:rPr>
              <w:fldChar w:fldCharType="separate"/>
            </w:r>
            <w:r w:rsidR="009179CE" w:rsidRPr="009179CE">
              <w:rPr>
                <w:rFonts w:eastAsia="Times New Roman"/>
                <w:noProof/>
                <w:color w:val="000000"/>
                <w:sz w:val="16"/>
                <w:szCs w:val="16"/>
              </w:rPr>
              <w:t>(34)</w:t>
            </w:r>
            <w:r w:rsidRPr="00392BB7">
              <w:rPr>
                <w:rFonts w:eastAsia="Times New Roman"/>
                <w:color w:val="000000"/>
                <w:sz w:val="16"/>
                <w:szCs w:val="16"/>
              </w:rPr>
              <w:fldChar w:fldCharType="end"/>
            </w:r>
          </w:p>
        </w:tc>
        <w:tc>
          <w:tcPr>
            <w:tcW w:w="117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Retrospective cohort</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Migrants</w:t>
            </w:r>
          </w:p>
        </w:tc>
        <w:tc>
          <w:tcPr>
            <w:tcW w:w="99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United Kingdom</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2009 – 2014</w:t>
            </w:r>
          </w:p>
        </w:tc>
        <w:tc>
          <w:tcPr>
            <w:tcW w:w="153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 xml:space="preserve">Adults and children </w:t>
            </w:r>
            <w:r w:rsidRPr="00392BB7">
              <w:rPr>
                <w:rFonts w:eastAsia="Times New Roman"/>
                <w:color w:val="000000"/>
                <w:sz w:val="16"/>
                <w:szCs w:val="16"/>
              </w:rPr>
              <w:br/>
              <w:t>0 to 35 years</w:t>
            </w:r>
          </w:p>
        </w:tc>
        <w:tc>
          <w:tcPr>
            <w:tcW w:w="81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1320</w:t>
            </w:r>
          </w:p>
        </w:tc>
        <w:tc>
          <w:tcPr>
            <w:tcW w:w="108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Median: 2.2</w:t>
            </w:r>
          </w:p>
        </w:tc>
        <w:tc>
          <w:tcPr>
            <w:tcW w:w="1350" w:type="dxa"/>
          </w:tcPr>
          <w:p w:rsidR="00EE19F4" w:rsidRPr="00392BB7" w:rsidRDefault="00AE18BE" w:rsidP="00EE19F4">
            <w:pPr>
              <w:spacing w:line="240" w:lineRule="auto"/>
              <w:rPr>
                <w:rFonts w:eastAsia="Times New Roman"/>
                <w:color w:val="000000"/>
                <w:sz w:val="16"/>
                <w:szCs w:val="16"/>
              </w:rPr>
            </w:pPr>
            <w:r>
              <w:rPr>
                <w:rFonts w:eastAsia="Times New Roman"/>
                <w:color w:val="000000"/>
                <w:sz w:val="16"/>
                <w:szCs w:val="16"/>
              </w:rPr>
              <w:t>Median: 1 year</w:t>
            </w:r>
          </w:p>
        </w:tc>
        <w:tc>
          <w:tcPr>
            <w:tcW w:w="1080" w:type="dxa"/>
            <w:shd w:val="clear" w:color="auto" w:fill="auto"/>
            <w:hideMark/>
          </w:tcPr>
          <w:p w:rsidR="00EE19F4" w:rsidRPr="00392BB7" w:rsidRDefault="006E7FE9" w:rsidP="00AE18BE">
            <w:pPr>
              <w:spacing w:line="240" w:lineRule="auto"/>
              <w:rPr>
                <w:rFonts w:eastAsia="Times New Roman"/>
                <w:color w:val="000000"/>
                <w:sz w:val="16"/>
                <w:szCs w:val="16"/>
              </w:rPr>
            </w:pPr>
            <w:r w:rsidRPr="00392BB7">
              <w:rPr>
                <w:rFonts w:eastAsia="Times New Roman"/>
                <w:color w:val="000000"/>
                <w:sz w:val="16"/>
                <w:szCs w:val="16"/>
              </w:rPr>
              <w:t>No</w:t>
            </w:r>
            <w:r w:rsidRPr="00392BB7">
              <w:rPr>
                <w:rFonts w:eastAsia="Times New Roman"/>
                <w:color w:val="000000"/>
                <w:sz w:val="16"/>
                <w:szCs w:val="16"/>
              </w:rPr>
              <w:br/>
              <w:t>0 %</w:t>
            </w:r>
          </w:p>
        </w:tc>
        <w:tc>
          <w:tcPr>
            <w:tcW w:w="1440" w:type="dxa"/>
            <w:shd w:val="clear" w:color="auto" w:fill="auto"/>
            <w:hideMark/>
          </w:tcPr>
          <w:p w:rsidR="00EE19F4" w:rsidRPr="00392BB7" w:rsidRDefault="00EE19F4" w:rsidP="00EE19F4">
            <w:pPr>
              <w:spacing w:line="240" w:lineRule="auto"/>
              <w:rPr>
                <w:rFonts w:eastAsia="Times New Roman"/>
                <w:color w:val="000000"/>
                <w:sz w:val="16"/>
                <w:szCs w:val="16"/>
              </w:rPr>
            </w:pPr>
            <w:r w:rsidRPr="00392BB7">
              <w:rPr>
                <w:rFonts w:eastAsia="Times New Roman"/>
                <w:color w:val="000000"/>
                <w:sz w:val="16"/>
                <w:szCs w:val="16"/>
              </w:rPr>
              <w:t>Clinically confirmed through national TB register</w:t>
            </w:r>
          </w:p>
        </w:tc>
        <w:tc>
          <w:tcPr>
            <w:tcW w:w="1800" w:type="dxa"/>
          </w:tcPr>
          <w:p w:rsidR="005F41A9" w:rsidRDefault="005F41A9" w:rsidP="005F41A9">
            <w:pPr>
              <w:spacing w:line="240" w:lineRule="auto"/>
              <w:rPr>
                <w:rFonts w:eastAsia="Times New Roman"/>
                <w:color w:val="000000"/>
                <w:sz w:val="16"/>
                <w:szCs w:val="16"/>
              </w:rPr>
            </w:pPr>
            <w:r>
              <w:rPr>
                <w:rFonts w:eastAsia="Times New Roman"/>
                <w:color w:val="000000"/>
                <w:sz w:val="16"/>
                <w:szCs w:val="16"/>
              </w:rPr>
              <w:t>0</w:t>
            </w:r>
            <w:r w:rsidRPr="00392BB7">
              <w:rPr>
                <w:rFonts w:eastAsia="Times New Roman"/>
                <w:color w:val="000000"/>
                <w:sz w:val="16"/>
                <w:szCs w:val="16"/>
              </w:rPr>
              <w:t>–</w:t>
            </w:r>
            <w:r>
              <w:rPr>
                <w:rFonts w:eastAsia="Times New Roman"/>
                <w:color w:val="000000"/>
                <w:sz w:val="16"/>
                <w:szCs w:val="16"/>
              </w:rPr>
              <w:t>0.35 IU/ml: 4/971</w:t>
            </w:r>
          </w:p>
          <w:p w:rsidR="005F41A9" w:rsidRDefault="005F41A9" w:rsidP="005F41A9">
            <w:pPr>
              <w:spacing w:line="240" w:lineRule="auto"/>
              <w:rPr>
                <w:rFonts w:eastAsia="Times New Roman"/>
                <w:color w:val="000000"/>
                <w:sz w:val="16"/>
                <w:szCs w:val="16"/>
              </w:rPr>
            </w:pPr>
            <w:r>
              <w:rPr>
                <w:rFonts w:eastAsia="Times New Roman"/>
                <w:color w:val="000000"/>
                <w:sz w:val="16"/>
                <w:szCs w:val="16"/>
              </w:rPr>
              <w:t>0.35</w:t>
            </w:r>
            <w:r w:rsidRPr="00392BB7">
              <w:rPr>
                <w:rFonts w:eastAsia="Times New Roman"/>
                <w:color w:val="000000"/>
                <w:sz w:val="16"/>
                <w:szCs w:val="16"/>
              </w:rPr>
              <w:t>–</w:t>
            </w:r>
            <w:r>
              <w:rPr>
                <w:rFonts w:eastAsia="Times New Roman"/>
                <w:color w:val="000000"/>
                <w:sz w:val="16"/>
                <w:szCs w:val="16"/>
              </w:rPr>
              <w:t>20 IU/ml: 9/349</w:t>
            </w:r>
          </w:p>
          <w:p w:rsidR="00EE19F4" w:rsidRPr="00392BB7" w:rsidRDefault="00EE19F4" w:rsidP="00EE19F4">
            <w:pPr>
              <w:spacing w:line="240" w:lineRule="auto"/>
              <w:rPr>
                <w:rFonts w:eastAsia="Times New Roman"/>
                <w:color w:val="000000"/>
                <w:sz w:val="16"/>
                <w:szCs w:val="16"/>
              </w:rPr>
            </w:pPr>
          </w:p>
        </w:tc>
        <w:tc>
          <w:tcPr>
            <w:tcW w:w="810" w:type="dxa"/>
            <w:shd w:val="clear" w:color="auto" w:fill="auto"/>
            <w:hideMark/>
          </w:tcPr>
          <w:p w:rsidR="00EE19F4" w:rsidRPr="00392BB7" w:rsidRDefault="006E7FE9" w:rsidP="00EE19F4">
            <w:pPr>
              <w:spacing w:line="240" w:lineRule="auto"/>
              <w:rPr>
                <w:rFonts w:eastAsia="Times New Roman"/>
                <w:color w:val="000000"/>
                <w:sz w:val="16"/>
                <w:szCs w:val="16"/>
              </w:rPr>
            </w:pPr>
            <w:r>
              <w:rPr>
                <w:rFonts w:eastAsia="Times New Roman"/>
                <w:color w:val="000000"/>
                <w:sz w:val="16"/>
                <w:szCs w:val="16"/>
              </w:rPr>
              <w:t>5</w:t>
            </w:r>
          </w:p>
        </w:tc>
      </w:tr>
    </w:tbl>
    <w:p w:rsidR="00400F09" w:rsidRDefault="00C529FA" w:rsidP="00C529FA">
      <w:pPr>
        <w:ind w:left="-270"/>
        <w:rPr>
          <w:sz w:val="22"/>
        </w:rPr>
      </w:pPr>
      <w:r>
        <w:fldChar w:fldCharType="end"/>
      </w:r>
      <w:r w:rsidR="00AE18BE">
        <w:rPr>
          <w:sz w:val="22"/>
        </w:rPr>
        <w:t>Note: Assumed lower and upper age bound of 0 and 100 if study did not report the range of ages</w:t>
      </w:r>
    </w:p>
    <w:p w:rsidR="0032780B" w:rsidRDefault="0032780B" w:rsidP="00C529FA">
      <w:pPr>
        <w:ind w:left="-270"/>
        <w:rPr>
          <w:sz w:val="22"/>
        </w:rPr>
      </w:pPr>
      <w:r>
        <w:rPr>
          <w:sz w:val="22"/>
        </w:rPr>
        <w:t xml:space="preserve">* </w:t>
      </w:r>
      <w:r w:rsidR="00304F9D">
        <w:rPr>
          <w:sz w:val="22"/>
        </w:rPr>
        <w:t xml:space="preserve">Study </w:t>
      </w:r>
      <w:r>
        <w:rPr>
          <w:sz w:val="22"/>
        </w:rPr>
        <w:t xml:space="preserve">participants </w:t>
      </w:r>
      <w:r w:rsidR="00304F9D">
        <w:rPr>
          <w:sz w:val="22"/>
        </w:rPr>
        <w:t xml:space="preserve">were </w:t>
      </w:r>
      <w:r>
        <w:rPr>
          <w:sz w:val="22"/>
        </w:rPr>
        <w:t xml:space="preserve">from a clinical trial assessing the efficacy of MVA85A vaccine for preventing tuberculosis. Results showed that the though the vaccine </w:t>
      </w:r>
      <w:r w:rsidR="00304F9D">
        <w:rPr>
          <w:sz w:val="22"/>
        </w:rPr>
        <w:t>wa</w:t>
      </w:r>
      <w:r>
        <w:rPr>
          <w:sz w:val="22"/>
        </w:rPr>
        <w:t>s safe, it was ultimately ineffective in reducing the risk of developing tuberculosis.</w:t>
      </w:r>
      <w:r>
        <w:rPr>
          <w:sz w:val="22"/>
        </w:rPr>
        <w:fldChar w:fldCharType="begin" w:fldLock="1"/>
      </w:r>
      <w:r w:rsidR="009179CE">
        <w:rPr>
          <w:sz w:val="22"/>
        </w:rPr>
        <w:instrText>ADDIN CSL_CITATION {"citationItems":[{"id":"ITEM-1","itemData":{"DOI":"10.1002/14651858.CD012915.pub2","ISSN":"1469-493X","PMID":"31038197","abstract":"BACKGROUND Tuberculosis causes more deaths than any other infectious disease globally. Bacillus Calmette-Guérin (BCG) is the only available vaccine, but protection is incomplete and variable. The modified Vaccinia Ankara virus expressing antigen 85A (MVA85A) is a viral vector vaccine produced to prevent tuberculosis. OBJECTIVES To assess and summarize the effects of the MVA85A vaccine boosting BCG in humans. SEARCH METHODS We searched the Cochrane Infectious Diseases Group Specialized Register; Central Register of Controlled Trials (CENTRAL); MEDLINE (PubMed); Embase (Ovid); and four other databases. We searched the WHO ICTRP and ClinicalTrials.gov. All searches were run up to 10 May 2018. SELECTION CRITERIA We evaluated randomized controlled trials of MVA85A vaccine given with BCG in people regardless of age or HIV status. DATA COLLECTION AND ANALYSIS Two review authors independently assessed the eligibility and risk of bias of trials, and extracted and analyzed data. The primary outcome was active tuberculosis disease. We summarized dichotomous outcomes using risk ratios (RR) and risk differences (RD), with 95% confidence intervals (CI). Where appropriate, we combined data in meta-analyses. Where meta-analysis was inappropriate, we summarized results narratively. MAIN RESULTS The search identified six studies relating to four Phase 2 randomized controlled trials enrolling 3838 participants. Funding was by government bodies, charities, and philanthropic donors. Five studies included infants, one of them infants born to HIV-positive mothers. One study included adults living with HIV. All trials included authors from Oxford University who led the laboratory development of the vaccine. Participants received intradermal MVA85A after BCG in some studies, and before selective deferred BCG in HIV-exposed infants.The largest trial in 2797 African children was well conducted with low risk of bias for most parameters. Risk of bias was uncertain for selective reporting because there were no precise case definition endpoints for active tuberculosis published prior to the trial analysis.MVA85A added to BCG compared to BCG alone probably has no effect on the risk of developing microbiologically confirmed tuberculosis (RR 0.97, 95% CI 0.58 to 1.62; 3439 participants, 2 trials; moderate-certainty evidence), or the risk of starting on tuberculosis treatment (RR 1.10, 95% CI 0.92 to 1.33; 3687 participants, 3 trials; moderate-certainty evidence). MVA85A probably has no …","author":[{"dropping-particle":"","family":"Kashangura","given":"Rufaro","non-dropping-particle":"","parse-names":false,"suffix":""},{"dropping-particle":"","family":"Jullien","given":"Sophie","non-dropping-particle":"","parse-names":false,"suffix":""},{"dropping-particle":"","family":"Garner","given":"Paul","non-dropping-particle":"","parse-names":false,"suffix":""},{"dropping-particle":"","family":"Johnson","given":"Samuel","non-dropping-particle":"","parse-names":false,"suffix":""}],"container-title":"The Cochrane database of systematic reviews","id":"ITEM-1","issued":{"date-parts":[["2019"]]},"page":"CD012915","title":"MVA85A vaccine to enhance BCG for preventing tuberculosis.","type":"article-journal","volume":"4"},"uris":["http://www.mendeley.com/documents/?uuid=3964667c-1545-4df8-bb55-51e1250b9e79"]}],"mendeley":{"formattedCitation":"(35)","plainTextFormattedCitation":"(35)","previouslyFormattedCitation":"[35]"},"properties":{"noteIndex":0},"schema":"https://github.com/citation-style-language/schema/raw/master/csl-citation.json"}</w:instrText>
      </w:r>
      <w:r>
        <w:rPr>
          <w:sz w:val="22"/>
        </w:rPr>
        <w:fldChar w:fldCharType="separate"/>
      </w:r>
      <w:r w:rsidR="009179CE" w:rsidRPr="009179CE">
        <w:rPr>
          <w:noProof/>
          <w:sz w:val="22"/>
        </w:rPr>
        <w:t>(35)</w:t>
      </w:r>
      <w:r>
        <w:rPr>
          <w:sz w:val="22"/>
        </w:rPr>
        <w:fldChar w:fldCharType="end"/>
      </w:r>
    </w:p>
    <w:p w:rsidR="00180407" w:rsidRPr="00AE18BE" w:rsidRDefault="00180407" w:rsidP="00C529FA">
      <w:pPr>
        <w:ind w:left="-270"/>
        <w:rPr>
          <w:sz w:val="22"/>
        </w:rPr>
      </w:pPr>
      <w:r>
        <w:rPr>
          <w:sz w:val="22"/>
        </w:rPr>
        <w:t xml:space="preserve">** Only extracted data among healthy individuals </w:t>
      </w:r>
    </w:p>
    <w:p w:rsidR="00400F09" w:rsidRDefault="00400F09"/>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27183F" w:rsidRDefault="0027183F"/>
    <w:p w:rsidR="00BD7C21" w:rsidRDefault="00BD7C21">
      <w:pPr>
        <w:sectPr w:rsidR="00BD7C21" w:rsidSect="00400F09">
          <w:pgSz w:w="15840" w:h="12240" w:orient="landscape"/>
          <w:pgMar w:top="1440" w:right="1440" w:bottom="1440" w:left="1440" w:header="720" w:footer="720" w:gutter="0"/>
          <w:cols w:space="720"/>
          <w:docGrid w:linePitch="360"/>
        </w:sectPr>
      </w:pPr>
    </w:p>
    <w:p w:rsidR="00BD7C21" w:rsidRDefault="00BD7C21" w:rsidP="00BD7C21">
      <w:pPr>
        <w:rPr>
          <w:b/>
        </w:rPr>
      </w:pPr>
      <w:r w:rsidRPr="005C746D">
        <w:rPr>
          <w:b/>
        </w:rPr>
        <w:lastRenderedPageBreak/>
        <w:t xml:space="preserve">Table </w:t>
      </w:r>
      <w:r>
        <w:rPr>
          <w:b/>
        </w:rPr>
        <w:t>S2</w:t>
      </w:r>
      <w:r w:rsidRPr="005C746D">
        <w:rPr>
          <w:b/>
        </w:rPr>
        <w:t xml:space="preserve">. Search </w:t>
      </w:r>
      <w:r>
        <w:rPr>
          <w:b/>
        </w:rPr>
        <w:t>s</w:t>
      </w:r>
      <w:r w:rsidRPr="005C746D">
        <w:rPr>
          <w:b/>
        </w:rPr>
        <w:t>trategies</w:t>
      </w:r>
    </w:p>
    <w:p w:rsidR="00DB72B2" w:rsidRDefault="00DB72B2"/>
    <w:tbl>
      <w:tblPr>
        <w:tblStyle w:val="TableGrid"/>
        <w:tblpPr w:leftFromText="180" w:rightFromText="180" w:vertAnchor="page" w:horzAnchor="margin" w:tblpY="2269"/>
        <w:tblW w:w="9715" w:type="dxa"/>
        <w:tblLook w:val="04A0" w:firstRow="1" w:lastRow="0" w:firstColumn="1" w:lastColumn="0" w:noHBand="0" w:noVBand="1"/>
      </w:tblPr>
      <w:tblGrid>
        <w:gridCol w:w="2245"/>
        <w:gridCol w:w="7470"/>
      </w:tblGrid>
      <w:tr w:rsidR="00BD7C21" w:rsidRPr="00FE4373" w:rsidTr="002022AF">
        <w:tc>
          <w:tcPr>
            <w:tcW w:w="2245" w:type="dxa"/>
          </w:tcPr>
          <w:p w:rsidR="00BD7C21" w:rsidRPr="00FE4373" w:rsidRDefault="00BD7C21" w:rsidP="002022AF">
            <w:pPr>
              <w:rPr>
                <w:rFonts w:ascii="Times New Roman" w:hAnsi="Times New Roman" w:cs="Times New Roman"/>
                <w:b/>
              </w:rPr>
            </w:pPr>
            <w:r w:rsidRPr="00FE4373">
              <w:rPr>
                <w:rFonts w:ascii="Times New Roman" w:hAnsi="Times New Roman" w:cs="Times New Roman"/>
                <w:b/>
              </w:rPr>
              <w:t>Study type</w:t>
            </w:r>
          </w:p>
        </w:tc>
        <w:tc>
          <w:tcPr>
            <w:tcW w:w="7470" w:type="dxa"/>
          </w:tcPr>
          <w:p w:rsidR="00BD7C21" w:rsidRPr="00FE4373" w:rsidRDefault="00BD7C21" w:rsidP="002022AF">
            <w:pPr>
              <w:rPr>
                <w:rFonts w:ascii="Times New Roman" w:hAnsi="Times New Roman" w:cs="Times New Roman"/>
                <w:b/>
              </w:rPr>
            </w:pPr>
            <w:r w:rsidRPr="00FE4373">
              <w:rPr>
                <w:rFonts w:ascii="Times New Roman" w:hAnsi="Times New Roman" w:cs="Times New Roman"/>
                <w:b/>
              </w:rPr>
              <w:t>Search Terms</w:t>
            </w:r>
          </w:p>
        </w:tc>
      </w:tr>
      <w:tr w:rsidR="00BD7C21" w:rsidRPr="00FE4373" w:rsidTr="002022AF">
        <w:tc>
          <w:tcPr>
            <w:tcW w:w="2245" w:type="dxa"/>
          </w:tcPr>
          <w:p w:rsidR="00BD7C21" w:rsidRPr="00FE4373" w:rsidRDefault="00BD7C21" w:rsidP="002022AF">
            <w:pPr>
              <w:rPr>
                <w:rFonts w:ascii="Times New Roman" w:hAnsi="Times New Roman" w:cs="Times New Roman"/>
              </w:rPr>
            </w:pPr>
            <w:r w:rsidRPr="00FE4373">
              <w:rPr>
                <w:rFonts w:ascii="Times New Roman" w:hAnsi="Times New Roman" w:cs="Times New Roman"/>
              </w:rPr>
              <w:t>Retrospective or prospective cohort studies</w:t>
            </w:r>
          </w:p>
        </w:tc>
        <w:tc>
          <w:tcPr>
            <w:tcW w:w="7470" w:type="dxa"/>
          </w:tcPr>
          <w:p w:rsidR="00BD7C21" w:rsidRDefault="00BD7C21" w:rsidP="002022AF">
            <w:pPr>
              <w:rPr>
                <w:rFonts w:ascii="Times New Roman" w:hAnsi="Times New Roman" w:cs="Times New Roman"/>
              </w:rPr>
            </w:pPr>
            <w:r w:rsidRPr="00612ED1">
              <w:rPr>
                <w:rFonts w:ascii="Times New Roman" w:hAnsi="Times New Roman" w:cs="Times New Roman"/>
                <w:u w:val="single"/>
              </w:rPr>
              <w:t>PubMed search terms</w:t>
            </w:r>
            <w:r w:rsidRPr="00FE4373">
              <w:rPr>
                <w:rFonts w:ascii="Times New Roman" w:hAnsi="Times New Roman" w:cs="Times New Roman"/>
              </w:rPr>
              <w:t>: (“Interferon-gamma Release Tests”[</w:t>
            </w:r>
            <w:proofErr w:type="spellStart"/>
            <w:r w:rsidRPr="00FE4373">
              <w:rPr>
                <w:rFonts w:ascii="Times New Roman" w:hAnsi="Times New Roman" w:cs="Times New Roman"/>
              </w:rPr>
              <w:t>MeSH</w:t>
            </w:r>
            <w:proofErr w:type="spellEnd"/>
            <w:r w:rsidRPr="00FE4373">
              <w:rPr>
                <w:rFonts w:ascii="Times New Roman" w:hAnsi="Times New Roman" w:cs="Times New Roman"/>
              </w:rPr>
              <w:t>] OR “IGRA”[</w:t>
            </w:r>
            <w:proofErr w:type="spellStart"/>
            <w:r w:rsidRPr="00FE4373">
              <w:rPr>
                <w:rFonts w:ascii="Times New Roman" w:hAnsi="Times New Roman" w:cs="Times New Roman"/>
              </w:rPr>
              <w:t>tiab</w:t>
            </w:r>
            <w:proofErr w:type="spellEnd"/>
            <w:r w:rsidRPr="00FE4373">
              <w:rPr>
                <w:rFonts w:ascii="Times New Roman" w:hAnsi="Times New Roman" w:cs="Times New Roman"/>
              </w:rPr>
              <w:t>] OR "interferon-gamma release assay*"[</w:t>
            </w:r>
            <w:proofErr w:type="spellStart"/>
            <w:r w:rsidRPr="00FE4373">
              <w:rPr>
                <w:rFonts w:ascii="Times New Roman" w:hAnsi="Times New Roman" w:cs="Times New Roman"/>
              </w:rPr>
              <w:t>tiab</w:t>
            </w:r>
            <w:proofErr w:type="spellEnd"/>
            <w:r w:rsidRPr="00FE4373">
              <w:rPr>
                <w:rFonts w:ascii="Times New Roman" w:hAnsi="Times New Roman" w:cs="Times New Roman"/>
              </w:rPr>
              <w:t>] OR "</w:t>
            </w:r>
            <w:proofErr w:type="spellStart"/>
            <w:r w:rsidRPr="00FE4373">
              <w:rPr>
                <w:rFonts w:ascii="Times New Roman" w:hAnsi="Times New Roman" w:cs="Times New Roman"/>
              </w:rPr>
              <w:t>Quantiferon</w:t>
            </w:r>
            <w:proofErr w:type="spellEnd"/>
            <w:r w:rsidRPr="00FE4373">
              <w:rPr>
                <w:rFonts w:ascii="Times New Roman" w:hAnsi="Times New Roman" w:cs="Times New Roman"/>
              </w:rPr>
              <w:t>*"[</w:t>
            </w:r>
            <w:proofErr w:type="spellStart"/>
            <w:r w:rsidRPr="00FE4373">
              <w:rPr>
                <w:rFonts w:ascii="Times New Roman" w:hAnsi="Times New Roman" w:cs="Times New Roman"/>
              </w:rPr>
              <w:t>tiab</w:t>
            </w:r>
            <w:proofErr w:type="spellEnd"/>
            <w:r w:rsidRPr="00FE4373">
              <w:rPr>
                <w:rFonts w:ascii="Times New Roman" w:hAnsi="Times New Roman" w:cs="Times New Roman"/>
              </w:rPr>
              <w:t>] OR "QFT"[</w:t>
            </w:r>
            <w:proofErr w:type="spellStart"/>
            <w:r w:rsidRPr="00FE4373">
              <w:rPr>
                <w:rFonts w:ascii="Times New Roman" w:hAnsi="Times New Roman" w:cs="Times New Roman"/>
              </w:rPr>
              <w:t>tiab</w:t>
            </w:r>
            <w:proofErr w:type="spellEnd"/>
            <w:r w:rsidRPr="00FE4373">
              <w:rPr>
                <w:rFonts w:ascii="Times New Roman" w:hAnsi="Times New Roman" w:cs="Times New Roman"/>
              </w:rPr>
              <w:t>] OR "Interferon-gamma release test*"[</w:t>
            </w:r>
            <w:proofErr w:type="spellStart"/>
            <w:r w:rsidRPr="00FE4373">
              <w:rPr>
                <w:rFonts w:ascii="Times New Roman" w:hAnsi="Times New Roman" w:cs="Times New Roman"/>
              </w:rPr>
              <w:t>tiab</w:t>
            </w:r>
            <w:proofErr w:type="spellEnd"/>
            <w:r w:rsidRPr="00FE4373">
              <w:rPr>
                <w:rFonts w:ascii="Times New Roman" w:hAnsi="Times New Roman" w:cs="Times New Roman"/>
              </w:rPr>
              <w:t>]) AND ("reactivation"[</w:t>
            </w:r>
            <w:proofErr w:type="spellStart"/>
            <w:r w:rsidRPr="00FE4373">
              <w:rPr>
                <w:rFonts w:ascii="Times New Roman" w:hAnsi="Times New Roman" w:cs="Times New Roman"/>
              </w:rPr>
              <w:t>tiab</w:t>
            </w:r>
            <w:proofErr w:type="spellEnd"/>
            <w:r w:rsidRPr="00FE4373">
              <w:rPr>
                <w:rFonts w:ascii="Times New Roman" w:hAnsi="Times New Roman" w:cs="Times New Roman"/>
              </w:rPr>
              <w:t>] OR "reactivity"[</w:t>
            </w:r>
            <w:proofErr w:type="spellStart"/>
            <w:r w:rsidRPr="00FE4373">
              <w:rPr>
                <w:rFonts w:ascii="Times New Roman" w:hAnsi="Times New Roman" w:cs="Times New Roman"/>
              </w:rPr>
              <w:t>tiab</w:t>
            </w:r>
            <w:proofErr w:type="spellEnd"/>
            <w:r w:rsidRPr="00FE4373">
              <w:rPr>
                <w:rFonts w:ascii="Times New Roman" w:hAnsi="Times New Roman" w:cs="Times New Roman"/>
              </w:rPr>
              <w:t>] OR "activation"[</w:t>
            </w:r>
            <w:proofErr w:type="spellStart"/>
            <w:r w:rsidRPr="00FE4373">
              <w:rPr>
                <w:rFonts w:ascii="Times New Roman" w:hAnsi="Times New Roman" w:cs="Times New Roman"/>
              </w:rPr>
              <w:t>tiab</w:t>
            </w:r>
            <w:proofErr w:type="spellEnd"/>
            <w:r w:rsidRPr="00FE4373">
              <w:rPr>
                <w:rFonts w:ascii="Times New Roman" w:hAnsi="Times New Roman" w:cs="Times New Roman"/>
              </w:rPr>
              <w:t>] OR "predictive"[</w:t>
            </w:r>
            <w:proofErr w:type="spellStart"/>
            <w:r w:rsidRPr="00FE4373">
              <w:rPr>
                <w:rFonts w:ascii="Times New Roman" w:hAnsi="Times New Roman" w:cs="Times New Roman"/>
              </w:rPr>
              <w:t>tiab</w:t>
            </w:r>
            <w:proofErr w:type="spellEnd"/>
            <w:r w:rsidRPr="00FE4373">
              <w:rPr>
                <w:rFonts w:ascii="Times New Roman" w:hAnsi="Times New Roman" w:cs="Times New Roman"/>
              </w:rPr>
              <w:t>] OR "risk"[</w:t>
            </w:r>
            <w:proofErr w:type="spellStart"/>
            <w:r w:rsidRPr="00FE4373">
              <w:rPr>
                <w:rFonts w:ascii="Times New Roman" w:hAnsi="Times New Roman" w:cs="Times New Roman"/>
              </w:rPr>
              <w:t>tiab</w:t>
            </w:r>
            <w:proofErr w:type="spellEnd"/>
            <w:r w:rsidRPr="00FE4373">
              <w:rPr>
                <w:rFonts w:ascii="Times New Roman" w:hAnsi="Times New Roman" w:cs="Times New Roman"/>
              </w:rPr>
              <w:t>]) AND ("tuberculosis"[</w:t>
            </w:r>
            <w:proofErr w:type="spellStart"/>
            <w:r w:rsidRPr="00FE4373">
              <w:rPr>
                <w:rFonts w:ascii="Times New Roman" w:hAnsi="Times New Roman" w:cs="Times New Roman"/>
              </w:rPr>
              <w:t>MeSH</w:t>
            </w:r>
            <w:proofErr w:type="spellEnd"/>
            <w:r w:rsidRPr="00FE4373">
              <w:rPr>
                <w:rFonts w:ascii="Times New Roman" w:hAnsi="Times New Roman" w:cs="Times New Roman"/>
              </w:rPr>
              <w:t>] OR "tuberculosis"[</w:t>
            </w:r>
            <w:proofErr w:type="spellStart"/>
            <w:r w:rsidRPr="00FE4373">
              <w:rPr>
                <w:rFonts w:ascii="Times New Roman" w:hAnsi="Times New Roman" w:cs="Times New Roman"/>
              </w:rPr>
              <w:t>tiab</w:t>
            </w:r>
            <w:proofErr w:type="spellEnd"/>
            <w:r w:rsidRPr="00FE4373">
              <w:rPr>
                <w:rFonts w:ascii="Times New Roman" w:hAnsi="Times New Roman" w:cs="Times New Roman"/>
              </w:rPr>
              <w:t>]) AND ("prospective"[</w:t>
            </w:r>
            <w:proofErr w:type="spellStart"/>
            <w:r w:rsidRPr="00FE4373">
              <w:rPr>
                <w:rFonts w:ascii="Times New Roman" w:hAnsi="Times New Roman" w:cs="Times New Roman"/>
              </w:rPr>
              <w:t>tiab</w:t>
            </w:r>
            <w:proofErr w:type="spellEnd"/>
            <w:r w:rsidRPr="00FE4373">
              <w:rPr>
                <w:rFonts w:ascii="Times New Roman" w:hAnsi="Times New Roman" w:cs="Times New Roman"/>
              </w:rPr>
              <w:t>] OR "cohort"[</w:t>
            </w:r>
            <w:proofErr w:type="spellStart"/>
            <w:r w:rsidRPr="00FE4373">
              <w:rPr>
                <w:rFonts w:ascii="Times New Roman" w:hAnsi="Times New Roman" w:cs="Times New Roman"/>
              </w:rPr>
              <w:t>tiab</w:t>
            </w:r>
            <w:proofErr w:type="spellEnd"/>
            <w:r w:rsidRPr="00FE4373">
              <w:rPr>
                <w:rFonts w:ascii="Times New Roman" w:hAnsi="Times New Roman" w:cs="Times New Roman"/>
              </w:rPr>
              <w:t>] OR "follow up"[</w:t>
            </w:r>
            <w:proofErr w:type="spellStart"/>
            <w:r w:rsidRPr="00FE4373">
              <w:rPr>
                <w:rFonts w:ascii="Times New Roman" w:hAnsi="Times New Roman" w:cs="Times New Roman"/>
              </w:rPr>
              <w:t>tiab</w:t>
            </w:r>
            <w:proofErr w:type="spellEnd"/>
            <w:r w:rsidRPr="00FE4373">
              <w:rPr>
                <w:rFonts w:ascii="Times New Roman" w:hAnsi="Times New Roman" w:cs="Times New Roman"/>
              </w:rPr>
              <w:t>]) (“2001/01/01”[PDAT] : "2020/05/10"[PDAT])</w:t>
            </w:r>
          </w:p>
          <w:p w:rsidR="00BD7C21" w:rsidRPr="00FE4373" w:rsidRDefault="00BD7C21" w:rsidP="002022AF">
            <w:pPr>
              <w:rPr>
                <w:rFonts w:ascii="Times New Roman" w:hAnsi="Times New Roman" w:cs="Times New Roman"/>
              </w:rPr>
            </w:pPr>
          </w:p>
          <w:p w:rsidR="00BD7C21" w:rsidRPr="00FE4373" w:rsidRDefault="00BD7C21" w:rsidP="002022AF">
            <w:pPr>
              <w:rPr>
                <w:rFonts w:ascii="Times New Roman" w:hAnsi="Times New Roman" w:cs="Times New Roman"/>
                <w:color w:val="000000"/>
              </w:rPr>
            </w:pPr>
            <w:proofErr w:type="spellStart"/>
            <w:r w:rsidRPr="00612ED1">
              <w:rPr>
                <w:rFonts w:ascii="Times New Roman" w:hAnsi="Times New Roman" w:cs="Times New Roman"/>
                <w:u w:val="single"/>
              </w:rPr>
              <w:t>Embase</w:t>
            </w:r>
            <w:proofErr w:type="spellEnd"/>
            <w:r w:rsidRPr="00612ED1">
              <w:rPr>
                <w:rFonts w:ascii="Times New Roman" w:hAnsi="Times New Roman" w:cs="Times New Roman"/>
                <w:u w:val="single"/>
              </w:rPr>
              <w:t xml:space="preserve"> search terms</w:t>
            </w:r>
            <w:r w:rsidRPr="00FE4373">
              <w:rPr>
                <w:rFonts w:ascii="Times New Roman" w:hAnsi="Times New Roman" w:cs="Times New Roman"/>
              </w:rPr>
              <w:t xml:space="preserve">: </w:t>
            </w:r>
            <w:r w:rsidRPr="00FE4373">
              <w:rPr>
                <w:rFonts w:ascii="Times New Roman" w:hAnsi="Times New Roman" w:cs="Times New Roman"/>
                <w:color w:val="000000"/>
              </w:rPr>
              <w:t>(‘Interferon-gamma Release Tests’/de OR ‘IGRA’:</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‘interferon-gamma release assay*’:</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w:t>
            </w:r>
            <w:proofErr w:type="spellStart"/>
            <w:r w:rsidRPr="00FE4373">
              <w:rPr>
                <w:rFonts w:ascii="Times New Roman" w:hAnsi="Times New Roman" w:cs="Times New Roman"/>
                <w:color w:val="000000"/>
              </w:rPr>
              <w:t>Quantiferon</w:t>
            </w:r>
            <w:proofErr w:type="spellEnd"/>
            <w:r w:rsidRPr="00FE4373">
              <w:rPr>
                <w:rFonts w:ascii="Times New Roman" w:hAnsi="Times New Roman" w:cs="Times New Roman"/>
                <w:color w:val="000000"/>
              </w:rPr>
              <w:t>*’:</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‘QFT’:</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‘Interferon-gamma release test*’:</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AND (‘reactivation’:</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‘reactivity’:</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‘activation’:</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‘predictive’:</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‘risk’:</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AND (‘tuberculosis’/de OR ‘tuberculosis’:</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AND (‘prospective’:</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‘cohort’:</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xml:space="preserve"> OR ‘follow up’:</w:t>
            </w:r>
            <w:proofErr w:type="spellStart"/>
            <w:r w:rsidRPr="00FE4373">
              <w:rPr>
                <w:rFonts w:ascii="Times New Roman" w:hAnsi="Times New Roman" w:cs="Times New Roman"/>
                <w:color w:val="000000"/>
              </w:rPr>
              <w:t>ab,ti</w:t>
            </w:r>
            <w:proofErr w:type="spellEnd"/>
            <w:r w:rsidRPr="00FE4373">
              <w:rPr>
                <w:rFonts w:ascii="Times New Roman" w:hAnsi="Times New Roman" w:cs="Times New Roman"/>
                <w:color w:val="000000"/>
              </w:rPr>
              <w:t>) AND [1-1-2001]/</w:t>
            </w:r>
            <w:proofErr w:type="spellStart"/>
            <w:r w:rsidRPr="00FE4373">
              <w:rPr>
                <w:rFonts w:ascii="Times New Roman" w:hAnsi="Times New Roman" w:cs="Times New Roman"/>
                <w:color w:val="000000"/>
              </w:rPr>
              <w:t>sd</w:t>
            </w:r>
            <w:proofErr w:type="spellEnd"/>
            <w:r w:rsidRPr="00FE4373">
              <w:rPr>
                <w:rFonts w:ascii="Times New Roman" w:hAnsi="Times New Roman" w:cs="Times New Roman"/>
                <w:color w:val="000000"/>
              </w:rPr>
              <w:t xml:space="preserve"> NOT [5-10-2020]/</w:t>
            </w:r>
            <w:proofErr w:type="spellStart"/>
            <w:r w:rsidRPr="00FE4373">
              <w:rPr>
                <w:rFonts w:ascii="Times New Roman" w:hAnsi="Times New Roman" w:cs="Times New Roman"/>
                <w:color w:val="000000"/>
              </w:rPr>
              <w:t>sd</w:t>
            </w:r>
            <w:proofErr w:type="spellEnd"/>
          </w:p>
          <w:p w:rsidR="00BD7C21" w:rsidRPr="00FE4373" w:rsidRDefault="00BD7C21" w:rsidP="002022AF">
            <w:pPr>
              <w:rPr>
                <w:rFonts w:ascii="Times New Roman" w:hAnsi="Times New Roman" w:cs="Times New Roman"/>
                <w:b/>
              </w:rPr>
            </w:pPr>
          </w:p>
          <w:p w:rsidR="00BD7C21" w:rsidRPr="00FE4373" w:rsidRDefault="00BD7C21" w:rsidP="002022AF">
            <w:pPr>
              <w:rPr>
                <w:rFonts w:ascii="Times New Roman" w:hAnsi="Times New Roman" w:cs="Times New Roman"/>
              </w:rPr>
            </w:pPr>
          </w:p>
        </w:tc>
      </w:tr>
    </w:tbl>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p w:rsidR="00BD7C21" w:rsidRDefault="00BD7C21" w:rsidP="00BD7C21">
      <w:pPr>
        <w:rPr>
          <w:b/>
        </w:rPr>
      </w:pPr>
      <w:r>
        <w:rPr>
          <w:b/>
        </w:rPr>
        <w:lastRenderedPageBreak/>
        <w:t>Table S3</w:t>
      </w:r>
      <w:r w:rsidRPr="005C746D">
        <w:rPr>
          <w:b/>
        </w:rPr>
        <w:t>. Newcastle-Ottawa quality assessment scale adopted for quality assessment</w:t>
      </w:r>
    </w:p>
    <w:p w:rsidR="00BD7C21" w:rsidRDefault="00BD7C21"/>
    <w:tbl>
      <w:tblPr>
        <w:tblW w:w="11340" w:type="dxa"/>
        <w:tblInd w:w="-1085" w:type="dxa"/>
        <w:tblLook w:val="04A0" w:firstRow="1" w:lastRow="0" w:firstColumn="1" w:lastColumn="0" w:noHBand="0" w:noVBand="1"/>
      </w:tblPr>
      <w:tblGrid>
        <w:gridCol w:w="1980"/>
        <w:gridCol w:w="1950"/>
        <w:gridCol w:w="2280"/>
        <w:gridCol w:w="5130"/>
      </w:tblGrid>
      <w:tr w:rsidR="00BD7C21" w:rsidRPr="00C04625" w:rsidTr="00BD7C21">
        <w:trPr>
          <w:trHeight w:val="283"/>
        </w:trPr>
        <w:tc>
          <w:tcPr>
            <w:tcW w:w="1980" w:type="dxa"/>
            <w:tcBorders>
              <w:top w:val="single" w:sz="4" w:space="0" w:color="auto"/>
              <w:left w:val="single" w:sz="4" w:space="0" w:color="auto"/>
              <w:bottom w:val="single" w:sz="4" w:space="0" w:color="auto"/>
              <w:right w:val="nil"/>
            </w:tcBorders>
            <w:shd w:val="clear" w:color="auto" w:fill="auto"/>
            <w:noWrap/>
            <w:vAlign w:val="bottom"/>
            <w:hideMark/>
          </w:tcPr>
          <w:p w:rsidR="00BD7C21" w:rsidRPr="00C04625" w:rsidRDefault="00BD7C21" w:rsidP="002022AF">
            <w:pPr>
              <w:spacing w:line="240" w:lineRule="auto"/>
              <w:jc w:val="center"/>
              <w:rPr>
                <w:rFonts w:eastAsia="Times New Roman"/>
                <w:b/>
                <w:bCs/>
                <w:color w:val="000000"/>
              </w:rPr>
            </w:pPr>
            <w:r w:rsidRPr="00C04625">
              <w:rPr>
                <w:rFonts w:eastAsia="Times New Roman"/>
                <w:b/>
                <w:bCs/>
                <w:color w:val="000000"/>
              </w:rPr>
              <w:t>Criteria Number</w:t>
            </w:r>
          </w:p>
        </w:tc>
        <w:tc>
          <w:tcPr>
            <w:tcW w:w="1950" w:type="dxa"/>
            <w:tcBorders>
              <w:top w:val="single" w:sz="4" w:space="0" w:color="auto"/>
              <w:left w:val="nil"/>
              <w:bottom w:val="single" w:sz="4" w:space="0" w:color="auto"/>
              <w:right w:val="nil"/>
            </w:tcBorders>
            <w:shd w:val="clear" w:color="auto" w:fill="auto"/>
            <w:noWrap/>
            <w:vAlign w:val="bottom"/>
            <w:hideMark/>
          </w:tcPr>
          <w:p w:rsidR="00BD7C21" w:rsidRPr="00C04625" w:rsidRDefault="00BD7C21" w:rsidP="002022AF">
            <w:pPr>
              <w:spacing w:line="240" w:lineRule="auto"/>
              <w:jc w:val="center"/>
              <w:rPr>
                <w:rFonts w:eastAsia="Times New Roman"/>
                <w:b/>
                <w:bCs/>
                <w:color w:val="000000"/>
              </w:rPr>
            </w:pPr>
            <w:r w:rsidRPr="00C04625">
              <w:rPr>
                <w:rFonts w:eastAsia="Times New Roman"/>
                <w:b/>
                <w:bCs/>
                <w:color w:val="000000"/>
              </w:rPr>
              <w:t>Criteria Domain</w:t>
            </w:r>
          </w:p>
        </w:tc>
        <w:tc>
          <w:tcPr>
            <w:tcW w:w="2280" w:type="dxa"/>
            <w:tcBorders>
              <w:top w:val="single" w:sz="4" w:space="0" w:color="auto"/>
              <w:left w:val="nil"/>
              <w:bottom w:val="single" w:sz="4" w:space="0" w:color="auto"/>
              <w:right w:val="nil"/>
            </w:tcBorders>
            <w:shd w:val="clear" w:color="auto" w:fill="auto"/>
            <w:noWrap/>
            <w:vAlign w:val="bottom"/>
            <w:hideMark/>
          </w:tcPr>
          <w:p w:rsidR="00BD7C21" w:rsidRPr="00C04625" w:rsidRDefault="00BD7C21" w:rsidP="002022AF">
            <w:pPr>
              <w:spacing w:line="240" w:lineRule="auto"/>
              <w:jc w:val="center"/>
              <w:rPr>
                <w:rFonts w:eastAsia="Times New Roman"/>
                <w:b/>
                <w:bCs/>
                <w:color w:val="000000"/>
              </w:rPr>
            </w:pPr>
            <w:r w:rsidRPr="00C04625">
              <w:rPr>
                <w:rFonts w:eastAsia="Times New Roman"/>
                <w:b/>
                <w:bCs/>
                <w:color w:val="000000"/>
              </w:rPr>
              <w:t>Criteria</w:t>
            </w:r>
          </w:p>
        </w:tc>
        <w:tc>
          <w:tcPr>
            <w:tcW w:w="5130" w:type="dxa"/>
            <w:tcBorders>
              <w:top w:val="single" w:sz="4" w:space="0" w:color="auto"/>
              <w:left w:val="nil"/>
              <w:bottom w:val="single" w:sz="4" w:space="0" w:color="auto"/>
              <w:right w:val="single" w:sz="4" w:space="0" w:color="auto"/>
            </w:tcBorders>
            <w:shd w:val="clear" w:color="auto" w:fill="auto"/>
            <w:noWrap/>
            <w:vAlign w:val="bottom"/>
            <w:hideMark/>
          </w:tcPr>
          <w:p w:rsidR="00BD7C21" w:rsidRPr="00C04625" w:rsidRDefault="00BD7C21" w:rsidP="002022AF">
            <w:pPr>
              <w:spacing w:line="240" w:lineRule="auto"/>
              <w:jc w:val="center"/>
              <w:rPr>
                <w:rFonts w:eastAsia="Times New Roman"/>
                <w:b/>
                <w:bCs/>
                <w:color w:val="000000"/>
              </w:rPr>
            </w:pPr>
            <w:r w:rsidRPr="00C04625">
              <w:rPr>
                <w:rFonts w:eastAsia="Times New Roman"/>
                <w:b/>
                <w:bCs/>
                <w:color w:val="000000"/>
              </w:rPr>
              <w:t>Score</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1</w:t>
            </w:r>
          </w:p>
        </w:tc>
        <w:tc>
          <w:tcPr>
            <w:tcW w:w="195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Cohort selection</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 xml:space="preserve">Representativeness of the exposed cohort </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rPr>
            </w:pPr>
            <w:r w:rsidRPr="00C04625">
              <w:rPr>
                <w:rFonts w:eastAsia="Times New Roman"/>
              </w:rPr>
              <w:t>Truly or somewhat representative of the community (*)</w:t>
            </w:r>
            <w:r w:rsidRPr="00C04625">
              <w:rPr>
                <w:rFonts w:eastAsia="Times New Roman"/>
              </w:rPr>
              <w:br/>
              <w:t>Selected groups</w:t>
            </w:r>
            <w:r w:rsidRPr="00C04625">
              <w:rPr>
                <w:rFonts w:eastAsia="Times New Roman"/>
              </w:rPr>
              <w:br/>
              <w:t>No clear description</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2</w:t>
            </w:r>
          </w:p>
        </w:tc>
        <w:tc>
          <w:tcPr>
            <w:tcW w:w="195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Cohort selection</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Selection of the non-exposed cohort</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Drawn from the same community as exposed cohort (*)</w:t>
            </w:r>
            <w:r w:rsidRPr="00C04625">
              <w:rPr>
                <w:rFonts w:eastAsia="Times New Roman"/>
                <w:color w:val="000000"/>
              </w:rPr>
              <w:br/>
              <w:t>Drawn from a different source</w:t>
            </w:r>
            <w:r w:rsidRPr="00C04625">
              <w:rPr>
                <w:rFonts w:eastAsia="Times New Roman"/>
                <w:color w:val="000000"/>
              </w:rPr>
              <w:br/>
              <w:t>No clear description</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3</w:t>
            </w:r>
          </w:p>
        </w:tc>
        <w:tc>
          <w:tcPr>
            <w:tcW w:w="195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Cohort selection</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Ascertainment of exposure</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Secured records or structured interviews (*)</w:t>
            </w:r>
            <w:r w:rsidRPr="00C04625">
              <w:rPr>
                <w:rFonts w:eastAsia="Times New Roman"/>
                <w:color w:val="000000"/>
              </w:rPr>
              <w:br/>
              <w:t>Written self-report</w:t>
            </w:r>
            <w:r w:rsidRPr="00C04625">
              <w:rPr>
                <w:rFonts w:eastAsia="Times New Roman"/>
                <w:color w:val="000000"/>
              </w:rPr>
              <w:br/>
              <w:t>No clear description</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4</w:t>
            </w:r>
          </w:p>
        </w:tc>
        <w:tc>
          <w:tcPr>
            <w:tcW w:w="195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Cohort selection</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Demonstration that focal outcome was not present at start of study</w:t>
            </w:r>
          </w:p>
        </w:tc>
        <w:tc>
          <w:tcPr>
            <w:tcW w:w="5130" w:type="dxa"/>
            <w:tcBorders>
              <w:top w:val="nil"/>
              <w:left w:val="nil"/>
              <w:bottom w:val="nil"/>
              <w:right w:val="single" w:sz="4" w:space="0" w:color="auto"/>
            </w:tcBorders>
            <w:shd w:val="clear" w:color="auto" w:fill="auto"/>
            <w:hideMark/>
          </w:tcPr>
          <w:p w:rsidR="00BD7C21" w:rsidRPr="00C04625" w:rsidRDefault="00897373" w:rsidP="002022AF">
            <w:pPr>
              <w:spacing w:line="240" w:lineRule="auto"/>
              <w:rPr>
                <w:rFonts w:eastAsia="Times New Roman"/>
                <w:color w:val="000000"/>
              </w:rPr>
            </w:pPr>
            <w:r>
              <w:rPr>
                <w:rFonts w:eastAsia="Times New Roman"/>
                <w:color w:val="000000"/>
              </w:rPr>
              <w:t xml:space="preserve">Excluded participants with baseline TB </w:t>
            </w:r>
            <w:r w:rsidR="00BD7C21" w:rsidRPr="00C04625">
              <w:rPr>
                <w:rFonts w:eastAsia="Times New Roman"/>
                <w:color w:val="000000"/>
              </w:rPr>
              <w:t>(*)</w:t>
            </w:r>
            <w:r w:rsidR="00BD7C21" w:rsidRPr="00C04625">
              <w:rPr>
                <w:rFonts w:eastAsia="Times New Roman"/>
                <w:color w:val="000000"/>
              </w:rPr>
              <w:br/>
              <w:t>No</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5</w:t>
            </w:r>
          </w:p>
        </w:tc>
        <w:tc>
          <w:tcPr>
            <w:tcW w:w="1950" w:type="dxa"/>
            <w:tcBorders>
              <w:top w:val="nil"/>
              <w:left w:val="nil"/>
              <w:bottom w:val="nil"/>
              <w:right w:val="nil"/>
            </w:tcBorders>
            <w:shd w:val="clear" w:color="auto" w:fill="auto"/>
            <w:vAlign w:val="center"/>
            <w:hideMark/>
          </w:tcPr>
          <w:p w:rsidR="00BD7C21" w:rsidRDefault="00BD7C21" w:rsidP="002022AF">
            <w:pPr>
              <w:spacing w:line="240" w:lineRule="auto"/>
              <w:rPr>
                <w:rFonts w:eastAsia="Times New Roman"/>
                <w:color w:val="000000"/>
              </w:rPr>
            </w:pPr>
            <w:r>
              <w:rPr>
                <w:rFonts w:eastAsia="Times New Roman"/>
                <w:color w:val="000000"/>
              </w:rPr>
              <w:t>Comparability</w:t>
            </w:r>
          </w:p>
          <w:p w:rsidR="00BD7C21" w:rsidRPr="00C04625" w:rsidRDefault="00BD7C21" w:rsidP="002022AF">
            <w:pPr>
              <w:spacing w:line="240" w:lineRule="auto"/>
              <w:rPr>
                <w:rFonts w:eastAsia="Times New Roman"/>
                <w:color w:val="000000"/>
              </w:rPr>
            </w:pPr>
            <w:r w:rsidRPr="00C04625">
              <w:rPr>
                <w:rFonts w:eastAsia="Times New Roman"/>
                <w:color w:val="000000"/>
              </w:rPr>
              <w:t>of cohort</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Comparability: study excluded participants with preventative treatment for LTBI</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Yes (*)</w:t>
            </w:r>
            <w:r w:rsidRPr="00C04625">
              <w:rPr>
                <w:rFonts w:eastAsia="Times New Roman"/>
                <w:color w:val="000000"/>
              </w:rPr>
              <w:br/>
              <w:t>No</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6</w:t>
            </w:r>
          </w:p>
        </w:tc>
        <w:tc>
          <w:tcPr>
            <w:tcW w:w="1950" w:type="dxa"/>
            <w:tcBorders>
              <w:top w:val="nil"/>
              <w:left w:val="nil"/>
              <w:bottom w:val="nil"/>
              <w:right w:val="nil"/>
            </w:tcBorders>
            <w:shd w:val="clear" w:color="auto" w:fill="auto"/>
            <w:vAlign w:val="center"/>
            <w:hideMark/>
          </w:tcPr>
          <w:p w:rsidR="00BD7C21" w:rsidRDefault="00BD7C21" w:rsidP="002022AF">
            <w:pPr>
              <w:spacing w:line="240" w:lineRule="auto"/>
              <w:rPr>
                <w:rFonts w:eastAsia="Times New Roman"/>
                <w:color w:val="000000"/>
              </w:rPr>
            </w:pPr>
            <w:r>
              <w:rPr>
                <w:rFonts w:eastAsia="Times New Roman"/>
                <w:color w:val="000000"/>
              </w:rPr>
              <w:t>Comparability</w:t>
            </w:r>
          </w:p>
          <w:p w:rsidR="00BD7C21" w:rsidRPr="00C04625" w:rsidRDefault="00BD7C21" w:rsidP="002022AF">
            <w:pPr>
              <w:spacing w:line="240" w:lineRule="auto"/>
              <w:rPr>
                <w:rFonts w:eastAsia="Times New Roman"/>
                <w:color w:val="000000"/>
              </w:rPr>
            </w:pPr>
            <w:r w:rsidRPr="00C04625">
              <w:rPr>
                <w:rFonts w:eastAsia="Times New Roman"/>
                <w:color w:val="000000"/>
              </w:rPr>
              <w:t>of cohort</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Comparability: study excluded participants with HIV-infection</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Yes (*)</w:t>
            </w:r>
            <w:r w:rsidRPr="00C04625">
              <w:rPr>
                <w:rFonts w:eastAsia="Times New Roman"/>
                <w:color w:val="000000"/>
              </w:rPr>
              <w:br/>
              <w:t>No</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7</w:t>
            </w:r>
          </w:p>
        </w:tc>
        <w:tc>
          <w:tcPr>
            <w:tcW w:w="195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Outcome</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Assessment of outcome</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All TB cases were bacteriologically confirmed (*)</w:t>
            </w:r>
            <w:r w:rsidRPr="00C04625">
              <w:rPr>
                <w:rFonts w:eastAsia="Times New Roman"/>
                <w:color w:val="000000"/>
              </w:rPr>
              <w:br/>
              <w:t>Clinically diagnosed</w:t>
            </w:r>
            <w:r w:rsidRPr="00C04625">
              <w:rPr>
                <w:rFonts w:eastAsia="Times New Roman"/>
                <w:color w:val="000000"/>
              </w:rPr>
              <w:br/>
              <w:t>No clear description</w:t>
            </w:r>
          </w:p>
        </w:tc>
      </w:tr>
      <w:tr w:rsidR="00BD7C21" w:rsidRPr="00C04625" w:rsidTr="00BD7C21">
        <w:trPr>
          <w:trHeight w:val="1001"/>
        </w:trPr>
        <w:tc>
          <w:tcPr>
            <w:tcW w:w="1980" w:type="dxa"/>
            <w:tcBorders>
              <w:top w:val="nil"/>
              <w:left w:val="single" w:sz="4" w:space="0" w:color="auto"/>
              <w:bottom w:val="nil"/>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8</w:t>
            </w:r>
          </w:p>
        </w:tc>
        <w:tc>
          <w:tcPr>
            <w:tcW w:w="195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Outcome</w:t>
            </w:r>
          </w:p>
        </w:tc>
        <w:tc>
          <w:tcPr>
            <w:tcW w:w="2280" w:type="dxa"/>
            <w:tcBorders>
              <w:top w:val="nil"/>
              <w:left w:val="nil"/>
              <w:bottom w:val="nil"/>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Sufficient follow-up for outcome to occur</w:t>
            </w:r>
          </w:p>
        </w:tc>
        <w:tc>
          <w:tcPr>
            <w:tcW w:w="5130" w:type="dxa"/>
            <w:tcBorders>
              <w:top w:val="nil"/>
              <w:left w:val="nil"/>
              <w:bottom w:val="nil"/>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 xml:space="preserve">3 years </w:t>
            </w:r>
            <w:r w:rsidRPr="00C04625">
              <w:rPr>
                <w:rFonts w:eastAsia="Times New Roman"/>
                <w:color w:val="000000"/>
                <w:u w:val="single"/>
              </w:rPr>
              <w:t>&gt;</w:t>
            </w:r>
            <w:r w:rsidRPr="00C04625">
              <w:rPr>
                <w:rFonts w:eastAsia="Times New Roman"/>
                <w:color w:val="000000"/>
              </w:rPr>
              <w:t xml:space="preserve"> (*)</w:t>
            </w:r>
            <w:r w:rsidRPr="00C04625">
              <w:rPr>
                <w:rFonts w:eastAsia="Times New Roman"/>
                <w:color w:val="000000"/>
              </w:rPr>
              <w:br/>
              <w:t>&lt; 3 years</w:t>
            </w:r>
            <w:r w:rsidRPr="00C04625">
              <w:rPr>
                <w:rFonts w:eastAsia="Times New Roman"/>
                <w:color w:val="000000"/>
              </w:rPr>
              <w:br/>
              <w:t>No clear description</w:t>
            </w:r>
          </w:p>
        </w:tc>
      </w:tr>
      <w:tr w:rsidR="00BD7C21" w:rsidRPr="00C04625" w:rsidTr="00BD7C21">
        <w:trPr>
          <w:trHeight w:val="1001"/>
        </w:trPr>
        <w:tc>
          <w:tcPr>
            <w:tcW w:w="1980" w:type="dxa"/>
            <w:tcBorders>
              <w:top w:val="nil"/>
              <w:left w:val="single" w:sz="4" w:space="0" w:color="auto"/>
              <w:bottom w:val="single" w:sz="4" w:space="0" w:color="auto"/>
              <w:right w:val="nil"/>
            </w:tcBorders>
            <w:shd w:val="clear" w:color="auto" w:fill="auto"/>
            <w:vAlign w:val="center"/>
            <w:hideMark/>
          </w:tcPr>
          <w:p w:rsidR="00BD7C21" w:rsidRPr="00C04625" w:rsidRDefault="00BD7C21" w:rsidP="002022AF">
            <w:pPr>
              <w:spacing w:line="240" w:lineRule="auto"/>
              <w:jc w:val="center"/>
              <w:rPr>
                <w:rFonts w:eastAsia="Times New Roman"/>
                <w:color w:val="000000"/>
              </w:rPr>
            </w:pPr>
            <w:r w:rsidRPr="00C04625">
              <w:rPr>
                <w:rFonts w:eastAsia="Times New Roman"/>
                <w:color w:val="000000"/>
              </w:rPr>
              <w:t>9</w:t>
            </w:r>
          </w:p>
        </w:tc>
        <w:tc>
          <w:tcPr>
            <w:tcW w:w="1950" w:type="dxa"/>
            <w:tcBorders>
              <w:top w:val="nil"/>
              <w:left w:val="nil"/>
              <w:bottom w:val="single" w:sz="4" w:space="0" w:color="auto"/>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Outcome</w:t>
            </w:r>
          </w:p>
        </w:tc>
        <w:tc>
          <w:tcPr>
            <w:tcW w:w="2280" w:type="dxa"/>
            <w:tcBorders>
              <w:top w:val="nil"/>
              <w:left w:val="nil"/>
              <w:bottom w:val="single" w:sz="4" w:space="0" w:color="auto"/>
              <w:right w:val="nil"/>
            </w:tcBorders>
            <w:shd w:val="clear" w:color="auto" w:fill="auto"/>
            <w:vAlign w:val="center"/>
            <w:hideMark/>
          </w:tcPr>
          <w:p w:rsidR="00BD7C21" w:rsidRPr="00C04625" w:rsidRDefault="00BD7C21" w:rsidP="002022AF">
            <w:pPr>
              <w:spacing w:line="240" w:lineRule="auto"/>
              <w:rPr>
                <w:rFonts w:eastAsia="Times New Roman"/>
                <w:color w:val="000000"/>
              </w:rPr>
            </w:pPr>
            <w:r w:rsidRPr="00C04625">
              <w:rPr>
                <w:rFonts w:eastAsia="Times New Roman"/>
                <w:color w:val="000000"/>
              </w:rPr>
              <w:t>Adequate follow-up of cohort</w:t>
            </w:r>
          </w:p>
        </w:tc>
        <w:tc>
          <w:tcPr>
            <w:tcW w:w="5130" w:type="dxa"/>
            <w:tcBorders>
              <w:top w:val="nil"/>
              <w:left w:val="nil"/>
              <w:bottom w:val="single" w:sz="4" w:space="0" w:color="auto"/>
              <w:right w:val="single" w:sz="4" w:space="0" w:color="auto"/>
            </w:tcBorders>
            <w:shd w:val="clear" w:color="auto" w:fill="auto"/>
            <w:hideMark/>
          </w:tcPr>
          <w:p w:rsidR="00BD7C21" w:rsidRPr="00C04625" w:rsidRDefault="00BD7C21" w:rsidP="002022AF">
            <w:pPr>
              <w:spacing w:line="240" w:lineRule="auto"/>
              <w:rPr>
                <w:rFonts w:eastAsia="Times New Roman"/>
                <w:color w:val="000000"/>
              </w:rPr>
            </w:pPr>
            <w:r w:rsidRPr="00C04625">
              <w:rPr>
                <w:rFonts w:eastAsia="Times New Roman"/>
                <w:color w:val="000000"/>
              </w:rPr>
              <w:t xml:space="preserve">Loss to follow-up </w:t>
            </w:r>
            <w:r w:rsidRPr="00C04625">
              <w:rPr>
                <w:rFonts w:eastAsia="Times New Roman"/>
                <w:color w:val="000000"/>
                <w:u w:val="single"/>
              </w:rPr>
              <w:t>&lt;</w:t>
            </w:r>
            <w:r w:rsidRPr="00C04625">
              <w:rPr>
                <w:rFonts w:eastAsia="Times New Roman"/>
                <w:color w:val="000000"/>
              </w:rPr>
              <w:t xml:space="preserve"> 20% (*)</w:t>
            </w:r>
            <w:r w:rsidRPr="00C04625">
              <w:rPr>
                <w:rFonts w:eastAsia="Times New Roman"/>
                <w:color w:val="000000"/>
              </w:rPr>
              <w:br/>
              <w:t>Loss to follow-up &gt; 20%</w:t>
            </w:r>
            <w:r w:rsidRPr="00C04625">
              <w:rPr>
                <w:rFonts w:eastAsia="Times New Roman"/>
                <w:color w:val="000000"/>
              </w:rPr>
              <w:br/>
              <w:t>No clear description</w:t>
            </w:r>
          </w:p>
        </w:tc>
      </w:tr>
      <w:tr w:rsidR="00BD7C21" w:rsidRPr="00C04625" w:rsidTr="00BD7C21">
        <w:trPr>
          <w:trHeight w:val="875"/>
        </w:trPr>
        <w:tc>
          <w:tcPr>
            <w:tcW w:w="11340" w:type="dxa"/>
            <w:gridSpan w:val="4"/>
            <w:tcBorders>
              <w:top w:val="single" w:sz="4" w:space="0" w:color="auto"/>
              <w:left w:val="nil"/>
              <w:bottom w:val="nil"/>
              <w:right w:val="nil"/>
            </w:tcBorders>
            <w:shd w:val="clear" w:color="auto" w:fill="auto"/>
            <w:hideMark/>
          </w:tcPr>
          <w:p w:rsidR="00BD7C21" w:rsidRDefault="00BD7C21" w:rsidP="002022AF">
            <w:pPr>
              <w:spacing w:line="240" w:lineRule="auto"/>
              <w:rPr>
                <w:rFonts w:eastAsia="Times New Roman"/>
                <w:color w:val="000000"/>
              </w:rPr>
            </w:pPr>
            <w:r w:rsidRPr="00C04625">
              <w:rPr>
                <w:rFonts w:eastAsia="Times New Roman"/>
                <w:color w:val="000000"/>
              </w:rPr>
              <w:t xml:space="preserve">Note: For studies where the study population was HIV-positive individuals criteria number 6 was not considered instead studies would be awarded 2 points for criteria number 5 if requirements are met. </w:t>
            </w:r>
          </w:p>
          <w:p w:rsidR="00BD7C21" w:rsidRPr="00C04625" w:rsidRDefault="00BD7C21" w:rsidP="002022AF">
            <w:pPr>
              <w:spacing w:line="240" w:lineRule="auto"/>
              <w:rPr>
                <w:rFonts w:eastAsia="Times New Roman"/>
                <w:color w:val="000000"/>
              </w:rPr>
            </w:pPr>
            <w:r w:rsidRPr="00C04625">
              <w:rPr>
                <w:rFonts w:eastAsia="Times New Roman"/>
                <w:color w:val="000000"/>
              </w:rPr>
              <w:t>Answers with a (*) indicate that study quality improved, while answers without the (*) indicate no improvement in quality.</w:t>
            </w:r>
          </w:p>
        </w:tc>
      </w:tr>
    </w:tbl>
    <w:p w:rsidR="00BD7C21" w:rsidRDefault="00BD7C21"/>
    <w:p w:rsidR="0044541C" w:rsidRDefault="0044541C"/>
    <w:p w:rsidR="00F774BD" w:rsidRDefault="00F774BD"/>
    <w:p w:rsidR="00F774BD" w:rsidRDefault="00F774BD"/>
    <w:p w:rsidR="00524D96" w:rsidRDefault="00524D96"/>
    <w:p w:rsidR="00994592" w:rsidRDefault="00994592" w:rsidP="00994592">
      <w:pPr>
        <w:rPr>
          <w:b/>
        </w:rPr>
      </w:pPr>
      <w:r>
        <w:rPr>
          <w:b/>
        </w:rPr>
        <w:lastRenderedPageBreak/>
        <w:t>Figure S1: Sensitivity analysis results (comparing time to incident TB of 2</w:t>
      </w:r>
      <w:r w:rsidR="00FD1321">
        <w:rPr>
          <w:b/>
        </w:rPr>
        <w:t xml:space="preserve"> or 3 months</w:t>
      </w:r>
      <w:r w:rsidR="00B35A7C">
        <w:rPr>
          <w:b/>
        </w:rPr>
        <w:t xml:space="preserve"> (N=9)</w:t>
      </w:r>
      <w:r w:rsidR="00FD1321">
        <w:rPr>
          <w:b/>
        </w:rPr>
        <w:t xml:space="preserve"> </w:t>
      </w:r>
      <w:r>
        <w:rPr>
          <w:b/>
        </w:rPr>
        <w:t>to 6 months or more</w:t>
      </w:r>
      <w:r w:rsidR="00B35A7C">
        <w:rPr>
          <w:b/>
        </w:rPr>
        <w:t xml:space="preserve"> (N=11)</w:t>
      </w:r>
      <w:r>
        <w:rPr>
          <w:b/>
        </w:rPr>
        <w:t>)</w:t>
      </w:r>
    </w:p>
    <w:p w:rsidR="00B46D8A" w:rsidRDefault="00B46D8A" w:rsidP="00994592">
      <w:pPr>
        <w:rPr>
          <w:b/>
        </w:rPr>
      </w:pPr>
      <w:r>
        <w:rPr>
          <w:noProof/>
        </w:rPr>
        <w:drawing>
          <wp:anchor distT="0" distB="0" distL="114300" distR="114300" simplePos="0" relativeHeight="251662336" behindDoc="0" locked="0" layoutInCell="1" allowOverlap="1">
            <wp:simplePos x="0" y="0"/>
            <wp:positionH relativeFrom="margin">
              <wp:align>right</wp:align>
            </wp:positionH>
            <wp:positionV relativeFrom="paragraph">
              <wp:posOffset>12972</wp:posOffset>
            </wp:positionV>
            <wp:extent cx="6357257" cy="2938872"/>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57257" cy="2938872"/>
                    </a:xfrm>
                    <a:prstGeom prst="rect">
                      <a:avLst/>
                    </a:prstGeom>
                  </pic:spPr>
                </pic:pic>
              </a:graphicData>
            </a:graphic>
            <wp14:sizeRelH relativeFrom="margin">
              <wp14:pctWidth>0</wp14:pctWidth>
            </wp14:sizeRelH>
            <wp14:sizeRelV relativeFrom="margin">
              <wp14:pctHeight>0</wp14:pctHeight>
            </wp14:sizeRelV>
          </wp:anchor>
        </w:drawing>
      </w: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Default="00B46D8A" w:rsidP="00994592">
      <w:pPr>
        <w:rPr>
          <w:b/>
        </w:rPr>
      </w:pPr>
    </w:p>
    <w:p w:rsidR="00B46D8A" w:rsidRPr="00524D96" w:rsidRDefault="00B46D8A" w:rsidP="00994592">
      <w:pPr>
        <w:rPr>
          <w:b/>
        </w:rPr>
      </w:pPr>
    </w:p>
    <w:p w:rsidR="00994592" w:rsidRDefault="00994592">
      <w:pPr>
        <w:rPr>
          <w:b/>
        </w:rPr>
      </w:pPr>
    </w:p>
    <w:p w:rsidR="00FD1321" w:rsidRDefault="00FD1321">
      <w:pPr>
        <w:rPr>
          <w:sz w:val="18"/>
        </w:rPr>
      </w:pPr>
    </w:p>
    <w:p w:rsidR="00994592" w:rsidRPr="00FD1321" w:rsidRDefault="00994592">
      <w:pPr>
        <w:rPr>
          <w:sz w:val="18"/>
        </w:rPr>
      </w:pPr>
      <w:r w:rsidRPr="00FD1321">
        <w:rPr>
          <w:sz w:val="18"/>
        </w:rPr>
        <w:t xml:space="preserve">Note: Studies were stratified by whether the first incident TB case was between 2 and 3 months or 6 months </w:t>
      </w:r>
    </w:p>
    <w:p w:rsidR="00994592" w:rsidRDefault="00994592">
      <w:pPr>
        <w:rPr>
          <w:b/>
        </w:rPr>
      </w:pPr>
    </w:p>
    <w:p w:rsidR="00B46D8A" w:rsidRDefault="00B46D8A" w:rsidP="00FD1321">
      <w:pPr>
        <w:rPr>
          <w:b/>
        </w:rPr>
      </w:pPr>
    </w:p>
    <w:p w:rsidR="00B46D8A" w:rsidRDefault="00B46D8A" w:rsidP="00FD1321">
      <w:pPr>
        <w:rPr>
          <w:b/>
        </w:rPr>
      </w:pPr>
    </w:p>
    <w:p w:rsidR="00FD1321" w:rsidRPr="00524D96" w:rsidRDefault="00FD1321" w:rsidP="00FD1321">
      <w:pPr>
        <w:rPr>
          <w:b/>
        </w:rPr>
      </w:pPr>
      <w:r>
        <w:rPr>
          <w:b/>
        </w:rPr>
        <w:t>Figure S2: Sensitivity analysis results (comparing bacteriologically confirmed TB</w:t>
      </w:r>
      <w:r w:rsidR="00B35A7C">
        <w:rPr>
          <w:b/>
        </w:rPr>
        <w:t xml:space="preserve"> (N=10)</w:t>
      </w:r>
      <w:r>
        <w:rPr>
          <w:b/>
        </w:rPr>
        <w:t xml:space="preserve"> to clinically confirmed TB</w:t>
      </w:r>
      <w:r w:rsidR="00B35A7C">
        <w:rPr>
          <w:b/>
        </w:rPr>
        <w:t xml:space="preserve"> (N=11)</w:t>
      </w:r>
      <w:r>
        <w:rPr>
          <w:b/>
        </w:rPr>
        <w:t>)</w:t>
      </w:r>
    </w:p>
    <w:p w:rsidR="00994592" w:rsidRDefault="00994592">
      <w:pPr>
        <w:rPr>
          <w:b/>
        </w:rPr>
      </w:pPr>
    </w:p>
    <w:p w:rsidR="00994592" w:rsidRDefault="00B46D8A">
      <w:pPr>
        <w:rPr>
          <w:b/>
        </w:rPr>
      </w:pPr>
      <w:r>
        <w:rPr>
          <w:noProof/>
        </w:rPr>
        <w:drawing>
          <wp:anchor distT="0" distB="0" distL="114300" distR="114300" simplePos="0" relativeHeight="251663360" behindDoc="0" locked="0" layoutInCell="1" allowOverlap="1">
            <wp:simplePos x="0" y="0"/>
            <wp:positionH relativeFrom="margin">
              <wp:align>center</wp:align>
            </wp:positionH>
            <wp:positionV relativeFrom="paragraph">
              <wp:posOffset>104140</wp:posOffset>
            </wp:positionV>
            <wp:extent cx="6286500" cy="2912208"/>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0" cy="2912208"/>
                    </a:xfrm>
                    <a:prstGeom prst="rect">
                      <a:avLst/>
                    </a:prstGeom>
                  </pic:spPr>
                </pic:pic>
              </a:graphicData>
            </a:graphic>
            <wp14:sizeRelH relativeFrom="margin">
              <wp14:pctWidth>0</wp14:pctWidth>
            </wp14:sizeRelH>
            <wp14:sizeRelV relativeFrom="margin">
              <wp14:pctHeight>0</wp14:pctHeight>
            </wp14:sizeRelV>
          </wp:anchor>
        </w:drawing>
      </w:r>
    </w:p>
    <w:p w:rsidR="00994592" w:rsidRDefault="00994592">
      <w:pPr>
        <w:rPr>
          <w:b/>
        </w:rPr>
      </w:pPr>
    </w:p>
    <w:p w:rsidR="00994592" w:rsidRDefault="00994592">
      <w:pPr>
        <w:rPr>
          <w:b/>
        </w:rPr>
      </w:pPr>
    </w:p>
    <w:p w:rsidR="00994592" w:rsidRDefault="00994592">
      <w:pPr>
        <w:rPr>
          <w:b/>
        </w:rPr>
      </w:pPr>
    </w:p>
    <w:p w:rsidR="00994592" w:rsidRDefault="00994592">
      <w:pPr>
        <w:rPr>
          <w:b/>
        </w:rPr>
      </w:pPr>
    </w:p>
    <w:p w:rsidR="00994592" w:rsidRDefault="00994592">
      <w:pPr>
        <w:rPr>
          <w:b/>
        </w:rPr>
      </w:pPr>
    </w:p>
    <w:p w:rsidR="00994592" w:rsidRDefault="00994592">
      <w:pPr>
        <w:rPr>
          <w:b/>
        </w:rPr>
      </w:pPr>
    </w:p>
    <w:p w:rsidR="00B46D8A" w:rsidRDefault="00B46D8A">
      <w:pPr>
        <w:rPr>
          <w:b/>
        </w:rPr>
      </w:pPr>
    </w:p>
    <w:p w:rsidR="00524D96" w:rsidRPr="00524D96" w:rsidRDefault="00994592">
      <w:pPr>
        <w:rPr>
          <w:b/>
        </w:rPr>
      </w:pPr>
      <w:r>
        <w:rPr>
          <w:b/>
        </w:rPr>
        <w:t>Figure S3</w:t>
      </w:r>
      <w:r w:rsidR="00524D96">
        <w:rPr>
          <w:b/>
        </w:rPr>
        <w:t xml:space="preserve">: Sensitivity analysis results (comparing </w:t>
      </w:r>
      <w:r w:rsidR="00B46D8A">
        <w:rPr>
          <w:b/>
        </w:rPr>
        <w:t xml:space="preserve">TB incidence in country of study of &lt; 40 per 100,000 and </w:t>
      </w:r>
      <w:r w:rsidR="00B46D8A" w:rsidRPr="00B46D8A">
        <w:rPr>
          <w:b/>
          <w:u w:val="single"/>
        </w:rPr>
        <w:t>&gt;</w:t>
      </w:r>
      <w:r w:rsidR="00B46D8A">
        <w:rPr>
          <w:b/>
        </w:rPr>
        <w:t xml:space="preserve"> 40 per 100,000</w:t>
      </w:r>
      <w:r w:rsidR="00524D96">
        <w:rPr>
          <w:b/>
        </w:rPr>
        <w:t>)</w:t>
      </w:r>
    </w:p>
    <w:p w:rsidR="00524D96" w:rsidRDefault="00524D96">
      <w:pPr>
        <w:rPr>
          <w:noProof/>
        </w:rPr>
      </w:pPr>
    </w:p>
    <w:p w:rsidR="00524D96" w:rsidRDefault="00524D96"/>
    <w:p w:rsidR="00524D96" w:rsidRDefault="00524D96"/>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Pr="00B46D8A" w:rsidRDefault="00B46D8A">
      <w:pPr>
        <w:rPr>
          <w:b/>
        </w:rPr>
      </w:pPr>
      <w:r>
        <w:rPr>
          <w:b/>
        </w:rPr>
        <w:lastRenderedPageBreak/>
        <w:t>Figure S3: Sensitivity analysis results (comparing all form TB incidence in country of study by &lt; 40 per 100,000</w:t>
      </w:r>
      <w:r w:rsidR="00B35A7C">
        <w:rPr>
          <w:b/>
        </w:rPr>
        <w:t xml:space="preserve"> (N=23)</w:t>
      </w:r>
      <w:r>
        <w:rPr>
          <w:b/>
        </w:rPr>
        <w:t xml:space="preserve"> and</w:t>
      </w:r>
      <w:r w:rsidRPr="00B46D8A">
        <w:rPr>
          <w:b/>
        </w:rPr>
        <w:t xml:space="preserve"> </w:t>
      </w:r>
      <w:r w:rsidRPr="00B46D8A">
        <w:rPr>
          <w:b/>
          <w:u w:val="single"/>
        </w:rPr>
        <w:t>&gt;</w:t>
      </w:r>
      <w:r>
        <w:rPr>
          <w:b/>
        </w:rPr>
        <w:t xml:space="preserve"> 40 per 100,000</w:t>
      </w:r>
      <w:r w:rsidR="00B35A7C">
        <w:rPr>
          <w:b/>
        </w:rPr>
        <w:t xml:space="preserve"> (N=6)</w:t>
      </w:r>
      <w:r>
        <w:rPr>
          <w:b/>
        </w:rPr>
        <w:t>)</w:t>
      </w:r>
    </w:p>
    <w:p w:rsidR="00994592" w:rsidRDefault="00994592">
      <w:pPr>
        <w:rPr>
          <w:sz w:val="18"/>
        </w:rPr>
      </w:pPr>
    </w:p>
    <w:p w:rsidR="00994592" w:rsidRDefault="00B46D8A">
      <w:pPr>
        <w:rPr>
          <w:sz w:val="18"/>
        </w:rPr>
      </w:pPr>
      <w:r>
        <w:rPr>
          <w:noProof/>
        </w:rPr>
        <w:drawing>
          <wp:anchor distT="0" distB="0" distL="114300" distR="114300" simplePos="0" relativeHeight="251664384" behindDoc="0" locked="0" layoutInCell="1" allowOverlap="1">
            <wp:simplePos x="0" y="0"/>
            <wp:positionH relativeFrom="column">
              <wp:posOffset>-304800</wp:posOffset>
            </wp:positionH>
            <wp:positionV relativeFrom="paragraph">
              <wp:posOffset>83820</wp:posOffset>
            </wp:positionV>
            <wp:extent cx="6165949" cy="2854116"/>
            <wp:effectExtent l="0" t="0" r="635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65949" cy="2854116"/>
                    </a:xfrm>
                    <a:prstGeom prst="rect">
                      <a:avLst/>
                    </a:prstGeom>
                  </pic:spPr>
                </pic:pic>
              </a:graphicData>
            </a:graphic>
            <wp14:sizeRelH relativeFrom="margin">
              <wp14:pctWidth>0</wp14:pctWidth>
            </wp14:sizeRelH>
            <wp14:sizeRelV relativeFrom="margin">
              <wp14:pctHeight>0</wp14:pctHeight>
            </wp14:sizeRelV>
          </wp:anchor>
        </w:drawing>
      </w: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Default="00994592">
      <w:pPr>
        <w:rPr>
          <w:sz w:val="18"/>
        </w:rPr>
      </w:pPr>
    </w:p>
    <w:p w:rsidR="00994592" w:rsidRPr="00994592" w:rsidRDefault="00994592">
      <w:pPr>
        <w:rPr>
          <w:sz w:val="18"/>
        </w:rPr>
      </w:pPr>
    </w:p>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Default="00524D96"/>
    <w:p w:rsidR="00524D96" w:rsidRPr="00B46D8A" w:rsidRDefault="00B46D8A">
      <w:pPr>
        <w:rPr>
          <w:b/>
        </w:rPr>
      </w:pPr>
      <w:r>
        <w:rPr>
          <w:b/>
        </w:rPr>
        <w:t>Figure S4: Sensitivity analysis results (excluding studies that provided TB preventive treatment)</w:t>
      </w:r>
    </w:p>
    <w:p w:rsidR="00524D96" w:rsidRDefault="00524D96"/>
    <w:p w:rsidR="00524D96" w:rsidRDefault="00B46D8A">
      <w:r>
        <w:rPr>
          <w:noProof/>
        </w:rPr>
        <w:drawing>
          <wp:anchor distT="0" distB="0" distL="114300" distR="114300" simplePos="0" relativeHeight="251665408" behindDoc="0" locked="0" layoutInCell="1" allowOverlap="1">
            <wp:simplePos x="0" y="0"/>
            <wp:positionH relativeFrom="column">
              <wp:posOffset>-375557</wp:posOffset>
            </wp:positionH>
            <wp:positionV relativeFrom="paragraph">
              <wp:posOffset>130900</wp:posOffset>
            </wp:positionV>
            <wp:extent cx="6455228" cy="2980715"/>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59775" cy="2982815"/>
                    </a:xfrm>
                    <a:prstGeom prst="rect">
                      <a:avLst/>
                    </a:prstGeom>
                  </pic:spPr>
                </pic:pic>
              </a:graphicData>
            </a:graphic>
            <wp14:sizeRelH relativeFrom="margin">
              <wp14:pctWidth>0</wp14:pctWidth>
            </wp14:sizeRelH>
            <wp14:sizeRelV relativeFrom="margin">
              <wp14:pctHeight>0</wp14:pctHeight>
            </wp14:sizeRelV>
          </wp:anchor>
        </w:drawing>
      </w:r>
    </w:p>
    <w:p w:rsidR="00524D96" w:rsidRDefault="00524D96"/>
    <w:p w:rsidR="00524D96" w:rsidRDefault="00524D96"/>
    <w:p w:rsidR="00524D96" w:rsidRDefault="00524D96"/>
    <w:p w:rsidR="00F774BD" w:rsidRDefault="00F774BD"/>
    <w:p w:rsidR="00FD1321" w:rsidRDefault="00FD1321"/>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B46D8A" w:rsidRDefault="00B46D8A" w:rsidP="00F774BD">
      <w:pPr>
        <w:rPr>
          <w:b/>
        </w:rPr>
      </w:pPr>
    </w:p>
    <w:p w:rsidR="00CB4731" w:rsidRDefault="00CB4731" w:rsidP="00F774BD">
      <w:pPr>
        <w:rPr>
          <w:b/>
        </w:rPr>
      </w:pPr>
    </w:p>
    <w:p w:rsidR="00F774BD" w:rsidRPr="00F774BD" w:rsidRDefault="00F774BD" w:rsidP="00F774BD">
      <w:pPr>
        <w:rPr>
          <w:b/>
        </w:rPr>
      </w:pPr>
      <w:r w:rsidRPr="00F774BD">
        <w:rPr>
          <w:b/>
        </w:rPr>
        <w:lastRenderedPageBreak/>
        <w:t xml:space="preserve">Estimating the relative risks of developing active TB by </w:t>
      </w:r>
      <w:r>
        <w:rPr>
          <w:b/>
        </w:rPr>
        <w:t>interferon gamma levels</w:t>
      </w:r>
    </w:p>
    <w:p w:rsidR="00F774BD" w:rsidRPr="00F774BD" w:rsidRDefault="00F774BD" w:rsidP="00F774BD"/>
    <w:p w:rsidR="00F774BD" w:rsidRDefault="00F774BD" w:rsidP="00F774BD">
      <w:r>
        <w:t>Our mixed-effects regression model can be represented as the following:</w:t>
      </w:r>
    </w:p>
    <w:p w:rsidR="00F774BD" w:rsidRDefault="00F774BD" w:rsidP="00F774BD"/>
    <w:p w:rsidR="00F774BD" w:rsidRPr="002475A4" w:rsidRDefault="00F774BD" w:rsidP="00F774BD">
      <w:pPr>
        <w:rPr>
          <w:rFonts w:eastAsiaTheme="minorEastAsia"/>
        </w:rPr>
      </w:pPr>
      <m:oMathPara>
        <m:oMath>
          <m:r>
            <w:rPr>
              <w:rFonts w:ascii="Cambria Math" w:hAnsi="Cambria Math"/>
            </w:rPr>
            <m:t>ln(relative risk)=(</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comp</m:t>
                          </m:r>
                        </m:sub>
                      </m:sSub>
                      <m:r>
                        <w:rPr>
                          <w:rFonts w:ascii="Cambria Math" w:hAnsi="Cambria Math"/>
                        </w:rPr>
                        <m:t>β</m:t>
                      </m:r>
                    </m:e>
                  </m:d>
                </m:e>
              </m:func>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β</m:t>
                      </m:r>
                    </m:e>
                  </m:d>
                </m:e>
              </m:func>
            </m:num>
            <m:den>
              <m:sSub>
                <m:sSubPr>
                  <m:ctrlPr>
                    <w:rPr>
                      <w:rFonts w:ascii="Cambria Math" w:hAnsi="Cambria Math"/>
                      <w:i/>
                    </w:rPr>
                  </m:ctrlPr>
                </m:sSubPr>
                <m:e>
                  <m:r>
                    <w:rPr>
                      <w:rFonts w:ascii="Cambria Math" w:hAnsi="Cambria Math"/>
                    </w:rPr>
                    <m:t>X</m:t>
                  </m:r>
                </m:e>
                <m:sub>
                  <m:r>
                    <w:rPr>
                      <w:rFonts w:ascii="Cambria Math" w:hAnsi="Cambria Math"/>
                    </w:rPr>
                    <m:t>comp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ref</m:t>
                  </m:r>
                </m:sub>
              </m:sSub>
            </m:den>
          </m:f>
          <m:r>
            <w:rPr>
              <w:rFonts w:ascii="Cambria Math" w:hAnsi="Cambria Math"/>
            </w:rPr>
            <m:t>+u)(</m:t>
          </m:r>
          <m:sSub>
            <m:sSubPr>
              <m:ctrlPr>
                <w:rPr>
                  <w:rFonts w:ascii="Cambria Math" w:hAnsi="Cambria Math"/>
                  <w:i/>
                </w:rPr>
              </m:ctrlPr>
            </m:sSubPr>
            <m:e>
              <m:r>
                <w:rPr>
                  <w:rFonts w:ascii="Cambria Math" w:hAnsi="Cambria Math"/>
                </w:rPr>
                <m:t>X</m:t>
              </m:r>
            </m:e>
            <m:sub>
              <m:r>
                <w:rPr>
                  <w:rFonts w:ascii="Cambria Math" w:hAnsi="Cambria Math"/>
                </w:rPr>
                <m:t>comp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oMath>
      </m:oMathPara>
    </w:p>
    <w:p w:rsidR="00F774BD" w:rsidRDefault="00F774BD" w:rsidP="00F774BD">
      <w:pPr>
        <w:rPr>
          <w:rFonts w:eastAsiaTheme="minorEastAsia"/>
        </w:rPr>
      </w:pPr>
    </w:p>
    <w:p w:rsidR="00F774BD" w:rsidRDefault="00F774BD" w:rsidP="00F774BD">
      <w:pPr>
        <w:rPr>
          <w:rFonts w:eastAsiaTheme="minorEastAsia"/>
        </w:rPr>
      </w:pPr>
      <w:r>
        <w:rPr>
          <w:rFonts w:eastAsiaTheme="minorEastAsia"/>
        </w:rPr>
        <w:t xml:space="preserve">Where </w:t>
      </w:r>
      <m:oMath>
        <m:sSub>
          <m:sSubPr>
            <m:ctrlPr>
              <w:rPr>
                <w:rFonts w:ascii="Cambria Math" w:hAnsi="Cambria Math"/>
                <w:i/>
              </w:rPr>
            </m:ctrlPr>
          </m:sSubPr>
          <m:e>
            <m:r>
              <w:rPr>
                <w:rFonts w:ascii="Cambria Math" w:hAnsi="Cambria Math"/>
              </w:rPr>
              <m:t>X</m:t>
            </m:r>
          </m:e>
          <m:sub>
            <m:r>
              <w:rPr>
                <w:rFonts w:ascii="Cambria Math" w:hAnsi="Cambria Math"/>
              </w:rPr>
              <m:t>comp</m:t>
            </m:r>
          </m:sub>
        </m:sSub>
      </m:oMath>
      <w:r>
        <w:rPr>
          <w:rFonts w:eastAsiaTheme="minorEastAsia"/>
        </w:rPr>
        <w:t xml:space="preserve"> and </w:t>
      </w:r>
      <m:oMath>
        <m:sSub>
          <m:sSubPr>
            <m:ctrlPr>
              <w:rPr>
                <w:rFonts w:ascii="Cambria Math" w:hAnsi="Cambria Math"/>
                <w:i/>
              </w:rPr>
            </m:ctrlPr>
          </m:sSubPr>
          <m:e>
            <m:r>
              <w:rPr>
                <w:rFonts w:ascii="Cambria Math" w:hAnsi="Cambria Math"/>
              </w:rPr>
              <m:t>X</m:t>
            </m:r>
          </m:e>
          <m:sub>
            <m:r>
              <w:rPr>
                <w:rFonts w:ascii="Cambria Math" w:hAnsi="Cambria Math"/>
              </w:rPr>
              <m:t>ref</m:t>
            </m:r>
          </m:sub>
        </m:sSub>
      </m:oMath>
      <w:r>
        <w:rPr>
          <w:rFonts w:eastAsiaTheme="minorEastAsia"/>
        </w:rPr>
        <w:t xml:space="preserve"> are the design matrices for the comparison and reference groups; </w:t>
      </w:r>
      <m:oMath>
        <m:r>
          <w:rPr>
            <w:rFonts w:ascii="Cambria Math" w:hAnsi="Cambria Math"/>
          </w:rPr>
          <m:t>β</m:t>
        </m:r>
      </m:oMath>
      <w:r>
        <w:rPr>
          <w:rFonts w:eastAsiaTheme="minorEastAsia"/>
        </w:rPr>
        <w:t xml:space="preserve"> is a vector of regression coefficients; </w:t>
      </w:r>
      <m:oMath>
        <m:r>
          <w:rPr>
            <w:rFonts w:ascii="Cambria Math" w:hAnsi="Cambria Math"/>
          </w:rPr>
          <m:t>u</m:t>
        </m:r>
      </m:oMath>
      <w:r>
        <w:rPr>
          <w:rFonts w:eastAsiaTheme="minorEastAsia"/>
        </w:rPr>
        <w:t xml:space="preserve"> is the study random effect assuming a random slope.</w:t>
      </w:r>
    </w:p>
    <w:p w:rsidR="00F774BD" w:rsidRDefault="00F774BD" w:rsidP="00F774BD">
      <w:pPr>
        <w:rPr>
          <w:rFonts w:eastAsiaTheme="minorEastAsia"/>
        </w:rPr>
      </w:pPr>
    </w:p>
    <w:p w:rsidR="00F774BD" w:rsidRDefault="00F774BD" w:rsidP="00F774BD">
      <w:pPr>
        <w:rPr>
          <w:rFonts w:eastAsiaTheme="minorEastAsia"/>
        </w:rPr>
      </w:pPr>
      <w:r>
        <w:rPr>
          <w:rFonts w:eastAsiaTheme="minorEastAsia"/>
        </w:rPr>
        <w:t>The risk function occurring within the design matrices is defined by:</w:t>
      </w:r>
    </w:p>
    <w:p w:rsidR="00F774BD" w:rsidRDefault="00F774BD" w:rsidP="00F774BD">
      <w:pPr>
        <w:rPr>
          <w:rFonts w:eastAsiaTheme="minorEastAsia"/>
        </w:rPr>
      </w:pPr>
    </w:p>
    <w:p w:rsidR="00F774BD" w:rsidRPr="00641FB7" w:rsidRDefault="00F774BD" w:rsidP="00F774BD">
      <w:pPr>
        <w:rPr>
          <w:rFonts w:eastAsiaTheme="minorEastAsia"/>
        </w:rPr>
      </w:pPr>
      <m:oMathPara>
        <m:oMath>
          <m:r>
            <w:rPr>
              <w:rFonts w:ascii="Cambria Math" w:eastAsiaTheme="minorEastAsia" w:hAnsi="Cambria Math"/>
            </w:rPr>
            <m:t>relative risk</m:t>
          </m:r>
          <m:d>
            <m:dPr>
              <m:ctrlPr>
                <w:rPr>
                  <w:rFonts w:ascii="Cambria Math" w:eastAsiaTheme="minorEastAsia" w:hAnsi="Cambria Math"/>
                  <w:i/>
                </w:rPr>
              </m:ctrlPr>
            </m:dPr>
            <m:e>
              <m:r>
                <w:rPr>
                  <w:rFonts w:ascii="Cambria Math" w:eastAsiaTheme="minorEastAsia" w:hAnsi="Cambria Math"/>
                </w:rPr>
                <m:t>s,e,</m:t>
              </m:r>
              <m:r>
                <w:rPr>
                  <w:rFonts w:ascii="Cambria Math" w:hAnsi="Cambria Math"/>
                </w:rPr>
                <m:t>β</m:t>
              </m:r>
            </m:e>
          </m:d>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m</m:t>
              </m:r>
            </m:sup>
            <m:e>
              <m:sSub>
                <m:sSubPr>
                  <m:ctrlPr>
                    <w:rPr>
                      <w:rFonts w:ascii="Cambria Math" w:hAnsi="Cambria Math"/>
                      <w:i/>
                    </w:rPr>
                  </m:ctrlPr>
                </m:sSubPr>
                <m:e>
                  <m:r>
                    <w:rPr>
                      <w:rFonts w:ascii="Cambria Math" w:hAnsi="Cambria Math"/>
                    </w:rPr>
                    <m:t>β</m:t>
                  </m:r>
                </m:e>
                <m:sub>
                  <m:r>
                    <w:rPr>
                      <w:rFonts w:ascii="Cambria Math" w:hAnsi="Cambria Math"/>
                    </w:rPr>
                    <m:t xml:space="preserve">i </m:t>
                  </m:r>
                </m:sub>
              </m:sSub>
              <m:f>
                <m:fPr>
                  <m:ctrlPr>
                    <w:rPr>
                      <w:rFonts w:ascii="Cambria Math" w:hAnsi="Cambria Math"/>
                      <w:i/>
                    </w:rPr>
                  </m:ctrlPr>
                </m:fPr>
                <m:num>
                  <m:r>
                    <w:rPr>
                      <w:rFonts w:ascii="Cambria Math" w:hAnsi="Cambria Math"/>
                    </w:rPr>
                    <m:t>1</m:t>
                  </m:r>
                </m:num>
                <m:den>
                  <m:r>
                    <w:rPr>
                      <w:rFonts w:ascii="Cambria Math" w:hAnsi="Cambria Math"/>
                    </w:rPr>
                    <m:t>e-s</m:t>
                  </m:r>
                </m:den>
              </m:f>
              <m:r>
                <w:rPr>
                  <w:rFonts w:ascii="Cambria Math" w:hAnsi="Cambria Math"/>
                </w:rPr>
                <m:t xml:space="preserve"> </m:t>
              </m:r>
            </m:e>
          </m:nary>
          <m:nary>
            <m:naryPr>
              <m:limLoc m:val="subSup"/>
              <m:ctrlPr>
                <w:rPr>
                  <w:rFonts w:ascii="Cambria Math" w:eastAsiaTheme="minorEastAsia" w:hAnsi="Cambria Math"/>
                  <w:i/>
                </w:rPr>
              </m:ctrlPr>
            </m:naryPr>
            <m:sub>
              <m:r>
                <w:rPr>
                  <w:rFonts w:ascii="Cambria Math" w:eastAsiaTheme="minorEastAsia" w:hAnsi="Cambria Math"/>
                </w:rPr>
                <m:t>s</m:t>
              </m:r>
            </m:sub>
            <m:sup>
              <m:r>
                <w:rPr>
                  <w:rFonts w:ascii="Cambria Math" w:eastAsiaTheme="minorEastAsia" w:hAnsi="Cambria Math"/>
                </w:rPr>
                <m:t>e</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i</m:t>
                  </m:r>
                </m:sub>
              </m:sSub>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dt</m:t>
              </m:r>
            </m:e>
          </m:nary>
        </m:oMath>
      </m:oMathPara>
    </w:p>
    <w:p w:rsidR="00623803" w:rsidRDefault="00623803" w:rsidP="00F774BD"/>
    <w:p w:rsidR="0044043A" w:rsidRDefault="00F774BD" w:rsidP="00F774BD">
      <w:r w:rsidRPr="000C0857">
        <w:t xml:space="preserve">where </w:t>
      </w:r>
      <m:oMath>
        <m:r>
          <w:rPr>
            <w:rFonts w:ascii="Cambria Math" w:eastAsiaTheme="minorEastAsia" w:hAnsi="Cambria Math"/>
          </w:rPr>
          <m:t>s</m:t>
        </m:r>
      </m:oMath>
      <w:r>
        <w:t xml:space="preserve"> is the lower bound of interferon gamma levels (IU/ml)</w:t>
      </w:r>
      <w:r w:rsidRPr="000C0857">
        <w:t xml:space="preserve"> for a data point; </w:t>
      </w:r>
      <m:oMath>
        <m:r>
          <w:rPr>
            <w:rFonts w:ascii="Cambria Math" w:eastAsiaTheme="minorEastAsia" w:hAnsi="Cambria Math"/>
          </w:rPr>
          <m:t>e</m:t>
        </m:r>
      </m:oMath>
      <w:r w:rsidRPr="000C0857">
        <w:t xml:space="preserve"> is the upper </w:t>
      </w:r>
      <w:r>
        <w:t>bound of interferon gamma levels (IU/ml)</w:t>
      </w:r>
      <w:r w:rsidRPr="000C0857">
        <w:t xml:space="preserve"> for a data point</w:t>
      </w:r>
      <w:r>
        <w:t xml:space="preserve">; </w:t>
      </w:r>
      <m:oMath>
        <m:r>
          <w:rPr>
            <w:rFonts w:ascii="Cambria Math" w:hAnsi="Cambria Math"/>
          </w:rPr>
          <m:t>β</m:t>
        </m:r>
      </m:oMath>
      <w:r>
        <w:rPr>
          <w:rFonts w:eastAsiaTheme="minorEastAsia"/>
        </w:rPr>
        <w:t xml:space="preserve"> is the regression coefficient at </w:t>
      </w:r>
      <m:oMath>
        <m:r>
          <w:rPr>
            <w:rFonts w:ascii="Cambria Math" w:eastAsiaTheme="minorEastAsia" w:hAnsi="Cambria Math"/>
          </w:rPr>
          <m:t>i</m:t>
        </m:r>
      </m:oMath>
      <w:r>
        <w:t xml:space="preserve">. </w:t>
      </w:r>
      <w:r w:rsidRPr="00B309A9">
        <w:t xml:space="preserve"> </w:t>
      </w:r>
      <w:r>
        <w:t>Particularly, we</w:t>
      </w:r>
      <w:r w:rsidRPr="00B309A9">
        <w:t xml:space="preserve"> use a set of spline bases to parametrize the relative risk function of interferon gamma levels. Each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i</m:t>
            </m:r>
          </m:sub>
        </m:sSub>
        <m:r>
          <w:rPr>
            <w:rFonts w:ascii="Cambria Math" w:eastAsiaTheme="minorEastAsia" w:hAnsi="Cambria Math"/>
          </w:rPr>
          <m:t xml:space="preserve"> </m:t>
        </m:r>
      </m:oMath>
      <w:r>
        <w:t xml:space="preserve"> is one of the bases and</w:t>
      </w:r>
      <w:r w:rsidRPr="00B309A9">
        <w:t xml:space="preserve"> </w:t>
      </w:r>
      <m:oMath>
        <m:sSub>
          <m:sSubPr>
            <m:ctrlPr>
              <w:rPr>
                <w:rFonts w:ascii="Cambria Math" w:hAnsi="Cambria Math"/>
                <w:i/>
              </w:rPr>
            </m:ctrlPr>
          </m:sSubPr>
          <m:e>
            <m:r>
              <w:rPr>
                <w:rFonts w:ascii="Cambria Math" w:hAnsi="Cambria Math"/>
              </w:rPr>
              <m:t>β</m:t>
            </m:r>
          </m:e>
          <m:sub>
            <m:r>
              <w:rPr>
                <w:rFonts w:ascii="Cambria Math" w:hAnsi="Cambria Math"/>
              </w:rPr>
              <m:t xml:space="preserve">i </m:t>
            </m:r>
          </m:sub>
        </m:sSub>
      </m:oMath>
      <w:r w:rsidRPr="00B309A9">
        <w:t xml:space="preserve"> are the corresponding coefficients.</w:t>
      </w:r>
    </w:p>
    <w:p w:rsidR="0044043A" w:rsidRDefault="0044043A">
      <w:r>
        <w:br w:type="page"/>
      </w:r>
    </w:p>
    <w:p w:rsidR="004E20D4" w:rsidRDefault="004E20D4" w:rsidP="00F774BD">
      <w:pPr>
        <w:rPr>
          <w:rFonts w:eastAsiaTheme="minorEastAsia"/>
        </w:rPr>
        <w:sectPr w:rsidR="004E20D4" w:rsidSect="004E20D4">
          <w:pgSz w:w="12240" w:h="15840"/>
          <w:pgMar w:top="1440" w:right="1440" w:bottom="1440" w:left="1440" w:header="720" w:footer="720" w:gutter="0"/>
          <w:cols w:space="720"/>
          <w:docGrid w:linePitch="360"/>
        </w:sectPr>
      </w:pPr>
    </w:p>
    <w:p w:rsidR="00F774BD" w:rsidRDefault="0073781B" w:rsidP="00F774BD">
      <w:pPr>
        <w:rPr>
          <w:rFonts w:eastAsiaTheme="minorEastAsia"/>
          <w:b/>
        </w:rPr>
      </w:pPr>
      <w:r>
        <w:rPr>
          <w:rFonts w:eastAsiaTheme="minorEastAsia"/>
          <w:b/>
        </w:rPr>
        <w:lastRenderedPageBreak/>
        <w:t>PRISMA-P 2015 Checklist</w:t>
      </w:r>
    </w:p>
    <w:p w:rsidR="0073781B" w:rsidRPr="0073781B" w:rsidRDefault="0073781B" w:rsidP="00F774BD">
      <w:pPr>
        <w:rPr>
          <w:rFonts w:eastAsiaTheme="minorEastAsia"/>
          <w:b/>
        </w:rPr>
      </w:pPr>
    </w:p>
    <w:tbl>
      <w:tblPr>
        <w:tblW w:w="1385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0"/>
        <w:gridCol w:w="521"/>
        <w:gridCol w:w="6846"/>
        <w:gridCol w:w="1050"/>
        <w:gridCol w:w="983"/>
        <w:gridCol w:w="2292"/>
      </w:tblGrid>
      <w:tr w:rsidR="0044043A" w:rsidRPr="00EE17D5" w:rsidTr="006E6C23">
        <w:trPr>
          <w:tblHeader/>
          <w:tblCellSpacing w:w="15" w:type="dxa"/>
        </w:trPr>
        <w:tc>
          <w:tcPr>
            <w:tcW w:w="2115" w:type="dxa"/>
            <w:vMerge w:val="restart"/>
            <w:tcBorders>
              <w:top w:val="outset" w:sz="6" w:space="0" w:color="auto"/>
              <w:left w:val="outset" w:sz="6" w:space="0" w:color="auto"/>
              <w:right w:val="outset" w:sz="6" w:space="0" w:color="auto"/>
            </w:tcBorders>
            <w:shd w:val="clear" w:color="auto" w:fill="63639A"/>
            <w:vAlign w:val="center"/>
            <w:hideMark/>
          </w:tcPr>
          <w:p w:rsidR="0044043A" w:rsidRPr="00FD6E06" w:rsidRDefault="0044043A" w:rsidP="004E20D4">
            <w:pPr>
              <w:spacing w:before="100" w:beforeAutospacing="1" w:after="100" w:afterAutospacing="1" w:line="240" w:lineRule="auto"/>
              <w:rPr>
                <w:rFonts w:ascii="Arial" w:eastAsia="Times New Roman" w:hAnsi="Arial" w:cs="Arial"/>
                <w:b/>
                <w:bCs/>
                <w:color w:val="FFFFFF" w:themeColor="background1"/>
                <w:lang w:eastAsia="en-GB"/>
              </w:rPr>
            </w:pPr>
            <w:r w:rsidRPr="00FD6E06">
              <w:rPr>
                <w:rFonts w:ascii="Arial" w:eastAsia="Times New Roman" w:hAnsi="Arial" w:cs="Arial"/>
                <w:b/>
                <w:bCs/>
                <w:color w:val="FFFFFF" w:themeColor="background1"/>
                <w:lang w:eastAsia="en-GB"/>
              </w:rPr>
              <w:t>Section/topic</w:t>
            </w:r>
          </w:p>
        </w:tc>
        <w:tc>
          <w:tcPr>
            <w:tcW w:w="491" w:type="dxa"/>
            <w:vMerge w:val="restart"/>
            <w:tcBorders>
              <w:top w:val="outset" w:sz="6" w:space="0" w:color="auto"/>
              <w:left w:val="outset" w:sz="6" w:space="0" w:color="auto"/>
              <w:right w:val="outset" w:sz="6" w:space="0" w:color="auto"/>
            </w:tcBorders>
            <w:shd w:val="clear" w:color="auto" w:fill="63639A"/>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r w:rsidRPr="00FD6E06">
              <w:rPr>
                <w:rFonts w:ascii="Arial" w:eastAsia="Times New Roman" w:hAnsi="Arial" w:cs="Arial"/>
                <w:b/>
                <w:bCs/>
                <w:color w:val="FFFFFF" w:themeColor="background1"/>
                <w:lang w:eastAsia="en-GB"/>
              </w:rPr>
              <w:t>#</w:t>
            </w:r>
          </w:p>
        </w:tc>
        <w:tc>
          <w:tcPr>
            <w:tcW w:w="6816" w:type="dxa"/>
            <w:vMerge w:val="restart"/>
            <w:tcBorders>
              <w:top w:val="outset" w:sz="6" w:space="0" w:color="auto"/>
              <w:left w:val="outset" w:sz="6" w:space="0" w:color="auto"/>
              <w:right w:val="outset" w:sz="6" w:space="0" w:color="auto"/>
            </w:tcBorders>
            <w:shd w:val="clear" w:color="auto" w:fill="63639A"/>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r w:rsidRPr="00FD6E06">
              <w:rPr>
                <w:rFonts w:ascii="Arial" w:eastAsia="Times New Roman" w:hAnsi="Arial" w:cs="Arial"/>
                <w:b/>
                <w:bCs/>
                <w:color w:val="FFFFFF" w:themeColor="background1"/>
                <w:lang w:eastAsia="en-GB"/>
              </w:rPr>
              <w:t>Checklist item</w:t>
            </w:r>
          </w:p>
        </w:tc>
        <w:tc>
          <w:tcPr>
            <w:tcW w:w="2003" w:type="dxa"/>
            <w:gridSpan w:val="2"/>
            <w:tcBorders>
              <w:top w:val="outset" w:sz="6" w:space="0" w:color="auto"/>
              <w:left w:val="outset" w:sz="6" w:space="0" w:color="auto"/>
              <w:bottom w:val="outset" w:sz="6" w:space="0" w:color="auto"/>
              <w:right w:val="outset" w:sz="6" w:space="0" w:color="auto"/>
            </w:tcBorders>
            <w:shd w:val="clear" w:color="auto" w:fill="63639A"/>
            <w:vAlign w:val="center"/>
          </w:tcPr>
          <w:p w:rsidR="0044043A"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 xml:space="preserve">Information reported </w:t>
            </w:r>
          </w:p>
        </w:tc>
        <w:tc>
          <w:tcPr>
            <w:tcW w:w="2247" w:type="dxa"/>
            <w:vMerge w:val="restart"/>
            <w:tcBorders>
              <w:top w:val="outset" w:sz="6" w:space="0" w:color="auto"/>
              <w:left w:val="outset" w:sz="6" w:space="0" w:color="auto"/>
              <w:right w:val="outset" w:sz="6" w:space="0" w:color="auto"/>
            </w:tcBorders>
            <w:shd w:val="clear" w:color="auto" w:fill="63639A"/>
            <w:vAlign w:val="center"/>
          </w:tcPr>
          <w:p w:rsidR="0044043A" w:rsidRPr="00EE17D5" w:rsidRDefault="006E6C23" w:rsidP="0044043A">
            <w:pPr>
              <w:spacing w:before="100" w:beforeAutospacing="1" w:after="100" w:afterAutospacing="1" w:line="240" w:lineRule="auto"/>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Criteria location</w:t>
            </w:r>
          </w:p>
        </w:tc>
      </w:tr>
      <w:tr w:rsidR="0044043A" w:rsidRPr="00EE17D5" w:rsidTr="006E6C23">
        <w:trPr>
          <w:tblHeader/>
          <w:tblCellSpacing w:w="15" w:type="dxa"/>
        </w:trPr>
        <w:tc>
          <w:tcPr>
            <w:tcW w:w="2115" w:type="dxa"/>
            <w:vMerge/>
            <w:tcBorders>
              <w:left w:val="outset" w:sz="6" w:space="0" w:color="auto"/>
              <w:bottom w:val="outset" w:sz="6" w:space="0" w:color="auto"/>
              <w:right w:val="outset" w:sz="6" w:space="0" w:color="auto"/>
            </w:tcBorders>
            <w:shd w:val="clear" w:color="auto" w:fill="63639A"/>
            <w:vAlign w:val="center"/>
          </w:tcPr>
          <w:p w:rsidR="0044043A" w:rsidRPr="00FD6E06"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p>
        </w:tc>
        <w:tc>
          <w:tcPr>
            <w:tcW w:w="491" w:type="dxa"/>
            <w:vMerge/>
            <w:tcBorders>
              <w:left w:val="outset" w:sz="6" w:space="0" w:color="auto"/>
              <w:bottom w:val="outset" w:sz="6" w:space="0" w:color="auto"/>
              <w:right w:val="outset" w:sz="6" w:space="0" w:color="auto"/>
            </w:tcBorders>
            <w:shd w:val="clear" w:color="auto" w:fill="63639A"/>
            <w:vAlign w:val="center"/>
          </w:tcPr>
          <w:p w:rsidR="0044043A" w:rsidRPr="00FD6E06"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p>
        </w:tc>
        <w:tc>
          <w:tcPr>
            <w:tcW w:w="6816" w:type="dxa"/>
            <w:vMerge/>
            <w:tcBorders>
              <w:left w:val="outset" w:sz="6" w:space="0" w:color="auto"/>
              <w:bottom w:val="outset" w:sz="6" w:space="0" w:color="auto"/>
              <w:right w:val="outset" w:sz="6" w:space="0" w:color="auto"/>
            </w:tcBorders>
            <w:shd w:val="clear" w:color="auto" w:fill="63639A"/>
            <w:vAlign w:val="center"/>
          </w:tcPr>
          <w:p w:rsidR="0044043A" w:rsidRPr="00FD6E06"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p>
        </w:tc>
        <w:tc>
          <w:tcPr>
            <w:tcW w:w="1020" w:type="dxa"/>
            <w:tcBorders>
              <w:top w:val="outset" w:sz="6" w:space="0" w:color="auto"/>
              <w:left w:val="outset" w:sz="6" w:space="0" w:color="auto"/>
              <w:bottom w:val="outset" w:sz="6" w:space="0" w:color="auto"/>
              <w:right w:val="outset" w:sz="6" w:space="0" w:color="auto"/>
            </w:tcBorders>
            <w:shd w:val="clear" w:color="auto" w:fill="63639A"/>
            <w:vAlign w:val="center"/>
          </w:tcPr>
          <w:p w:rsidR="0044043A" w:rsidRDefault="0044043A" w:rsidP="0044043A">
            <w:pPr>
              <w:spacing w:before="100" w:beforeAutospacing="1" w:after="100" w:afterAutospacing="1" w:line="240" w:lineRule="auto"/>
              <w:jc w:val="center"/>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Yes</w:t>
            </w:r>
          </w:p>
        </w:tc>
        <w:tc>
          <w:tcPr>
            <w:tcW w:w="953" w:type="dxa"/>
            <w:tcBorders>
              <w:top w:val="outset" w:sz="6" w:space="0" w:color="auto"/>
              <w:left w:val="outset" w:sz="6" w:space="0" w:color="auto"/>
              <w:bottom w:val="outset" w:sz="6" w:space="0" w:color="auto"/>
              <w:right w:val="outset" w:sz="6" w:space="0" w:color="auto"/>
            </w:tcBorders>
            <w:shd w:val="clear" w:color="auto" w:fill="63639A"/>
          </w:tcPr>
          <w:p w:rsidR="0044043A" w:rsidRDefault="0044043A" w:rsidP="0044043A">
            <w:pPr>
              <w:spacing w:before="100" w:beforeAutospacing="1" w:after="100" w:afterAutospacing="1" w:line="240" w:lineRule="auto"/>
              <w:jc w:val="center"/>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No</w:t>
            </w:r>
          </w:p>
        </w:tc>
        <w:tc>
          <w:tcPr>
            <w:tcW w:w="2247" w:type="dxa"/>
            <w:vMerge/>
            <w:tcBorders>
              <w:left w:val="outset" w:sz="6" w:space="0" w:color="auto"/>
              <w:bottom w:val="outset" w:sz="6" w:space="0" w:color="auto"/>
              <w:right w:val="outset" w:sz="6" w:space="0" w:color="auto"/>
            </w:tcBorders>
            <w:shd w:val="clear" w:color="auto" w:fill="63639A"/>
            <w:vAlign w:val="center"/>
          </w:tcPr>
          <w:p w:rsidR="0044043A" w:rsidRDefault="0044043A" w:rsidP="0044043A">
            <w:pPr>
              <w:spacing w:before="100" w:beforeAutospacing="1" w:after="100" w:afterAutospacing="1" w:line="240" w:lineRule="auto"/>
              <w:rPr>
                <w:rFonts w:ascii="Arial" w:eastAsia="Times New Roman" w:hAnsi="Arial" w:cs="Arial"/>
                <w:b/>
                <w:bCs/>
                <w:color w:val="FFFFFF" w:themeColor="background1"/>
                <w:lang w:eastAsia="en-GB"/>
              </w:rPr>
            </w:pP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ADMINISTRATIVE INFORMATION</w:t>
            </w:r>
            <w:r w:rsidRPr="00FD6E06">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 </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Title</w:t>
            </w:r>
            <w:r w:rsidRPr="00FD6E06">
              <w:rPr>
                <w:rFonts w:ascii="Arial" w:eastAsia="Times New Roman" w:hAnsi="Arial" w:cs="Arial"/>
                <w:sz w:val="20"/>
                <w:szCs w:val="20"/>
                <w:lang w:eastAsia="en-GB"/>
              </w:rPr>
              <w:t xml:space="preserve"> </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Identification</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1a</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Identify the report as a protocol of a systematic review</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Check3"/>
                  <w:enabled/>
                  <w:calcOnExit w:val="0"/>
                  <w:checkBox>
                    <w:sizeAuto/>
                    <w:default w:val="1"/>
                  </w:checkBox>
                </w:ffData>
              </w:fldChar>
            </w:r>
            <w:bookmarkStart w:id="1" w:name="Check3"/>
            <w:r w:rsidRPr="000A6941">
              <w:instrText xml:space="preserve"> FORMCHECKBOX </w:instrText>
            </w:r>
            <w:r w:rsidR="00AB5351">
              <w:fldChar w:fldCharType="separate"/>
            </w:r>
            <w:r>
              <w:fldChar w:fldCharType="end"/>
            </w:r>
            <w:bookmarkEnd w:id="1"/>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Title page</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Update</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1b</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the protocol is for an update of a previous systematic review, identify as such</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Registration</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2</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registered, provide the name of the registry (e.g., PROSPERO) and registration number</w:t>
            </w:r>
            <w:r>
              <w:rPr>
                <w:rFonts w:ascii="Arial" w:eastAsia="Times New Roman" w:hAnsi="Arial" w:cs="Arial"/>
                <w:sz w:val="20"/>
                <w:szCs w:val="20"/>
                <w:lang w:eastAsia="en-GB"/>
              </w:rPr>
              <w:t xml:space="preserve"> in the Abstract</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5B49DC"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Authors</w:t>
            </w:r>
            <w:r w:rsidRPr="00FD6E06">
              <w:rPr>
                <w:rFonts w:ascii="Arial" w:eastAsia="Times New Roman" w:hAnsi="Arial" w:cs="Arial"/>
                <w:sz w:val="20"/>
                <w:szCs w:val="20"/>
                <w:lang w:eastAsia="en-GB"/>
              </w:rPr>
              <w:t xml:space="preserve"> </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Contact</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3a</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Provide name, institutional affiliation, and e-mail address of all protocol authors; provide physical mailing address of corresponding author</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B91334">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Title page</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Contributions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3b</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contributions of protocol authors and identify the guarantor of the review</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6E6C2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rPr>
                <w:rFonts w:ascii="Arial" w:eastAsia="Times New Roman" w:hAnsi="Arial" w:cs="Arial"/>
                <w:sz w:val="20"/>
                <w:szCs w:val="20"/>
                <w:lang w:eastAsia="en-GB"/>
              </w:rPr>
            </w:pPr>
            <w:r w:rsidRPr="006E6C23">
              <w:rPr>
                <w:rFonts w:ascii="Arial" w:eastAsia="Times New Roman" w:hAnsi="Arial" w:cs="Arial"/>
                <w:sz w:val="20"/>
                <w:szCs w:val="20"/>
                <w:lang w:eastAsia="en-GB"/>
              </w:rPr>
              <w:t>Author Contributions section</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Amendments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4</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the protocol represents an amendment of a previously completed or published protocol, identify as such and list changes; otherwise, state plan for documenting important protocol amendments</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Support</w:t>
            </w:r>
            <w:r w:rsidRPr="00FD6E06">
              <w:rPr>
                <w:rFonts w:ascii="Arial" w:eastAsia="Times New Roman" w:hAnsi="Arial" w:cs="Arial"/>
                <w:sz w:val="20"/>
                <w:szCs w:val="20"/>
                <w:lang w:eastAsia="en-GB"/>
              </w:rPr>
              <w:t xml:space="preserve"> </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Sources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5a</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Indicate sources of financial or other support for the review</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5A16AB"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5A16AB">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Funding section</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Sponsor</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5b</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Provide name for the review funder and/or sponsor</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5A16AB"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5A16AB">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Funding section</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Role of sponsor/funder</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5c</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roles of funder(s), sponsor(s), and/or institution(s), if any, in developing the protocol</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5A16AB"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5A16AB">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6E6C23"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Funding section</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INTRODUCTION</w:t>
            </w:r>
            <w:r w:rsidRPr="00FD6E06">
              <w:rPr>
                <w:rFonts w:ascii="Arial" w:eastAsia="Times New Roman" w:hAnsi="Arial" w:cs="Arial"/>
                <w:sz w:val="20"/>
                <w:szCs w:val="20"/>
                <w:lang w:eastAsia="en-GB"/>
              </w:rPr>
              <w:t xml:space="preserve"> </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Rationale</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6</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the rationale for the review in the context of what is already known</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6E6C23"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Introduction section:</w:t>
            </w:r>
          </w:p>
          <w:p w:rsidR="006E6C23" w:rsidRPr="00FD6E06"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2 &amp; 3</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Objectives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7</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6E6C23">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Provide an explicit statement of the question(s) the review will address with reference to participants, interventions, comparators, and outcomes (PICO)</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A042EC">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Introduction section:</w:t>
            </w:r>
          </w:p>
          <w:p w:rsidR="006E6C23" w:rsidRPr="00FD6E06"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3</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METHODS</w:t>
            </w:r>
            <w:r w:rsidRPr="00FD6E06">
              <w:rPr>
                <w:rFonts w:ascii="Arial" w:eastAsia="Times New Roman" w:hAnsi="Arial" w:cs="Arial"/>
                <w:sz w:val="20"/>
                <w:szCs w:val="20"/>
                <w:lang w:eastAsia="en-GB"/>
              </w:rPr>
              <w:t xml:space="preserve"> </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lastRenderedPageBreak/>
              <w:t>Eligibility criteria</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8</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Specify the study characteristics (e.g., PICO, study design, setting, time frame) and report characteristics (e.g., years considered, language, publication status) to be used as criteria for eligibility for the review</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197AB1">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6E6C23" w:rsidRPr="00FD6E06"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2</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Information sources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9</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all intended information sources (e.g., electronic databases, contact with study authors, trial registers, or other grey literature sources) with planned dates of coverage</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197AB1">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6E6C23"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1</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Search strategy</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10</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Present draft of search strategy to be used for at least one electronic database, including planned limits, such that it could be repeated</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197AB1">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Supplements</w:t>
            </w:r>
          </w:p>
          <w:p w:rsidR="006E6C23" w:rsidRPr="00FD6E06" w:rsidRDefault="006E6C23" w:rsidP="006E6C23">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Table S2</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Pr>
                <w:rFonts w:ascii="Arial" w:eastAsia="Times New Roman" w:hAnsi="Arial" w:cs="Arial"/>
                <w:b/>
                <w:bCs/>
                <w:i/>
                <w:sz w:val="20"/>
                <w:szCs w:val="20"/>
                <w:lang w:eastAsia="en-GB"/>
              </w:rPr>
              <w:t>STUDY RECORDS</w:t>
            </w:r>
            <w:r w:rsidRPr="00FD6E06">
              <w:rPr>
                <w:rFonts w:ascii="Arial" w:eastAsia="Times New Roman" w:hAnsi="Arial" w:cs="Arial"/>
                <w:i/>
                <w:sz w:val="20"/>
                <w:szCs w:val="20"/>
                <w:lang w:eastAsia="en-GB"/>
              </w:rPr>
              <w:t xml:space="preserve"> </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Data management</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11a</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the mechanism(s) that will be used to manage records and data throughout the review</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EC684C"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Selection process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11b</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State the process that will be used for selecting studies (e.g., two independent reviewers) through each phase of the review (i.e., screening, eligibility, and inclusion in meta-analysis)</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27400"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427400">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27400"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2</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Data collection process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11c</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planned method of extracting data from reports (e.g., piloting forms, done independently, in duplicate), any processes for obtaining and confirming data from investigators</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Paragraph </w:t>
            </w:r>
            <w:r w:rsidR="0044043A">
              <w:rPr>
                <w:rFonts w:ascii="Arial" w:eastAsia="Times New Roman" w:hAnsi="Arial" w:cs="Arial"/>
                <w:sz w:val="20"/>
                <w:szCs w:val="20"/>
                <w:lang w:eastAsia="en-GB"/>
              </w:rPr>
              <w:t>3</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Data items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12</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List and define all variables for which data will be sought (e.g., PICO items, funding sources), any pre-planned data assumptions and simplifications</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3</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Outcomes and prioritization</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13</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List and define all outcomes for which data will be sought, including prioritization of main and additional outcomes, with rationale</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3</w:t>
            </w:r>
          </w:p>
        </w:tc>
      </w:tr>
      <w:tr w:rsidR="0044043A"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Risk of bias in individual studies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14</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anticipated methods for assessing risk of bias of individual studies, including whether this will be done at the outcome or study level, or both; state how this information will be used in data synthesis</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Paragraph </w:t>
            </w:r>
            <w:r w:rsidR="0044043A">
              <w:rPr>
                <w:rFonts w:ascii="Arial" w:eastAsia="Times New Roman" w:hAnsi="Arial" w:cs="Arial"/>
                <w:sz w:val="20"/>
                <w:szCs w:val="20"/>
                <w:lang w:eastAsia="en-GB"/>
              </w:rPr>
              <w:t>4</w:t>
            </w:r>
          </w:p>
        </w:tc>
      </w:tr>
      <w:tr w:rsidR="0044043A" w:rsidRPr="00FD6E06" w:rsidTr="006E6C23">
        <w:trPr>
          <w:tblCellSpacing w:w="15" w:type="dxa"/>
        </w:trPr>
        <w:tc>
          <w:tcPr>
            <w:tcW w:w="13792" w:type="dxa"/>
            <w:gridSpan w:val="6"/>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b/>
                <w:bCs/>
                <w:sz w:val="20"/>
                <w:szCs w:val="20"/>
                <w:lang w:eastAsia="en-GB"/>
              </w:rPr>
            </w:pPr>
            <w:r w:rsidRPr="00B567D4">
              <w:rPr>
                <w:rFonts w:ascii="Arial" w:eastAsia="Times New Roman" w:hAnsi="Arial" w:cs="Arial"/>
                <w:b/>
                <w:bCs/>
                <w:i/>
                <w:sz w:val="20"/>
                <w:szCs w:val="20"/>
                <w:lang w:eastAsia="en-GB"/>
              </w:rPr>
              <w:t>DATA</w:t>
            </w:r>
          </w:p>
        </w:tc>
      </w:tr>
      <w:tr w:rsidR="0044043A" w:rsidRPr="00FD6E06" w:rsidTr="006E6C23">
        <w:trPr>
          <w:tblCellSpacing w:w="15" w:type="dxa"/>
        </w:trPr>
        <w:tc>
          <w:tcPr>
            <w:tcW w:w="2115" w:type="dxa"/>
            <w:vMerge w:val="restart"/>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Synthesis</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15a</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criteria under which study data will be quantitatively synthesized</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5</w:t>
            </w:r>
          </w:p>
        </w:tc>
      </w:tr>
      <w:tr w:rsidR="0044043A" w:rsidRPr="00FD6E06" w:rsidTr="006E6C23">
        <w:trPr>
          <w:tblCellSpacing w:w="15" w:type="dxa"/>
        </w:trPr>
        <w:tc>
          <w:tcPr>
            <w:tcW w:w="2115" w:type="dxa"/>
            <w:vMerge/>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line="240" w:lineRule="auto"/>
              <w:rPr>
                <w:rFonts w:ascii="Arial" w:eastAsia="Times New Roman" w:hAnsi="Arial" w:cs="Arial"/>
                <w:sz w:val="20"/>
                <w:szCs w:val="20"/>
                <w:lang w:eastAsia="en-GB"/>
              </w:rPr>
            </w:pP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15b</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xml:space="preserve">If data are appropriate for quantitative synthesis, describe planned summary measures, methods of handling data, and methods of combining data from studies, including any planned exploration of consistency (e.g., </w:t>
            </w:r>
            <w:r w:rsidRPr="00FD6E06">
              <w:rPr>
                <w:rFonts w:ascii="Arial" w:eastAsia="Times New Roman" w:hAnsi="Arial" w:cs="Arial"/>
                <w:i/>
                <w:iCs/>
                <w:sz w:val="20"/>
                <w:szCs w:val="20"/>
                <w:lang w:eastAsia="en-GB"/>
              </w:rPr>
              <w:t>I</w:t>
            </w:r>
            <w:r w:rsidRPr="00FD6E06">
              <w:rPr>
                <w:rFonts w:ascii="Arial" w:eastAsia="Times New Roman" w:hAnsi="Arial" w:cs="Arial"/>
                <w:sz w:val="20"/>
                <w:szCs w:val="20"/>
                <w:lang w:eastAsia="en-GB"/>
              </w:rPr>
              <w:t xml:space="preserve"> </w:t>
            </w:r>
            <w:r w:rsidRPr="00FD6E06">
              <w:rPr>
                <w:rFonts w:ascii="Arial" w:eastAsia="Times New Roman" w:hAnsi="Arial" w:cs="Arial"/>
                <w:sz w:val="20"/>
                <w:szCs w:val="20"/>
                <w:vertAlign w:val="superscript"/>
                <w:lang w:eastAsia="en-GB"/>
              </w:rPr>
              <w:t>2</w:t>
            </w:r>
            <w:r w:rsidRPr="00FD6E06">
              <w:rPr>
                <w:rFonts w:ascii="Arial" w:eastAsia="Times New Roman" w:hAnsi="Arial" w:cs="Arial"/>
                <w:sz w:val="20"/>
                <w:szCs w:val="20"/>
                <w:lang w:eastAsia="en-GB"/>
              </w:rPr>
              <w:t>, Kendall’s tau)</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5</w:t>
            </w:r>
          </w:p>
        </w:tc>
      </w:tr>
      <w:tr w:rsidR="0044043A" w:rsidRPr="00FD6E06" w:rsidTr="006E6C23">
        <w:trPr>
          <w:tblCellSpacing w:w="15" w:type="dxa"/>
        </w:trPr>
        <w:tc>
          <w:tcPr>
            <w:tcW w:w="2115" w:type="dxa"/>
            <w:vMerge/>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line="240" w:lineRule="auto"/>
              <w:rPr>
                <w:rFonts w:ascii="Arial" w:eastAsia="Times New Roman" w:hAnsi="Arial" w:cs="Arial"/>
                <w:sz w:val="20"/>
                <w:szCs w:val="20"/>
                <w:lang w:eastAsia="en-GB"/>
              </w:rPr>
            </w:pP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15c</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any proposed additional analyses (e.g., sensitivity or subgroup analyses, meta-regression)</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4043A" w:rsidRPr="00FD6E06" w:rsidRDefault="00427400" w:rsidP="00427400">
            <w:pPr>
              <w:spacing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6</w:t>
            </w:r>
          </w:p>
        </w:tc>
      </w:tr>
      <w:tr w:rsidR="0044043A" w:rsidRPr="00FD6E06" w:rsidTr="006E6C23">
        <w:trPr>
          <w:tblCellSpacing w:w="15" w:type="dxa"/>
        </w:trPr>
        <w:tc>
          <w:tcPr>
            <w:tcW w:w="2115" w:type="dxa"/>
            <w:vMerge/>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line="240" w:lineRule="auto"/>
              <w:rPr>
                <w:rFonts w:ascii="Arial" w:eastAsia="Times New Roman" w:hAnsi="Arial" w:cs="Arial"/>
                <w:sz w:val="20"/>
                <w:szCs w:val="20"/>
                <w:lang w:eastAsia="en-GB"/>
              </w:rPr>
            </w:pPr>
          </w:p>
        </w:tc>
        <w:tc>
          <w:tcPr>
            <w:tcW w:w="491"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15d</w:t>
            </w:r>
          </w:p>
        </w:tc>
        <w:tc>
          <w:tcPr>
            <w:tcW w:w="6816" w:type="dxa"/>
            <w:tcBorders>
              <w:top w:val="outset" w:sz="6" w:space="0" w:color="auto"/>
              <w:left w:val="outset" w:sz="6" w:space="0" w:color="auto"/>
              <w:bottom w:val="outset" w:sz="6" w:space="0" w:color="auto"/>
              <w:right w:val="outset" w:sz="6" w:space="0" w:color="auto"/>
            </w:tcBorders>
            <w:vAlign w:val="center"/>
            <w:hideMark/>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quantitative synthesis is not appropriate, describe the type of summary planned</w:t>
            </w:r>
          </w:p>
        </w:tc>
        <w:tc>
          <w:tcPr>
            <w:tcW w:w="1020"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953"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4043A" w:rsidRPr="00FD6E06" w:rsidRDefault="0044043A" w:rsidP="0044043A">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427400"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27400" w:rsidRPr="00FD6E06" w:rsidRDefault="00427400" w:rsidP="00427400">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Meta-bias(</w:t>
            </w:r>
            <w:proofErr w:type="spellStart"/>
            <w:r w:rsidRPr="00FD6E06">
              <w:rPr>
                <w:rFonts w:ascii="Arial" w:eastAsia="Times New Roman" w:hAnsi="Arial" w:cs="Arial"/>
                <w:b/>
                <w:bCs/>
                <w:sz w:val="20"/>
                <w:szCs w:val="20"/>
                <w:lang w:eastAsia="en-GB"/>
              </w:rPr>
              <w:t>es</w:t>
            </w:r>
            <w:proofErr w:type="spellEnd"/>
            <w:r w:rsidRPr="00FD6E06">
              <w:rPr>
                <w:rFonts w:ascii="Arial" w:eastAsia="Times New Roman" w:hAnsi="Arial" w:cs="Arial"/>
                <w:b/>
                <w:bCs/>
                <w:sz w:val="20"/>
                <w:szCs w:val="20"/>
                <w:lang w:eastAsia="en-GB"/>
              </w:rPr>
              <w:t>)</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27400" w:rsidRPr="00FD6E06" w:rsidRDefault="00427400" w:rsidP="00427400">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16</w:t>
            </w:r>
          </w:p>
        </w:tc>
        <w:tc>
          <w:tcPr>
            <w:tcW w:w="6816" w:type="dxa"/>
            <w:tcBorders>
              <w:top w:val="outset" w:sz="6" w:space="0" w:color="auto"/>
              <w:left w:val="outset" w:sz="6" w:space="0" w:color="auto"/>
              <w:bottom w:val="outset" w:sz="6" w:space="0" w:color="auto"/>
              <w:right w:val="outset" w:sz="6" w:space="0" w:color="auto"/>
            </w:tcBorders>
            <w:vAlign w:val="center"/>
            <w:hideMark/>
          </w:tcPr>
          <w:p w:rsidR="00427400" w:rsidRPr="00FD6E06" w:rsidRDefault="00427400" w:rsidP="00427400">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Specify any planned assessment of meta-bias(</w:t>
            </w:r>
            <w:proofErr w:type="spellStart"/>
            <w:r w:rsidRPr="00FD6E06">
              <w:rPr>
                <w:rFonts w:ascii="Arial" w:eastAsia="Times New Roman" w:hAnsi="Arial" w:cs="Arial"/>
                <w:sz w:val="20"/>
                <w:szCs w:val="20"/>
                <w:lang w:eastAsia="en-GB"/>
              </w:rPr>
              <w:t>es</w:t>
            </w:r>
            <w:proofErr w:type="spellEnd"/>
            <w:r w:rsidRPr="00FD6E06">
              <w:rPr>
                <w:rFonts w:ascii="Arial" w:eastAsia="Times New Roman" w:hAnsi="Arial" w:cs="Arial"/>
                <w:sz w:val="20"/>
                <w:szCs w:val="20"/>
                <w:lang w:eastAsia="en-GB"/>
              </w:rPr>
              <w:t>) (e.g., publication bias across studies, selective reporting within studies)</w:t>
            </w:r>
          </w:p>
        </w:tc>
        <w:tc>
          <w:tcPr>
            <w:tcW w:w="1020" w:type="dxa"/>
            <w:tcBorders>
              <w:top w:val="outset" w:sz="6" w:space="0" w:color="auto"/>
              <w:left w:val="outset" w:sz="6" w:space="0" w:color="auto"/>
              <w:bottom w:val="outset" w:sz="6" w:space="0" w:color="auto"/>
              <w:right w:val="outset" w:sz="6" w:space="0" w:color="auto"/>
            </w:tcBorders>
          </w:tcPr>
          <w:p w:rsidR="00427400" w:rsidRPr="00FD6E06" w:rsidRDefault="00427400" w:rsidP="00427400">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27400" w:rsidRPr="00FD6E06" w:rsidRDefault="00427400" w:rsidP="00427400">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Methods section:</w:t>
            </w:r>
          </w:p>
          <w:p w:rsidR="00427400" w:rsidRPr="00FD6E06" w:rsidRDefault="00427400" w:rsidP="00427400">
            <w:pPr>
              <w:spacing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6</w:t>
            </w:r>
          </w:p>
        </w:tc>
      </w:tr>
      <w:tr w:rsidR="00427400" w:rsidRPr="00FD6E06" w:rsidTr="006E6C23">
        <w:trPr>
          <w:tblCellSpacing w:w="15" w:type="dxa"/>
        </w:trPr>
        <w:tc>
          <w:tcPr>
            <w:tcW w:w="2115" w:type="dxa"/>
            <w:tcBorders>
              <w:top w:val="outset" w:sz="6" w:space="0" w:color="auto"/>
              <w:left w:val="outset" w:sz="6" w:space="0" w:color="auto"/>
              <w:bottom w:val="outset" w:sz="6" w:space="0" w:color="auto"/>
              <w:right w:val="outset" w:sz="6" w:space="0" w:color="auto"/>
            </w:tcBorders>
            <w:vAlign w:val="center"/>
            <w:hideMark/>
          </w:tcPr>
          <w:p w:rsidR="00427400" w:rsidRPr="00FD6E06" w:rsidRDefault="00427400" w:rsidP="00427400">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Confidence in cumulative evidence</w:t>
            </w:r>
            <w:r w:rsidRPr="00FD6E06">
              <w:rPr>
                <w:rFonts w:ascii="Arial" w:eastAsia="Times New Roman" w:hAnsi="Arial" w:cs="Arial"/>
                <w:sz w:val="20"/>
                <w:szCs w:val="20"/>
                <w:lang w:eastAsia="en-GB"/>
              </w:rPr>
              <w:t xml:space="preserve"> </w:t>
            </w:r>
          </w:p>
        </w:tc>
        <w:tc>
          <w:tcPr>
            <w:tcW w:w="491" w:type="dxa"/>
            <w:tcBorders>
              <w:top w:val="outset" w:sz="6" w:space="0" w:color="auto"/>
              <w:left w:val="outset" w:sz="6" w:space="0" w:color="auto"/>
              <w:bottom w:val="outset" w:sz="6" w:space="0" w:color="auto"/>
              <w:right w:val="outset" w:sz="6" w:space="0" w:color="auto"/>
            </w:tcBorders>
            <w:vAlign w:val="center"/>
            <w:hideMark/>
          </w:tcPr>
          <w:p w:rsidR="00427400" w:rsidRPr="00FD6E06" w:rsidRDefault="00427400" w:rsidP="00427400">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17</w:t>
            </w:r>
          </w:p>
        </w:tc>
        <w:tc>
          <w:tcPr>
            <w:tcW w:w="6816" w:type="dxa"/>
            <w:tcBorders>
              <w:top w:val="outset" w:sz="6" w:space="0" w:color="auto"/>
              <w:left w:val="outset" w:sz="6" w:space="0" w:color="auto"/>
              <w:bottom w:val="outset" w:sz="6" w:space="0" w:color="auto"/>
              <w:right w:val="outset" w:sz="6" w:space="0" w:color="auto"/>
            </w:tcBorders>
            <w:vAlign w:val="center"/>
            <w:hideMark/>
          </w:tcPr>
          <w:p w:rsidR="00427400" w:rsidRPr="00FD6E06" w:rsidRDefault="00427400" w:rsidP="00427400">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how the strength of the body of evidence will be assessed (e.g., GRADE)</w:t>
            </w:r>
          </w:p>
        </w:tc>
        <w:tc>
          <w:tcPr>
            <w:tcW w:w="1020" w:type="dxa"/>
            <w:tcBorders>
              <w:top w:val="outset" w:sz="6" w:space="0" w:color="auto"/>
              <w:left w:val="outset" w:sz="6" w:space="0" w:color="auto"/>
              <w:bottom w:val="outset" w:sz="6" w:space="0" w:color="auto"/>
              <w:right w:val="outset" w:sz="6" w:space="0" w:color="auto"/>
            </w:tcBorders>
          </w:tcPr>
          <w:p w:rsidR="00427400" w:rsidRPr="00FD6E06" w:rsidRDefault="00427400" w:rsidP="00427400">
            <w:pPr>
              <w:spacing w:before="100" w:beforeAutospacing="1" w:after="100" w:afterAutospacing="1" w:line="240" w:lineRule="auto"/>
              <w:jc w:val="center"/>
              <w:rPr>
                <w:rFonts w:ascii="Arial" w:eastAsia="Times New Roman" w:hAnsi="Arial" w:cs="Arial"/>
                <w:sz w:val="20"/>
                <w:szCs w:val="20"/>
                <w:lang w:eastAsia="en-GB"/>
              </w:rPr>
            </w:pPr>
            <w:r>
              <w:fldChar w:fldCharType="begin">
                <w:ffData>
                  <w:name w:val=""/>
                  <w:enabled/>
                  <w:calcOnExit w:val="0"/>
                  <w:checkBox>
                    <w:sizeAuto/>
                    <w:default w:val="1"/>
                  </w:checkBox>
                </w:ffData>
              </w:fldChar>
            </w:r>
            <w:r w:rsidRPr="00816AA3">
              <w:instrText xml:space="preserve"> FORMCHECKBOX </w:instrText>
            </w:r>
            <w:r w:rsidR="00AB5351">
              <w:fldChar w:fldCharType="separate"/>
            </w:r>
            <w:r>
              <w:fldChar w:fldCharType="end"/>
            </w:r>
          </w:p>
        </w:tc>
        <w:tc>
          <w:tcPr>
            <w:tcW w:w="953" w:type="dxa"/>
            <w:tcBorders>
              <w:top w:val="outset" w:sz="6" w:space="0" w:color="auto"/>
              <w:left w:val="outset" w:sz="6" w:space="0" w:color="auto"/>
              <w:bottom w:val="outset" w:sz="6" w:space="0" w:color="auto"/>
              <w:right w:val="outset" w:sz="6" w:space="0" w:color="auto"/>
            </w:tcBorders>
          </w:tcPr>
          <w:p w:rsidR="00427400" w:rsidRPr="00FD6E06" w:rsidRDefault="00427400" w:rsidP="00427400">
            <w:pPr>
              <w:spacing w:before="100" w:beforeAutospacing="1" w:after="100" w:afterAutospacing="1" w:line="240" w:lineRule="auto"/>
              <w:jc w:val="center"/>
              <w:rPr>
                <w:rFonts w:ascii="Arial" w:eastAsia="Times New Roman" w:hAnsi="Arial" w:cs="Arial"/>
                <w:sz w:val="20"/>
                <w:szCs w:val="20"/>
                <w:lang w:eastAsia="en-GB"/>
              </w:rPr>
            </w:pPr>
            <w:r w:rsidRPr="003F016E">
              <w:fldChar w:fldCharType="begin">
                <w:ffData>
                  <w:name w:val="Check3"/>
                  <w:enabled/>
                  <w:calcOnExit w:val="0"/>
                  <w:checkBox>
                    <w:sizeAuto/>
                    <w:default w:val="0"/>
                  </w:checkBox>
                </w:ffData>
              </w:fldChar>
            </w:r>
            <w:r w:rsidRPr="003F016E">
              <w:instrText xml:space="preserve"> FORMCHECKBOX </w:instrText>
            </w:r>
            <w:r w:rsidR="00AB5351">
              <w:fldChar w:fldCharType="separate"/>
            </w:r>
            <w:r w:rsidRPr="003F016E">
              <w:fldChar w:fldCharType="end"/>
            </w:r>
          </w:p>
        </w:tc>
        <w:tc>
          <w:tcPr>
            <w:tcW w:w="2247" w:type="dxa"/>
            <w:tcBorders>
              <w:top w:val="outset" w:sz="6" w:space="0" w:color="auto"/>
              <w:left w:val="outset" w:sz="6" w:space="0" w:color="auto"/>
              <w:bottom w:val="outset" w:sz="6" w:space="0" w:color="auto"/>
              <w:right w:val="outset" w:sz="6" w:space="0" w:color="auto"/>
            </w:tcBorders>
          </w:tcPr>
          <w:p w:rsidR="00427400"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Discussion section:</w:t>
            </w:r>
          </w:p>
          <w:p w:rsidR="00427400" w:rsidRPr="00FD6E06" w:rsidRDefault="00427400" w:rsidP="00427400">
            <w:pPr>
              <w:spacing w:line="240" w:lineRule="auto"/>
              <w:rPr>
                <w:rFonts w:ascii="Arial" w:eastAsia="Times New Roman" w:hAnsi="Arial" w:cs="Arial"/>
                <w:sz w:val="20"/>
                <w:szCs w:val="20"/>
                <w:lang w:eastAsia="en-GB"/>
              </w:rPr>
            </w:pPr>
            <w:r>
              <w:rPr>
                <w:rFonts w:ascii="Arial" w:eastAsia="Times New Roman" w:hAnsi="Arial" w:cs="Arial"/>
                <w:sz w:val="20"/>
                <w:szCs w:val="20"/>
                <w:lang w:eastAsia="en-GB"/>
              </w:rPr>
              <w:t>Paragraph 1</w:t>
            </w:r>
          </w:p>
        </w:tc>
      </w:tr>
    </w:tbl>
    <w:p w:rsidR="00F774BD" w:rsidRDefault="00F774BD">
      <w:r>
        <w:br w:type="page"/>
      </w:r>
    </w:p>
    <w:p w:rsidR="0044043A" w:rsidRDefault="0044043A" w:rsidP="00F73BB8">
      <w:pPr>
        <w:jc w:val="center"/>
        <w:rPr>
          <w:b/>
        </w:rPr>
        <w:sectPr w:rsidR="0044043A" w:rsidSect="0044043A">
          <w:pgSz w:w="15840" w:h="12240" w:orient="landscape"/>
          <w:pgMar w:top="1440" w:right="1440" w:bottom="1440" w:left="1440" w:header="720" w:footer="720" w:gutter="0"/>
          <w:cols w:space="720"/>
          <w:docGrid w:linePitch="360"/>
        </w:sectPr>
      </w:pPr>
    </w:p>
    <w:p w:rsidR="00F73BB8" w:rsidRPr="00F774BD" w:rsidRDefault="00F73BB8" w:rsidP="00F73BB8">
      <w:pPr>
        <w:jc w:val="center"/>
        <w:rPr>
          <w:b/>
        </w:rPr>
      </w:pPr>
      <w:r w:rsidRPr="00F774BD">
        <w:rPr>
          <w:b/>
        </w:rPr>
        <w:lastRenderedPageBreak/>
        <w:t>References</w:t>
      </w:r>
    </w:p>
    <w:p w:rsidR="00F73BB8" w:rsidRDefault="00F73BB8" w:rsidP="00F73BB8"/>
    <w:p w:rsidR="009179CE" w:rsidRPr="009179CE" w:rsidRDefault="00F73BB8" w:rsidP="009179CE">
      <w:pPr>
        <w:widowControl w:val="0"/>
        <w:autoSpaceDE w:val="0"/>
        <w:autoSpaceDN w:val="0"/>
        <w:adjustRightInd w:val="0"/>
        <w:spacing w:line="240" w:lineRule="auto"/>
        <w:ind w:left="640" w:hanging="640"/>
        <w:rPr>
          <w:noProof/>
        </w:rPr>
      </w:pPr>
      <w:r>
        <w:fldChar w:fldCharType="begin" w:fldLock="1"/>
      </w:r>
      <w:r>
        <w:instrText xml:space="preserve">ADDIN Mendeley Bibliography CSL_BIBLIOGRAPHY </w:instrText>
      </w:r>
      <w:r>
        <w:fldChar w:fldCharType="separate"/>
      </w:r>
      <w:r w:rsidR="009179CE" w:rsidRPr="009179CE">
        <w:rPr>
          <w:noProof/>
        </w:rPr>
        <w:t xml:space="preserve">1. </w:t>
      </w:r>
      <w:r w:rsidR="009179CE" w:rsidRPr="009179CE">
        <w:rPr>
          <w:noProof/>
        </w:rPr>
        <w:tab/>
        <w:t>Abdulkareem FN, Merza MA, Salih AM. First insight into latent tuberculosis infection among household contacts of tuberculosis patients in Duhok, Iraqi Kurdistan: using tuberculin skin test and QuantiFERON-TB Gold Plus test. Int J Infect Dis [Internet]. 2020 Jul;96:97–104. Available from: https://linkinghub.elsevier.com/retrieve/pii/S1201971220302009</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 </w:t>
      </w:r>
      <w:r w:rsidRPr="009179CE">
        <w:rPr>
          <w:noProof/>
        </w:rPr>
        <w:tab/>
        <w:t>Ahmed A, Feng P-JI, Gaensbauer JT, Reves RR, Khurana R, Salcedo K, et al. Interferon-γ Release Assays in Children &lt;15 Years of Age. Pediatrics [Internet]. 2020 Jan;145(1):e20191930. Available from: http://pediatrics.aappublications.org/lookup/doi/10.1542/peds.2019-1930</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3. </w:t>
      </w:r>
      <w:r w:rsidRPr="009179CE">
        <w:rPr>
          <w:noProof/>
        </w:rPr>
        <w:tab/>
        <w:t>Aichelburg MC, Rieger A, Breitenecker F, Pfistershammer K, Tittes J, Eltz S, et al. Detection and Prediction of Active Tuberculosis Disease by a Whole‐Blood Interferon‐γ Release Assay in HIV‐1–Infected Individuals. Clin Infect Dis [Internet]. 2009 Apr;48(7):954–62. Available from: https://academic.oup.com/cid/article-lookup/doi/10.1086/597351</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4. </w:t>
      </w:r>
      <w:r w:rsidRPr="009179CE">
        <w:rPr>
          <w:noProof/>
        </w:rPr>
        <w:tab/>
        <w:t>Altet N, Dominguez J, Souza-Galvão M-L de, Jiménez-Fuentes MÁ, Milà C, Solsona J, et al. Predicting the Development of Tuberculosis with the Tuberculin Skin Test and QuantiFERON Testing. Ann Am Thorac Soc [Internet]. 2015 May;12(5):680–8. Available from: http://www.atsjournals.org/doi/10.1513/AnnalsATS.201408-394OC</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5. </w:t>
      </w:r>
      <w:r w:rsidRPr="009179CE">
        <w:rPr>
          <w:noProof/>
        </w:rPr>
        <w:tab/>
        <w:t>Andrews JR, Nemes E, Tameris M, Landry BS, Mahomed H, McClain JB, et al. Serial QuantiFERON testing and tuberculosis disease risk among young children: an observational cohort study. Lancet Respir Med [Internet]. 2017 Apr;5(4):282–90. Available from: https://linkinghub.elsevier.com/retrieve/pii/S2213260017300607</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6. </w:t>
      </w:r>
      <w:r w:rsidRPr="009179CE">
        <w:rPr>
          <w:noProof/>
        </w:rPr>
        <w:tab/>
        <w:t>Bergot E, Haustraete E, Malbruny B, Magnier R, Salaün M-A, Zalcman G. Observational Study of QuantiFERON®-TB Gold In-Tube Assay in Tuberculosis Contacts in a Low Incidence Area. Herrmann JL, editor. PLoS One [Internet]. 2012 Aug 24;7(8):e43520. Available from: https://dx.plos.org/10.1371/journal.pone.0043520</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7. </w:t>
      </w:r>
      <w:r w:rsidRPr="009179CE">
        <w:rPr>
          <w:noProof/>
        </w:rPr>
        <w:tab/>
        <w:t>Torres Costa J, Silva R, Ringshausen FC, Nienhaus A. Screening for tuberculosis and prediction of disease in Portuguese healthcare workers. J Occup Med Toxicol [Internet]. 2011;6(1):19. Available from: http://occup-med.biomedcentral.com/articles/10.1186/1745-6673-6-19</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8. </w:t>
      </w:r>
      <w:r w:rsidRPr="009179CE">
        <w:rPr>
          <w:noProof/>
        </w:rPr>
        <w:tab/>
        <w:t>Diel R, Loddenkemper R, Niemann S, Meywald-Walter K, Nienhaus A. Negative and Positive Predictive Value of a Whole-Blood Interferon-γ Release Assay for Developing Active Tuberculosis. Am J Respir Crit Care Med [Internet]. 2011 Jan;183(1):88–95. Available from: http://www.atsjournals.org/doi/abs/10.1164/rccm.201006-0974OC</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9. </w:t>
      </w:r>
      <w:r w:rsidRPr="009179CE">
        <w:rPr>
          <w:noProof/>
        </w:rPr>
        <w:tab/>
        <w:t>Doyle JS, Bissessor M, Denholm JT, Ryan N, Fairley CK, Leslie DE. Latent Tuberculosis Screening Using Interferon-Gamma Release Assays in an Australian HIV-Infected Cohort. JAIDS J Acquir Immune Defic Syndr [Internet]. 2014 May;66(1):48–54. Available from: http://content.wkhealth.com/linkback/openurl?sid=WKPTLP:landingpage&amp;an=00126334-201405010-00007</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10. </w:t>
      </w:r>
      <w:r w:rsidRPr="009179CE">
        <w:rPr>
          <w:noProof/>
        </w:rPr>
        <w:tab/>
        <w:t>Giri P, Basu S, Sargeant T, Rimmer A, Pirzada O, Adisesh A. Pre-placement screening for tuberculosis in healthcare workers. Occup Med (Chic Ill) [Internet]. 2014 Oct 1;64(7):524–9. Available from: https://academic.oup.com/occmed/article-lookup/doi/10.1093/occmed/kqu107</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lastRenderedPageBreak/>
        <w:t xml:space="preserve">11. </w:t>
      </w:r>
      <w:r w:rsidRPr="009179CE">
        <w:rPr>
          <w:noProof/>
        </w:rPr>
        <w:tab/>
        <w:t>Gupta RK, Lipman M, Jackson C, Sitch AJ, Southern J, Drobniewski F, et al. Quantitative IFN-γ Release Assay and Tuberculin Skin Test Results to Predict Incident Tuberculosis. A Prospective Cohort Study. Am J Respir Crit Care Med [Internet]. 2020 Apr 15;201(8):984–91. Available from: https://www.atsjournals.org/doi/10.1164/rccm.201905-0969OC</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12. </w:t>
      </w:r>
      <w:r w:rsidRPr="009179CE">
        <w:rPr>
          <w:noProof/>
        </w:rPr>
        <w:tab/>
        <w:t>Haldar P, Thuraisingam H, Patel H, Pereira N, Free RC, Entwisle J, et al. Single-step QuantiFERON screening of adult contacts: a prospective cohort study of tuberculosis risk. Thorax [Internet]. 2013 Mar;68(3):240–6. Available from: http://thorax.bmj.com/lookup/doi/10.1136/thoraxjnl-2011-200956</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13. </w:t>
      </w:r>
      <w:r w:rsidRPr="009179CE">
        <w:rPr>
          <w:noProof/>
        </w:rPr>
        <w:tab/>
        <w:t>Harstad I, Winje BA, Heldal E, Oftung F, Jacobsen GW. Predictive values of QuantiFERON-TB Gold testing in screening for tuberculosis disease in asylum seekers. Int J Tuberc lung Dis [Internet]. 2010 Sep;14(9):1209–11. Available from: http://www.ncbi.nlm.nih.gov/pubmed/20819271</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14. </w:t>
      </w:r>
      <w:r w:rsidRPr="009179CE">
        <w:rPr>
          <w:noProof/>
        </w:rPr>
        <w:tab/>
        <w:t>Jonsson J, Westman A, Bruchfeld J, Sturegård E, Gaines H, Schön T. A borderline range for Quantiferon Gold In-Tube results. Shams (Amir) Homayoun, editor. PLoS One [Internet]. 2017 Nov 2;12(11):e0187313. Available from: https://dx.plos.org/10.1371/journal.pone.0187313</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15. </w:t>
      </w:r>
      <w:r w:rsidRPr="009179CE">
        <w:rPr>
          <w:noProof/>
        </w:rPr>
        <w:tab/>
        <w:t>Joshi R, Narang U, Zwerling A, Jain D, Jain V, Kalantri S, et al. Predictive value of latent tuberculosis tests in Indian healthcare workers: a cohort study. Eur Respir J [Internet]. 2011 Dec 1;38(6):1475–7. Available from: http://erj.ersjournals.com/cgi/doi/10.1183/09031936.00014611</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16. </w:t>
      </w:r>
      <w:r w:rsidRPr="009179CE">
        <w:rPr>
          <w:noProof/>
        </w:rPr>
        <w:tab/>
        <w:t>Kruczak K, Duplaga M, Sanak M, Cmiel A, Mastalerz L, Sladek K, et al. Comparison of IGRA tests and TST in the diagnosis of latent tuberculosis infection and predicting tuberculosis in risk groups in Krakow, Poland. Scand J Infect Dis [Internet]. 2014 Sep 30;46(9):649–55. Available from: http://www.tandfonline.com/doi/full/10.3109/00365548.2014.927955</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17. </w:t>
      </w:r>
      <w:r w:rsidRPr="009179CE">
        <w:rPr>
          <w:noProof/>
        </w:rPr>
        <w:tab/>
        <w:t>Lee S, Lee JE, Kang JS, Lee SO, Lee SH. Long-term performance of the IGRA to predict and prevent active tuberculosis development in HIV-infected patients. Int J Tuberc Lung Dis [Internet]. 2019 Apr 1;23(4):422–7. Available from: https://www.ingentaconnect.com/content/10.5588/ijtld.18.0198</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18. </w:t>
      </w:r>
      <w:r w:rsidRPr="009179CE">
        <w:rPr>
          <w:noProof/>
        </w:rPr>
        <w:tab/>
        <w:t>Lu P, Liu Q, Zhou Y, Martinez L, Kong W, Ding X, et al. Predictors of Discordant Tuberculin Skin test and QuantiFERON-TB Gold In-Tube Results in Eastern China: A Population-based, Cohort Study. Clin Infect Dis [Internet]. 2020 May 5;15(8):1056–61. Available from: http://www.ncbi.nlm.nih.gov/pubmed/21740668</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19. </w:t>
      </w:r>
      <w:r w:rsidRPr="009179CE">
        <w:rPr>
          <w:noProof/>
        </w:rPr>
        <w:tab/>
        <w:t>Mahomed H, Hawkridge T, Verver S, Abrahams D, Geiter L, Hatherill M, et al. The Tuberculin Skin Test versus QuantiFERON TB Gold in Predicting Tuberculosis Disease in an Adolescent Cohort Study in South Africa. Pai M, editor. PLoS One [Internet]. 2011 Mar 29;6(3):e17984. Available from: https://dx.plos.org/10.1371/journal.pone.0017984</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20. </w:t>
      </w:r>
      <w:r w:rsidRPr="009179CE">
        <w:rPr>
          <w:noProof/>
        </w:rPr>
        <w:tab/>
        <w:t>Nienhaus A, Costa JT. Screening for tuberculosis and the use of a borderline zone for the interpretation of the interferon-γ release assay (IGRA) in Portuguese healthcare workers. J Occup Med Toxicol [Internet]. 2013;8(1):1. Available from: http://occup-med.biomedcentral.com/articles/10.1186/1745-6673-8-1</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21. </w:t>
      </w:r>
      <w:r w:rsidRPr="009179CE">
        <w:rPr>
          <w:noProof/>
        </w:rPr>
        <w:tab/>
        <w:t>Noorbakhsh S, Mousavi J, Barati M, Shamshiri AR, Shekarabi M, Tabatabaei A, et al. Evaluation of an interferon-gamma release assay in young contacts of active tuberculosis cases. East Mediterr Heal J [Internet]. 2011 Sep;17(9):714–8. Available from: http://www.ncbi.nlm.nih.gov/pubmed/22259925</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lastRenderedPageBreak/>
        <w:t xml:space="preserve">22. </w:t>
      </w:r>
      <w:r w:rsidRPr="009179CE">
        <w:rPr>
          <w:noProof/>
        </w:rPr>
        <w:tab/>
        <w:t>Ringshausen FC, Nienhaus A, Schablon A, Schlösser S, Schultze-Werninghaus G, Rohde G. Predictors of persistently positive Mycobacterium-tuberculosis-specific interferon-gamma responses in the serial testing of health care workers. BMC Infect Dis [Internet]. 2010 Jul 23;10:220. Available from: http://www.ncbi.nlm.nih.gov/pubmed/20653946</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23. </w:t>
      </w:r>
      <w:r w:rsidRPr="009179CE">
        <w:rPr>
          <w:noProof/>
        </w:rPr>
        <w:tab/>
        <w:t>Rose W, Kitai I, Kakkar F, Read SE, Behr MA, Bitnun A. Quantiferon Gold-in-tube assay for TB screening in HIV infected children: influence of quantitative values. BMC Infect Dis [Internet]. 2014 Sep 23;14(1):516. Available from: https://bmcinfectdis.biomedcentral.com/articles/10.1186/1471-2334-14-516</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24. </w:t>
      </w:r>
      <w:r w:rsidRPr="009179CE">
        <w:rPr>
          <w:noProof/>
        </w:rPr>
        <w:tab/>
        <w:t>Santin M, Casas S, Saumoy M, Andreu A, Moure R, Alcaide F, et al. Detection of latent tuberculosis by the tuberculin skin test and a whole-blood interferon-γ release assay, and the development of active tuberculosis in HIV-seropositive persons. Diagn Microbiol Infect Dis [Internet]. 2011 Jan;69(1):59–65. Available from: https://linkinghub.elsevier.com/retrieve/pii/S0732889310003652</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25. </w:t>
      </w:r>
      <w:r w:rsidRPr="009179CE">
        <w:rPr>
          <w:noProof/>
        </w:rPr>
        <w:tab/>
        <w:t>Schablon A, Peters C, Diel R, Diner G, Anske U, Pankow W, et al. Serial IGRA testing of trainees in the healthcare sector in a country with low incidence for tuberculosis - a prospective cohort study. GMS Hyg Infect Control [Internet]. 2013;8(2):Doc17. Available from: http://www.ncbi.nlm.nih.gov/pubmed/24327943</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26. </w:t>
      </w:r>
      <w:r w:rsidRPr="009179CE">
        <w:rPr>
          <w:noProof/>
        </w:rPr>
        <w:tab/>
        <w:t>Sharma SK, Vashishtha R, Chauhan LS, Sreenivas V, Seth D. Comparison of TST and IGRA in Diagnosis of Latent Tuberculosis Infection in a High TB-Burden Setting. Hasnain SE, editor. PLoS One [Internet]. 2017 Jan 6;12(1):e0169539. Available from: https://dx.plos.org/10.1371/journal.pone.0169539</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27. </w:t>
      </w:r>
      <w:r w:rsidRPr="009179CE">
        <w:rPr>
          <w:noProof/>
        </w:rPr>
        <w:tab/>
        <w:t>Tsou P, Huang W-C, Huang C, Lin C, Wu K, Hsu J, et al. Quantiferon TB-Gold conversion can predict active tuberculosis development in elderly nursing home residents. Geriatr Gerontol Int [Internet]. 2015 Oct;15(10):1179–84. Available from: http://doi.wiley.com/10.1111/ggi.12416</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28. </w:t>
      </w:r>
      <w:r w:rsidRPr="009179CE">
        <w:rPr>
          <w:noProof/>
        </w:rPr>
        <w:tab/>
        <w:t>Verhagen LM, Maes M, Villalba JA, D’Alessandro A, Rodriguez LP, España MF, et al. Agreement between QuantiFERON-TB Gold In-Tube and the tuberculin skin test and predictors of positive test results in Warao Amerindian pediatric tuberculosis contacts. BMC Infect Dis [Internet]. 2014 Dec 11;14(1):383. Available from: https://bmcinfectdis.biomedcentral.com/articles/10.1186/1471-2334-14-383</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29. </w:t>
      </w:r>
      <w:r w:rsidRPr="009179CE">
        <w:rPr>
          <w:noProof/>
        </w:rPr>
        <w:tab/>
        <w:t>A. Whitaker J, Mirtskhulava V, Kipiani M, Harris DA, Tabagari N, Kempker RR, et al. Prevalence and Incidence of Latent Tuberculosis Infection in Georgian Healthcare Workers. Ruhwald M, editor. PLoS One [Internet]. 2013 Mar 25;8(3):e58202. Available from: https://dx.plos.org/10.1371/journal.pone.0058202</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30. </w:t>
      </w:r>
      <w:r w:rsidRPr="009179CE">
        <w:rPr>
          <w:noProof/>
        </w:rPr>
        <w:tab/>
        <w:t>Winje BA, White R, Syre H, Skutlaberg DH, Oftung F, Mengshoel AT, et al. Stratification by interferon-γ release assay level predicts risk of incident TB. Thorax [Internet]. 2018 Jul;73(7):652–61. Available from: http://thorax.bmj.com/lookup/doi/10.1136/thoraxjnl-2017-211147</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31. </w:t>
      </w:r>
      <w:r w:rsidRPr="009179CE">
        <w:rPr>
          <w:noProof/>
        </w:rPr>
        <w:tab/>
        <w:t>Yoshiyama T, Harada N, Higuchi K, Saitou M, Kato S. Use of the QuantiFERON ® -TB Gold in Tube test for screening TB contacts and predictive value for active TB. Infect Dis (Auckl) [Internet]. 2015 Aug 3;47(8):542–9. Available from: http://www.tandfonline.com/doi/full/10.3109/23744235.2015.1026935</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32. </w:t>
      </w:r>
      <w:r w:rsidRPr="009179CE">
        <w:rPr>
          <w:noProof/>
        </w:rPr>
        <w:tab/>
        <w:t>Yoshiyama T, Harada N, Higuchi K, Sekiya Y, Uchimura K. Use of the QuantiFERON-TB Gold test for screening tuberculosis contacts and predicting active disease. Int J Tuberc lung Dis [Internet]. 2010 Jul;14(7):819–27. Available from: http://www.ncbi.nlm.nih.gov/pubmed/20550763</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lastRenderedPageBreak/>
        <w:t xml:space="preserve">33. </w:t>
      </w:r>
      <w:r w:rsidRPr="009179CE">
        <w:rPr>
          <w:noProof/>
        </w:rPr>
        <w:tab/>
        <w:t>Zellweger J-P, Sotgiu G, Block M, Dore S, Altet N, Blunschi R, et al. Risk Assessment of Tuberculosis in Contacts by IFN-γ Release Assays. A Tuberculosis Network European Trials Group Study. Am J Respir Crit Care Med [Internet]. 2015 May 15;191(10):1176–84. Available from: http://www.atsjournals.org/doi/10.1164/rccm.201502-0232OC</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34. </w:t>
      </w:r>
      <w:r w:rsidRPr="009179CE">
        <w:rPr>
          <w:noProof/>
        </w:rPr>
        <w:tab/>
        <w:t>Zenner D, Loutet MG, Harris R, Wilson S, Ormerod LP. Evaluating 17 years of latent tuberculosis infection screening in north-west England: a retrospective cohort study of reactivation. Eur Respir J [Internet]. 2017 Jul 27;50(1):1602505. Available from: http://erj.ersjournals.com/lookup/doi/10.1183/13993003.02505-2016</w:t>
      </w:r>
    </w:p>
    <w:p w:rsidR="009179CE" w:rsidRPr="009179CE" w:rsidRDefault="009179CE" w:rsidP="009179CE">
      <w:pPr>
        <w:widowControl w:val="0"/>
        <w:autoSpaceDE w:val="0"/>
        <w:autoSpaceDN w:val="0"/>
        <w:adjustRightInd w:val="0"/>
        <w:spacing w:line="240" w:lineRule="auto"/>
        <w:ind w:left="640" w:hanging="640"/>
        <w:rPr>
          <w:noProof/>
        </w:rPr>
      </w:pPr>
      <w:r w:rsidRPr="009179CE">
        <w:rPr>
          <w:noProof/>
        </w:rPr>
        <w:t xml:space="preserve">35. </w:t>
      </w:r>
      <w:r w:rsidRPr="009179CE">
        <w:rPr>
          <w:noProof/>
        </w:rPr>
        <w:tab/>
        <w:t>Kashangura R, Jullien S, Garner P, Johnson S. MVA85A vaccine to enhance BCG for preventing tuberculosis. Cochrane database Syst Rev [Internet]. 2019;4:CD012915. Available from: http://www.ncbi.nlm.nih.gov/pubmed/31038197</w:t>
      </w:r>
    </w:p>
    <w:p w:rsidR="00F73BB8" w:rsidRDefault="00F73BB8" w:rsidP="00F73BB8">
      <w:r>
        <w:fldChar w:fldCharType="end"/>
      </w:r>
    </w:p>
    <w:p w:rsidR="00F774BD" w:rsidRDefault="00F774BD" w:rsidP="00F73BB8"/>
    <w:p w:rsidR="00F774BD" w:rsidRDefault="00F774BD" w:rsidP="00F73BB8"/>
    <w:p w:rsidR="00F774BD" w:rsidRDefault="00F774BD" w:rsidP="00F73BB8"/>
    <w:p w:rsidR="00F774BD" w:rsidRDefault="00F774BD" w:rsidP="00F73BB8"/>
    <w:p w:rsidR="00F774BD" w:rsidRDefault="00F774BD" w:rsidP="00F73BB8"/>
    <w:p w:rsidR="00F774BD" w:rsidRDefault="00F774BD" w:rsidP="00F73BB8"/>
    <w:p w:rsidR="00F774BD" w:rsidRDefault="00F774BD" w:rsidP="00F73BB8"/>
    <w:p w:rsidR="00F774BD" w:rsidRDefault="00F774BD" w:rsidP="00F73BB8"/>
    <w:p w:rsidR="0044541C" w:rsidRDefault="0044541C" w:rsidP="00F774BD"/>
    <w:sectPr w:rsidR="0044541C" w:rsidSect="00BD7C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351" w:rsidRDefault="00AB5351" w:rsidP="00263691">
      <w:pPr>
        <w:spacing w:line="240" w:lineRule="auto"/>
      </w:pPr>
      <w:r>
        <w:separator/>
      </w:r>
    </w:p>
  </w:endnote>
  <w:endnote w:type="continuationSeparator" w:id="0">
    <w:p w:rsidR="00AB5351" w:rsidRDefault="00AB5351" w:rsidP="00263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86737"/>
      <w:docPartObj>
        <w:docPartGallery w:val="Page Numbers (Bottom of Page)"/>
        <w:docPartUnique/>
      </w:docPartObj>
    </w:sdtPr>
    <w:sdtEndPr>
      <w:rPr>
        <w:noProof/>
      </w:rPr>
    </w:sdtEndPr>
    <w:sdtContent>
      <w:p w:rsidR="00F351DC" w:rsidRDefault="00F351DC">
        <w:pPr>
          <w:pStyle w:val="Footer"/>
          <w:jc w:val="center"/>
        </w:pPr>
        <w:r>
          <w:fldChar w:fldCharType="begin"/>
        </w:r>
        <w:r>
          <w:instrText xml:space="preserve"> PAGE   \* MERGEFORMAT </w:instrText>
        </w:r>
        <w:r>
          <w:fldChar w:fldCharType="separate"/>
        </w:r>
        <w:r w:rsidR="00B22426">
          <w:rPr>
            <w:noProof/>
          </w:rPr>
          <w:t>1</w:t>
        </w:r>
        <w:r>
          <w:rPr>
            <w:noProof/>
          </w:rPr>
          <w:fldChar w:fldCharType="end"/>
        </w:r>
      </w:p>
    </w:sdtContent>
  </w:sdt>
  <w:p w:rsidR="00F351DC" w:rsidRDefault="00F35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351" w:rsidRDefault="00AB5351" w:rsidP="00263691">
      <w:pPr>
        <w:spacing w:line="240" w:lineRule="auto"/>
      </w:pPr>
      <w:r>
        <w:separator/>
      </w:r>
    </w:p>
  </w:footnote>
  <w:footnote w:type="continuationSeparator" w:id="0">
    <w:p w:rsidR="00AB5351" w:rsidRDefault="00AB5351" w:rsidP="002636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1DC" w:rsidRDefault="00F351DC">
    <w:pPr>
      <w:pStyle w:val="Header"/>
      <w:jc w:val="center"/>
    </w:pPr>
  </w:p>
  <w:p w:rsidR="00F351DC" w:rsidRDefault="00F351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2s7Q0MDA3NrQwNbZQ0lEKTi0uzszPAykwrAUAdTuYNSwAAAA="/>
  </w:docVars>
  <w:rsids>
    <w:rsidRoot w:val="00263691"/>
    <w:rsid w:val="000408A8"/>
    <w:rsid w:val="00061CAF"/>
    <w:rsid w:val="00072AB5"/>
    <w:rsid w:val="000965B9"/>
    <w:rsid w:val="00096D4A"/>
    <w:rsid w:val="000A1F3A"/>
    <w:rsid w:val="000A4BBB"/>
    <w:rsid w:val="000A54E3"/>
    <w:rsid w:val="000B02AD"/>
    <w:rsid w:val="000B0E30"/>
    <w:rsid w:val="000D7D01"/>
    <w:rsid w:val="000E3216"/>
    <w:rsid w:val="00136BD3"/>
    <w:rsid w:val="001533E4"/>
    <w:rsid w:val="0016372B"/>
    <w:rsid w:val="00174F7D"/>
    <w:rsid w:val="001770B1"/>
    <w:rsid w:val="00180407"/>
    <w:rsid w:val="001B693B"/>
    <w:rsid w:val="001C588B"/>
    <w:rsid w:val="002022AF"/>
    <w:rsid w:val="0021799C"/>
    <w:rsid w:val="002214A0"/>
    <w:rsid w:val="00223BE5"/>
    <w:rsid w:val="00263691"/>
    <w:rsid w:val="0027183F"/>
    <w:rsid w:val="00276347"/>
    <w:rsid w:val="002812AF"/>
    <w:rsid w:val="002B5A07"/>
    <w:rsid w:val="002C5FB1"/>
    <w:rsid w:val="002D169F"/>
    <w:rsid w:val="002D1E5C"/>
    <w:rsid w:val="002E5D45"/>
    <w:rsid w:val="002E7A47"/>
    <w:rsid w:val="00303492"/>
    <w:rsid w:val="00304216"/>
    <w:rsid w:val="00304F9D"/>
    <w:rsid w:val="003153FE"/>
    <w:rsid w:val="0032780B"/>
    <w:rsid w:val="0034063C"/>
    <w:rsid w:val="00341525"/>
    <w:rsid w:val="003442DF"/>
    <w:rsid w:val="00364E24"/>
    <w:rsid w:val="00380607"/>
    <w:rsid w:val="00392BB7"/>
    <w:rsid w:val="003A2780"/>
    <w:rsid w:val="003B60B4"/>
    <w:rsid w:val="003C5CED"/>
    <w:rsid w:val="003D1E0E"/>
    <w:rsid w:val="003D2AED"/>
    <w:rsid w:val="003E623C"/>
    <w:rsid w:val="00400F09"/>
    <w:rsid w:val="0041387B"/>
    <w:rsid w:val="00427400"/>
    <w:rsid w:val="00427562"/>
    <w:rsid w:val="0044043A"/>
    <w:rsid w:val="0044541C"/>
    <w:rsid w:val="004C78AB"/>
    <w:rsid w:val="004E20D4"/>
    <w:rsid w:val="004E64F2"/>
    <w:rsid w:val="00517911"/>
    <w:rsid w:val="00524D96"/>
    <w:rsid w:val="005425E5"/>
    <w:rsid w:val="005520F0"/>
    <w:rsid w:val="005576B9"/>
    <w:rsid w:val="005811B9"/>
    <w:rsid w:val="005A16AB"/>
    <w:rsid w:val="005B3754"/>
    <w:rsid w:val="005B49DC"/>
    <w:rsid w:val="005C0371"/>
    <w:rsid w:val="005F41A9"/>
    <w:rsid w:val="00612ED1"/>
    <w:rsid w:val="00623803"/>
    <w:rsid w:val="00656446"/>
    <w:rsid w:val="0066498A"/>
    <w:rsid w:val="0067223D"/>
    <w:rsid w:val="00673900"/>
    <w:rsid w:val="00676CF5"/>
    <w:rsid w:val="0068240D"/>
    <w:rsid w:val="006A7094"/>
    <w:rsid w:val="006C5185"/>
    <w:rsid w:val="006C7BD9"/>
    <w:rsid w:val="006D1E32"/>
    <w:rsid w:val="006E6C23"/>
    <w:rsid w:val="006E7FE9"/>
    <w:rsid w:val="0073781B"/>
    <w:rsid w:val="00744F7D"/>
    <w:rsid w:val="007A49A2"/>
    <w:rsid w:val="007F66CB"/>
    <w:rsid w:val="008113B7"/>
    <w:rsid w:val="008133EE"/>
    <w:rsid w:val="00833EF8"/>
    <w:rsid w:val="00834C67"/>
    <w:rsid w:val="008524DD"/>
    <w:rsid w:val="00891A8C"/>
    <w:rsid w:val="00895229"/>
    <w:rsid w:val="00897373"/>
    <w:rsid w:val="008C0DA2"/>
    <w:rsid w:val="008D026D"/>
    <w:rsid w:val="00901947"/>
    <w:rsid w:val="00910BF3"/>
    <w:rsid w:val="009179CE"/>
    <w:rsid w:val="0095211B"/>
    <w:rsid w:val="00956BB8"/>
    <w:rsid w:val="00980588"/>
    <w:rsid w:val="009821CE"/>
    <w:rsid w:val="00986F79"/>
    <w:rsid w:val="00994592"/>
    <w:rsid w:val="009A6F2F"/>
    <w:rsid w:val="009D438B"/>
    <w:rsid w:val="009D4FEF"/>
    <w:rsid w:val="009E0505"/>
    <w:rsid w:val="00A15DB5"/>
    <w:rsid w:val="00A23210"/>
    <w:rsid w:val="00A4021D"/>
    <w:rsid w:val="00A601F0"/>
    <w:rsid w:val="00A63A47"/>
    <w:rsid w:val="00AA050B"/>
    <w:rsid w:val="00AA2921"/>
    <w:rsid w:val="00AB1678"/>
    <w:rsid w:val="00AB5351"/>
    <w:rsid w:val="00AD09CF"/>
    <w:rsid w:val="00AE0008"/>
    <w:rsid w:val="00AE18BE"/>
    <w:rsid w:val="00AF2547"/>
    <w:rsid w:val="00B10D99"/>
    <w:rsid w:val="00B22426"/>
    <w:rsid w:val="00B345F6"/>
    <w:rsid w:val="00B35A7C"/>
    <w:rsid w:val="00B37A90"/>
    <w:rsid w:val="00B46D8A"/>
    <w:rsid w:val="00B80D2B"/>
    <w:rsid w:val="00B83BAD"/>
    <w:rsid w:val="00B84856"/>
    <w:rsid w:val="00BB3491"/>
    <w:rsid w:val="00BD7C21"/>
    <w:rsid w:val="00BE5B0C"/>
    <w:rsid w:val="00C11B16"/>
    <w:rsid w:val="00C529FA"/>
    <w:rsid w:val="00C74642"/>
    <w:rsid w:val="00C769A5"/>
    <w:rsid w:val="00C80C83"/>
    <w:rsid w:val="00CB4731"/>
    <w:rsid w:val="00CB5D5C"/>
    <w:rsid w:val="00CD12F6"/>
    <w:rsid w:val="00CD5ACF"/>
    <w:rsid w:val="00CD7B73"/>
    <w:rsid w:val="00CF2AF8"/>
    <w:rsid w:val="00CF56F3"/>
    <w:rsid w:val="00CF614B"/>
    <w:rsid w:val="00D42814"/>
    <w:rsid w:val="00D43DC9"/>
    <w:rsid w:val="00D46AF7"/>
    <w:rsid w:val="00D9240E"/>
    <w:rsid w:val="00DB1E91"/>
    <w:rsid w:val="00DB72B2"/>
    <w:rsid w:val="00DC36BE"/>
    <w:rsid w:val="00DF1717"/>
    <w:rsid w:val="00E56C6C"/>
    <w:rsid w:val="00E63CC1"/>
    <w:rsid w:val="00E7211D"/>
    <w:rsid w:val="00E82397"/>
    <w:rsid w:val="00EA322F"/>
    <w:rsid w:val="00EC684C"/>
    <w:rsid w:val="00EE19F4"/>
    <w:rsid w:val="00F14C27"/>
    <w:rsid w:val="00F31566"/>
    <w:rsid w:val="00F351DC"/>
    <w:rsid w:val="00F73BB8"/>
    <w:rsid w:val="00F774BD"/>
    <w:rsid w:val="00F81352"/>
    <w:rsid w:val="00F93BA6"/>
    <w:rsid w:val="00FA597A"/>
    <w:rsid w:val="00FB2AFD"/>
    <w:rsid w:val="00FB3A04"/>
    <w:rsid w:val="00FC69DD"/>
    <w:rsid w:val="00FD1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B04DC8C-8696-4D12-993D-110D1578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588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7C21"/>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74BD"/>
    <w:rPr>
      <w:sz w:val="16"/>
      <w:szCs w:val="16"/>
    </w:rPr>
  </w:style>
  <w:style w:type="paragraph" w:styleId="CommentText">
    <w:name w:val="annotation text"/>
    <w:basedOn w:val="Normal"/>
    <w:link w:val="CommentTextChar"/>
    <w:uiPriority w:val="99"/>
    <w:semiHidden/>
    <w:unhideWhenUsed/>
    <w:rsid w:val="00F774BD"/>
    <w:pPr>
      <w:spacing w:line="240" w:lineRule="auto"/>
    </w:pPr>
    <w:rPr>
      <w:sz w:val="20"/>
      <w:szCs w:val="20"/>
    </w:rPr>
  </w:style>
  <w:style w:type="character" w:customStyle="1" w:styleId="CommentTextChar">
    <w:name w:val="Comment Text Char"/>
    <w:basedOn w:val="DefaultParagraphFont"/>
    <w:link w:val="CommentText"/>
    <w:uiPriority w:val="99"/>
    <w:semiHidden/>
    <w:rsid w:val="00F774BD"/>
    <w:rPr>
      <w:sz w:val="20"/>
      <w:szCs w:val="20"/>
    </w:rPr>
  </w:style>
  <w:style w:type="paragraph" w:styleId="BalloonText">
    <w:name w:val="Balloon Text"/>
    <w:basedOn w:val="Normal"/>
    <w:link w:val="BalloonTextChar"/>
    <w:uiPriority w:val="99"/>
    <w:semiHidden/>
    <w:unhideWhenUsed/>
    <w:rsid w:val="00F7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4BD"/>
    <w:rPr>
      <w:rFonts w:ascii="Segoe UI" w:hAnsi="Segoe UI" w:cs="Segoe UI"/>
      <w:sz w:val="18"/>
      <w:szCs w:val="18"/>
    </w:rPr>
  </w:style>
  <w:style w:type="character" w:customStyle="1" w:styleId="Heading1Char">
    <w:name w:val="Heading 1 Char"/>
    <w:basedOn w:val="DefaultParagraphFont"/>
    <w:link w:val="Heading1"/>
    <w:uiPriority w:val="9"/>
    <w:rsid w:val="001C588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C588B"/>
    <w:pPr>
      <w:outlineLvl w:val="9"/>
    </w:pPr>
  </w:style>
  <w:style w:type="paragraph" w:styleId="TOC2">
    <w:name w:val="toc 2"/>
    <w:basedOn w:val="Normal"/>
    <w:next w:val="Normal"/>
    <w:autoRedefine/>
    <w:uiPriority w:val="39"/>
    <w:unhideWhenUsed/>
    <w:rsid w:val="001C588B"/>
    <w:pPr>
      <w:spacing w:after="100"/>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1C588B"/>
    <w:pPr>
      <w:spacing w:after="100"/>
    </w:pPr>
    <w:rPr>
      <w:rFonts w:asciiTheme="minorHAnsi" w:eastAsiaTheme="minorEastAsia" w:hAnsiTheme="minorHAnsi"/>
      <w:sz w:val="22"/>
      <w:szCs w:val="22"/>
    </w:rPr>
  </w:style>
  <w:style w:type="paragraph" w:styleId="TOC3">
    <w:name w:val="toc 3"/>
    <w:basedOn w:val="Normal"/>
    <w:next w:val="Normal"/>
    <w:autoRedefine/>
    <w:uiPriority w:val="39"/>
    <w:unhideWhenUsed/>
    <w:rsid w:val="001C588B"/>
    <w:pPr>
      <w:spacing w:after="100"/>
      <w:ind w:left="440"/>
    </w:pPr>
    <w:rPr>
      <w:rFonts w:asciiTheme="minorHAnsi" w:eastAsiaTheme="minorEastAsia" w:hAnsiTheme="minorHAnsi"/>
      <w:sz w:val="22"/>
      <w:szCs w:val="22"/>
    </w:rPr>
  </w:style>
  <w:style w:type="paragraph" w:styleId="Header">
    <w:name w:val="header"/>
    <w:basedOn w:val="Normal"/>
    <w:link w:val="HeaderChar"/>
    <w:uiPriority w:val="99"/>
    <w:unhideWhenUsed/>
    <w:rsid w:val="00FC69DD"/>
    <w:pPr>
      <w:tabs>
        <w:tab w:val="center" w:pos="4680"/>
        <w:tab w:val="right" w:pos="9360"/>
      </w:tabs>
      <w:spacing w:line="240" w:lineRule="auto"/>
    </w:pPr>
  </w:style>
  <w:style w:type="character" w:customStyle="1" w:styleId="HeaderChar">
    <w:name w:val="Header Char"/>
    <w:basedOn w:val="DefaultParagraphFont"/>
    <w:link w:val="Header"/>
    <w:uiPriority w:val="99"/>
    <w:rsid w:val="00FC69DD"/>
  </w:style>
  <w:style w:type="paragraph" w:styleId="Footer">
    <w:name w:val="footer"/>
    <w:basedOn w:val="Normal"/>
    <w:link w:val="FooterChar"/>
    <w:uiPriority w:val="99"/>
    <w:unhideWhenUsed/>
    <w:rsid w:val="00FC69DD"/>
    <w:pPr>
      <w:tabs>
        <w:tab w:val="center" w:pos="4680"/>
        <w:tab w:val="right" w:pos="9360"/>
      </w:tabs>
      <w:spacing w:line="240" w:lineRule="auto"/>
    </w:pPr>
  </w:style>
  <w:style w:type="character" w:customStyle="1" w:styleId="FooterChar">
    <w:name w:val="Footer Char"/>
    <w:basedOn w:val="DefaultParagraphFont"/>
    <w:link w:val="Footer"/>
    <w:uiPriority w:val="99"/>
    <w:rsid w:val="00FC69DD"/>
  </w:style>
  <w:style w:type="paragraph" w:styleId="ListParagraph">
    <w:name w:val="List Paragraph"/>
    <w:basedOn w:val="Normal"/>
    <w:uiPriority w:val="34"/>
    <w:qFormat/>
    <w:rsid w:val="003278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77980">
      <w:bodyDiv w:val="1"/>
      <w:marLeft w:val="0"/>
      <w:marRight w:val="0"/>
      <w:marTop w:val="0"/>
      <w:marBottom w:val="0"/>
      <w:divBdr>
        <w:top w:val="none" w:sz="0" w:space="0" w:color="auto"/>
        <w:left w:val="none" w:sz="0" w:space="0" w:color="auto"/>
        <w:bottom w:val="none" w:sz="0" w:space="0" w:color="auto"/>
        <w:right w:val="none" w:sz="0" w:space="0" w:color="auto"/>
      </w:divBdr>
    </w:div>
    <w:div w:id="235166994">
      <w:bodyDiv w:val="1"/>
      <w:marLeft w:val="0"/>
      <w:marRight w:val="0"/>
      <w:marTop w:val="0"/>
      <w:marBottom w:val="0"/>
      <w:divBdr>
        <w:top w:val="none" w:sz="0" w:space="0" w:color="auto"/>
        <w:left w:val="none" w:sz="0" w:space="0" w:color="auto"/>
        <w:bottom w:val="none" w:sz="0" w:space="0" w:color="auto"/>
        <w:right w:val="none" w:sz="0" w:space="0" w:color="auto"/>
      </w:divBdr>
    </w:div>
    <w:div w:id="243146153">
      <w:bodyDiv w:val="1"/>
      <w:marLeft w:val="0"/>
      <w:marRight w:val="0"/>
      <w:marTop w:val="0"/>
      <w:marBottom w:val="0"/>
      <w:divBdr>
        <w:top w:val="none" w:sz="0" w:space="0" w:color="auto"/>
        <w:left w:val="none" w:sz="0" w:space="0" w:color="auto"/>
        <w:bottom w:val="none" w:sz="0" w:space="0" w:color="auto"/>
        <w:right w:val="none" w:sz="0" w:space="0" w:color="auto"/>
      </w:divBdr>
    </w:div>
    <w:div w:id="396131845">
      <w:bodyDiv w:val="1"/>
      <w:marLeft w:val="0"/>
      <w:marRight w:val="0"/>
      <w:marTop w:val="0"/>
      <w:marBottom w:val="0"/>
      <w:divBdr>
        <w:top w:val="none" w:sz="0" w:space="0" w:color="auto"/>
        <w:left w:val="none" w:sz="0" w:space="0" w:color="auto"/>
        <w:bottom w:val="none" w:sz="0" w:space="0" w:color="auto"/>
        <w:right w:val="none" w:sz="0" w:space="0" w:color="auto"/>
      </w:divBdr>
    </w:div>
    <w:div w:id="523522428">
      <w:bodyDiv w:val="1"/>
      <w:marLeft w:val="0"/>
      <w:marRight w:val="0"/>
      <w:marTop w:val="0"/>
      <w:marBottom w:val="0"/>
      <w:divBdr>
        <w:top w:val="none" w:sz="0" w:space="0" w:color="auto"/>
        <w:left w:val="none" w:sz="0" w:space="0" w:color="auto"/>
        <w:bottom w:val="none" w:sz="0" w:space="0" w:color="auto"/>
        <w:right w:val="none" w:sz="0" w:space="0" w:color="auto"/>
      </w:divBdr>
    </w:div>
    <w:div w:id="594943220">
      <w:bodyDiv w:val="1"/>
      <w:marLeft w:val="0"/>
      <w:marRight w:val="0"/>
      <w:marTop w:val="0"/>
      <w:marBottom w:val="0"/>
      <w:divBdr>
        <w:top w:val="none" w:sz="0" w:space="0" w:color="auto"/>
        <w:left w:val="none" w:sz="0" w:space="0" w:color="auto"/>
        <w:bottom w:val="none" w:sz="0" w:space="0" w:color="auto"/>
        <w:right w:val="none" w:sz="0" w:space="0" w:color="auto"/>
      </w:divBdr>
    </w:div>
    <w:div w:id="600114533">
      <w:bodyDiv w:val="1"/>
      <w:marLeft w:val="0"/>
      <w:marRight w:val="0"/>
      <w:marTop w:val="0"/>
      <w:marBottom w:val="0"/>
      <w:divBdr>
        <w:top w:val="none" w:sz="0" w:space="0" w:color="auto"/>
        <w:left w:val="none" w:sz="0" w:space="0" w:color="auto"/>
        <w:bottom w:val="none" w:sz="0" w:space="0" w:color="auto"/>
        <w:right w:val="none" w:sz="0" w:space="0" w:color="auto"/>
      </w:divBdr>
    </w:div>
    <w:div w:id="749425748">
      <w:bodyDiv w:val="1"/>
      <w:marLeft w:val="0"/>
      <w:marRight w:val="0"/>
      <w:marTop w:val="0"/>
      <w:marBottom w:val="0"/>
      <w:divBdr>
        <w:top w:val="none" w:sz="0" w:space="0" w:color="auto"/>
        <w:left w:val="none" w:sz="0" w:space="0" w:color="auto"/>
        <w:bottom w:val="none" w:sz="0" w:space="0" w:color="auto"/>
        <w:right w:val="none" w:sz="0" w:space="0" w:color="auto"/>
      </w:divBdr>
    </w:div>
    <w:div w:id="873663742">
      <w:bodyDiv w:val="1"/>
      <w:marLeft w:val="0"/>
      <w:marRight w:val="0"/>
      <w:marTop w:val="0"/>
      <w:marBottom w:val="0"/>
      <w:divBdr>
        <w:top w:val="none" w:sz="0" w:space="0" w:color="auto"/>
        <w:left w:val="none" w:sz="0" w:space="0" w:color="auto"/>
        <w:bottom w:val="none" w:sz="0" w:space="0" w:color="auto"/>
        <w:right w:val="none" w:sz="0" w:space="0" w:color="auto"/>
      </w:divBdr>
    </w:div>
    <w:div w:id="909079559">
      <w:bodyDiv w:val="1"/>
      <w:marLeft w:val="0"/>
      <w:marRight w:val="0"/>
      <w:marTop w:val="0"/>
      <w:marBottom w:val="0"/>
      <w:divBdr>
        <w:top w:val="none" w:sz="0" w:space="0" w:color="auto"/>
        <w:left w:val="none" w:sz="0" w:space="0" w:color="auto"/>
        <w:bottom w:val="none" w:sz="0" w:space="0" w:color="auto"/>
        <w:right w:val="none" w:sz="0" w:space="0" w:color="auto"/>
      </w:divBdr>
    </w:div>
    <w:div w:id="951281928">
      <w:bodyDiv w:val="1"/>
      <w:marLeft w:val="0"/>
      <w:marRight w:val="0"/>
      <w:marTop w:val="0"/>
      <w:marBottom w:val="0"/>
      <w:divBdr>
        <w:top w:val="none" w:sz="0" w:space="0" w:color="auto"/>
        <w:left w:val="none" w:sz="0" w:space="0" w:color="auto"/>
        <w:bottom w:val="none" w:sz="0" w:space="0" w:color="auto"/>
        <w:right w:val="none" w:sz="0" w:space="0" w:color="auto"/>
      </w:divBdr>
    </w:div>
    <w:div w:id="1052656792">
      <w:bodyDiv w:val="1"/>
      <w:marLeft w:val="0"/>
      <w:marRight w:val="0"/>
      <w:marTop w:val="0"/>
      <w:marBottom w:val="0"/>
      <w:divBdr>
        <w:top w:val="none" w:sz="0" w:space="0" w:color="auto"/>
        <w:left w:val="none" w:sz="0" w:space="0" w:color="auto"/>
        <w:bottom w:val="none" w:sz="0" w:space="0" w:color="auto"/>
        <w:right w:val="none" w:sz="0" w:space="0" w:color="auto"/>
      </w:divBdr>
    </w:div>
    <w:div w:id="1055549783">
      <w:bodyDiv w:val="1"/>
      <w:marLeft w:val="0"/>
      <w:marRight w:val="0"/>
      <w:marTop w:val="0"/>
      <w:marBottom w:val="0"/>
      <w:divBdr>
        <w:top w:val="none" w:sz="0" w:space="0" w:color="auto"/>
        <w:left w:val="none" w:sz="0" w:space="0" w:color="auto"/>
        <w:bottom w:val="none" w:sz="0" w:space="0" w:color="auto"/>
        <w:right w:val="none" w:sz="0" w:space="0" w:color="auto"/>
      </w:divBdr>
    </w:div>
    <w:div w:id="1125539751">
      <w:bodyDiv w:val="1"/>
      <w:marLeft w:val="0"/>
      <w:marRight w:val="0"/>
      <w:marTop w:val="0"/>
      <w:marBottom w:val="0"/>
      <w:divBdr>
        <w:top w:val="none" w:sz="0" w:space="0" w:color="auto"/>
        <w:left w:val="none" w:sz="0" w:space="0" w:color="auto"/>
        <w:bottom w:val="none" w:sz="0" w:space="0" w:color="auto"/>
        <w:right w:val="none" w:sz="0" w:space="0" w:color="auto"/>
      </w:divBdr>
    </w:div>
    <w:div w:id="1334644629">
      <w:bodyDiv w:val="1"/>
      <w:marLeft w:val="0"/>
      <w:marRight w:val="0"/>
      <w:marTop w:val="0"/>
      <w:marBottom w:val="0"/>
      <w:divBdr>
        <w:top w:val="none" w:sz="0" w:space="0" w:color="auto"/>
        <w:left w:val="none" w:sz="0" w:space="0" w:color="auto"/>
        <w:bottom w:val="none" w:sz="0" w:space="0" w:color="auto"/>
        <w:right w:val="none" w:sz="0" w:space="0" w:color="auto"/>
      </w:divBdr>
    </w:div>
    <w:div w:id="1346787884">
      <w:bodyDiv w:val="1"/>
      <w:marLeft w:val="0"/>
      <w:marRight w:val="0"/>
      <w:marTop w:val="0"/>
      <w:marBottom w:val="0"/>
      <w:divBdr>
        <w:top w:val="none" w:sz="0" w:space="0" w:color="auto"/>
        <w:left w:val="none" w:sz="0" w:space="0" w:color="auto"/>
        <w:bottom w:val="none" w:sz="0" w:space="0" w:color="auto"/>
        <w:right w:val="none" w:sz="0" w:space="0" w:color="auto"/>
      </w:divBdr>
    </w:div>
    <w:div w:id="1379284574">
      <w:bodyDiv w:val="1"/>
      <w:marLeft w:val="0"/>
      <w:marRight w:val="0"/>
      <w:marTop w:val="0"/>
      <w:marBottom w:val="0"/>
      <w:divBdr>
        <w:top w:val="none" w:sz="0" w:space="0" w:color="auto"/>
        <w:left w:val="none" w:sz="0" w:space="0" w:color="auto"/>
        <w:bottom w:val="none" w:sz="0" w:space="0" w:color="auto"/>
        <w:right w:val="none" w:sz="0" w:space="0" w:color="auto"/>
      </w:divBdr>
    </w:div>
    <w:div w:id="1555968283">
      <w:bodyDiv w:val="1"/>
      <w:marLeft w:val="0"/>
      <w:marRight w:val="0"/>
      <w:marTop w:val="0"/>
      <w:marBottom w:val="0"/>
      <w:divBdr>
        <w:top w:val="none" w:sz="0" w:space="0" w:color="auto"/>
        <w:left w:val="none" w:sz="0" w:space="0" w:color="auto"/>
        <w:bottom w:val="none" w:sz="0" w:space="0" w:color="auto"/>
        <w:right w:val="none" w:sz="0" w:space="0" w:color="auto"/>
      </w:divBdr>
    </w:div>
    <w:div w:id="1589851867">
      <w:bodyDiv w:val="1"/>
      <w:marLeft w:val="0"/>
      <w:marRight w:val="0"/>
      <w:marTop w:val="0"/>
      <w:marBottom w:val="0"/>
      <w:divBdr>
        <w:top w:val="none" w:sz="0" w:space="0" w:color="auto"/>
        <w:left w:val="none" w:sz="0" w:space="0" w:color="auto"/>
        <w:bottom w:val="none" w:sz="0" w:space="0" w:color="auto"/>
        <w:right w:val="none" w:sz="0" w:space="0" w:color="auto"/>
      </w:divBdr>
    </w:div>
    <w:div w:id="1657371226">
      <w:bodyDiv w:val="1"/>
      <w:marLeft w:val="0"/>
      <w:marRight w:val="0"/>
      <w:marTop w:val="0"/>
      <w:marBottom w:val="0"/>
      <w:divBdr>
        <w:top w:val="none" w:sz="0" w:space="0" w:color="auto"/>
        <w:left w:val="none" w:sz="0" w:space="0" w:color="auto"/>
        <w:bottom w:val="none" w:sz="0" w:space="0" w:color="auto"/>
        <w:right w:val="none" w:sz="0" w:space="0" w:color="auto"/>
      </w:divBdr>
    </w:div>
    <w:div w:id="1728995054">
      <w:bodyDiv w:val="1"/>
      <w:marLeft w:val="0"/>
      <w:marRight w:val="0"/>
      <w:marTop w:val="0"/>
      <w:marBottom w:val="0"/>
      <w:divBdr>
        <w:top w:val="none" w:sz="0" w:space="0" w:color="auto"/>
        <w:left w:val="none" w:sz="0" w:space="0" w:color="auto"/>
        <w:bottom w:val="none" w:sz="0" w:space="0" w:color="auto"/>
        <w:right w:val="none" w:sz="0" w:space="0" w:color="auto"/>
      </w:divBdr>
    </w:div>
    <w:div w:id="1814326601">
      <w:bodyDiv w:val="1"/>
      <w:marLeft w:val="0"/>
      <w:marRight w:val="0"/>
      <w:marTop w:val="0"/>
      <w:marBottom w:val="0"/>
      <w:divBdr>
        <w:top w:val="none" w:sz="0" w:space="0" w:color="auto"/>
        <w:left w:val="none" w:sz="0" w:space="0" w:color="auto"/>
        <w:bottom w:val="none" w:sz="0" w:space="0" w:color="auto"/>
        <w:right w:val="none" w:sz="0" w:space="0" w:color="auto"/>
      </w:divBdr>
    </w:div>
    <w:div w:id="200450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456A8-07B1-40D9-9BA1-EF721CC23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15836</Words>
  <Characters>90269</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105894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Ledesma</dc:creator>
  <cp:keywords/>
  <dc:description/>
  <cp:lastModifiedBy>Jorge Ledesma</cp:lastModifiedBy>
  <cp:revision>3</cp:revision>
  <dcterms:created xsi:type="dcterms:W3CDTF">2020-11-09T18:31:00Z</dcterms:created>
  <dcterms:modified xsi:type="dcterms:W3CDTF">2020-11-09T21:24:00Z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http://www.zotero.org/styles/bmj-open</vt:lpwstr>
  </property>
  <property fmtid="{D5CDD505-2E9C-101B-9397-08002B2CF9AE}" pid="7" name="Mendeley Recent Style Name 2_1">
    <vt:lpwstr>BMJ Open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5b547a3e-9378-3b07-8f6b-97854d117d15</vt:lpwstr>
  </property>
  <property fmtid="{D5CDD505-2E9C-101B-9397-08002B2CF9AE}" pid="24" name="Mendeley Citation Style_1">
    <vt:lpwstr>http://www.zotero.org/styles/vancouver</vt:lpwstr>
  </property>
</Properties>
</file>