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Normal.0"/>
        <w:spacing w:line="360" w:lineRule="auto"/>
        <w:jc w:val="left"/>
        <w:rPr>
          <w:rFonts w:ascii="Times New Roman" w:cs="Times New Roman" w:hAnsi="Times New Roman" w:eastAsia="Times New Roman"/>
          <w:color w:val="000000"/>
          <w:kern w:val="0"/>
          <w:sz w:val="20"/>
          <w:szCs w:val="20"/>
          <w:u w:color="000000"/>
        </w:rPr>
      </w:pPr>
      <w:r>
        <w:rPr>
          <w:rFonts w:ascii="Times New Roman" w:hAnsi="Times New Roman"/>
          <w:b w:val="1"/>
          <w:bCs w:val="1"/>
          <w:color w:val="000000"/>
          <w:kern w:val="0"/>
          <w:sz w:val="20"/>
          <w:szCs w:val="20"/>
          <w:u w:color="000000"/>
          <w:rtl w:val="0"/>
          <w:lang w:val="en-US"/>
        </w:rPr>
        <w:t xml:space="preserve">Supplementary Table 1. </w:t>
      </w:r>
      <w:r>
        <w:rPr>
          <w:rFonts w:ascii="Times New Roman" w:hAnsi="Times New Roman"/>
          <w:color w:val="000000"/>
          <w:kern w:val="0"/>
          <w:sz w:val="20"/>
          <w:szCs w:val="20"/>
          <w:u w:color="000000"/>
          <w:rtl w:val="0"/>
          <w:lang w:val="en-US"/>
        </w:rPr>
        <w:t>Data resources.</w:t>
      </w:r>
    </w:p>
    <w:tbl>
      <w:tblPr>
        <w:tblW w:w="1530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623"/>
        <w:gridCol w:w="839"/>
        <w:gridCol w:w="1573"/>
        <w:gridCol w:w="1573"/>
        <w:gridCol w:w="1416"/>
        <w:gridCol w:w="1100"/>
        <w:gridCol w:w="1416"/>
        <w:gridCol w:w="1101"/>
        <w:gridCol w:w="944"/>
        <w:gridCol w:w="1101"/>
        <w:gridCol w:w="1888"/>
        <w:gridCol w:w="1730"/>
      </w:tblGrid>
      <w:tr>
        <w:tblPrEx>
          <w:shd w:val="clear" w:color="auto" w:fill="cdd4e9"/>
        </w:tblPrEx>
        <w:trPr>
          <w:trHeight w:val="230" w:hRule="atLeast"/>
        </w:trPr>
        <w:tc>
          <w:tcPr>
            <w:tcW w:type="dxa" w:w="62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83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Group</w:t>
            </w:r>
          </w:p>
        </w:tc>
        <w:tc>
          <w:tcPr>
            <w:tcW w:type="dxa" w:w="157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Lesion size (cm)</w:t>
            </w:r>
          </w:p>
        </w:tc>
        <w:tc>
          <w:tcPr>
            <w:tcW w:type="dxa" w:w="157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Lesion location</w:t>
            </w:r>
          </w:p>
        </w:tc>
        <w:tc>
          <w:tcPr>
            <w:tcW w:type="dxa" w:w="141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PNM classification</w:t>
            </w:r>
          </w:p>
        </w:tc>
        <w:tc>
          <w:tcPr>
            <w:tcW w:type="dxa" w:w="110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Clinical stage</w:t>
            </w:r>
          </w:p>
        </w:tc>
        <w:tc>
          <w:tcPr>
            <w:tcW w:type="dxa" w:w="141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Medication history</w:t>
            </w:r>
          </w:p>
        </w:tc>
        <w:tc>
          <w:tcPr>
            <w:tcW w:type="dxa" w:w="204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Data availability</w:t>
            </w:r>
          </w:p>
        </w:tc>
        <w:tc>
          <w:tcPr>
            <w:tcW w:type="dxa" w:w="110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TBR value</w:t>
            </w:r>
          </w:p>
        </w:tc>
        <w:tc>
          <w:tcPr>
            <w:tcW w:type="dxa" w:w="361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LME range (mm) indicated by:</w:t>
            </w:r>
          </w:p>
        </w:tc>
      </w:tr>
      <w:tr>
        <w:tblPrEx>
          <w:shd w:val="clear" w:color="auto" w:fill="cdd4e9"/>
        </w:tblPrEx>
        <w:trPr>
          <w:trHeight w:val="230" w:hRule="atLeast"/>
        </w:trPr>
        <w:tc>
          <w:tcPr>
            <w:tcW w:type="dxa" w:w="62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83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57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57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41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10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41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PET/CT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MSS</w:t>
            </w:r>
          </w:p>
        </w:tc>
        <w:tc>
          <w:tcPr>
            <w:tcW w:type="dxa" w:w="110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PET/CT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MSS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4.7, 3.5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4.40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18.0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11.6, 3.6, 2.5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RL, LLL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10.11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20.0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18.0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3.66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12.5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9.9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4.96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19.5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14.0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3.88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11.6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7.03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7.2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3.03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8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4.7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5.39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19.3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5.1, 1.7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4.40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18.3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5.8, 1.2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3.60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14.7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6.3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4.92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4.4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6.19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14.0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13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7.7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2.75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12.5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14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6.1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1.69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9.7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7.0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2.55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13.0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16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7.6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1.67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11.3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17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7.2, 3.3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3.60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10.5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18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8.3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2.50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11.2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19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12.6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3.84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11.2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20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5.6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RPL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5.75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10.6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21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7.8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1.94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9.5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22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5.7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1.58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9.2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23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4.6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1.80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8.7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24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9.9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3.62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25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5.4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3.10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9.4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26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B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1.64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9.3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27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13.0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4.57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10.8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28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15.7, 12.6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3.47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13.2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29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9.8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5.44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13.3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30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13.9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7.08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13.2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31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14.5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3.76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12.2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32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13.9, 5.0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RTS, LLL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3.13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10.7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33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3.69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12.9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34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5.13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11.9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35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2.61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12.2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36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12.8, 8.8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RPL, LLL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3.45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10.9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37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13.2, 3.1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4.78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11.6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38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2.44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12.3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39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8.8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RL, LLL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5.09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14.4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40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8.6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3.92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12.9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41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3.61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10.7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42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C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12.2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5.20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12.9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43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D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9.2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2.74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44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D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14.0, 3.5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3.21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7.6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45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D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14.9, 2.0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2.75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7.8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46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D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8.0, 4.1, 3.0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2.90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47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D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12.0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3.98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9.6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48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D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5.7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2.11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8.0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49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D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5.6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2.44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11.5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50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D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6.2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3.15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6.9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51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D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13.5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2.96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6.2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52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D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6.9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RPL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3.19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6.4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53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D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9.7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1.29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6.3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54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D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2.19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7.7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55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13.7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4.81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14.5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56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11.0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7.90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57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17.0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3.49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58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14.7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3.49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7.5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59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16.7, 2.8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3.80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12.2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60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6.3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RPL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5.08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12.5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61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6.7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4.06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11.4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62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4.71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12.5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63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5.3, 1.5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4.79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12.9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64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6.4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4.92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13.0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65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8.3, 1.1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RPL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4.17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9.2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66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7.3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3.60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10.6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67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F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4.0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1.93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7.4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68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F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6.8, 3.6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3.66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7.0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69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F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2.48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6.5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70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F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12.5, 2.1, 4.1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2.49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7.7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71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F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15.2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4.27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7.3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10.0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72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F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11.2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2.29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6.6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73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F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12.5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IV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1.29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6.6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74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F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15.1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LTS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No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4.50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6.8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5.0</w:t>
            </w:r>
          </w:p>
        </w:tc>
      </w:tr>
      <w:tr>
        <w:tblPrEx>
          <w:shd w:val="clear" w:color="auto" w:fill="cdd4e9"/>
        </w:tblPrEx>
        <w:trPr>
          <w:trHeight w:val="222" w:hRule="atLeast"/>
        </w:trPr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75</w:t>
            </w:r>
          </w:p>
        </w:tc>
        <w:tc>
          <w:tcPr>
            <w:tcW w:type="dxa" w:w="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F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8.9</w:t>
            </w:r>
          </w:p>
        </w:tc>
        <w:tc>
          <w:tcPr>
            <w:tcW w:type="dxa" w:w="1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RL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rtl w:val="0"/>
                <w:lang w:val="en-US"/>
              </w:rPr>
              <w:t>0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IIIb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Yes</w:t>
            </w:r>
          </w:p>
        </w:tc>
        <w:tc>
          <w:tcPr>
            <w:tcW w:type="dxa" w:w="9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  <w:tc>
          <w:tcPr>
            <w:tcW w:type="dxa" w:w="1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3.27</w:t>
            </w:r>
          </w:p>
        </w:tc>
        <w:tc>
          <w:tcPr>
            <w:tcW w:type="dxa" w:w="18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6.9</w:t>
            </w:r>
          </w:p>
        </w:tc>
        <w:tc>
          <w:tcPr>
            <w:tcW w:type="dxa" w:w="17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kern w:val="0"/>
                <w:sz w:val="20"/>
                <w:szCs w:val="20"/>
                <w:rtl w:val="0"/>
                <w:lang w:val="en-US"/>
              </w:rPr>
              <w:t>-</w:t>
            </w:r>
          </w:p>
        </w:tc>
      </w:tr>
    </w:tbl>
    <w:p>
      <w:pPr>
        <w:pStyle w:val="Normal.0"/>
        <w:jc w:val="left"/>
        <w:rPr>
          <w:rFonts w:ascii="Times New Roman" w:cs="Times New Roman" w:hAnsi="Times New Roman" w:eastAsia="Times New Roman"/>
          <w:color w:val="000000"/>
          <w:kern w:val="0"/>
          <w:sz w:val="20"/>
          <w:szCs w:val="20"/>
          <w:u w:color="000000"/>
        </w:rPr>
      </w:pPr>
    </w:p>
    <w:p>
      <w:pPr>
        <w:pStyle w:val="Normal.0"/>
        <w:spacing w:line="360" w:lineRule="auto"/>
        <w:jc w:val="left"/>
        <w:rPr>
          <w:rFonts w:ascii="Times New Roman" w:cs="Times New Roman" w:hAnsi="Times New Roman" w:eastAsia="Times New Roman"/>
          <w:color w:val="000000"/>
          <w:kern w:val="0"/>
          <w:sz w:val="20"/>
          <w:szCs w:val="20"/>
          <w:u w:color="000000"/>
        </w:rPr>
      </w:pPr>
      <w:r>
        <w:rPr>
          <w:rFonts w:ascii="Times New Roman" w:hAnsi="Times New Roman"/>
          <w:color w:val="000000"/>
          <w:kern w:val="0"/>
          <w:sz w:val="20"/>
          <w:szCs w:val="20"/>
          <w:u w:color="000000"/>
          <w:rtl w:val="0"/>
          <w:lang w:val="en-US"/>
        </w:rPr>
        <w:t>Note:</w:t>
      </w:r>
      <w:r>
        <w:rPr>
          <w:rFonts w:ascii="Times New Roman" w:hAnsi="Times New Roman"/>
          <w:color w:val="000000"/>
          <w:kern w:val="0"/>
          <w:sz w:val="20"/>
          <w:szCs w:val="20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color w:val="000000"/>
          <w:kern w:val="0"/>
          <w:sz w:val="20"/>
          <w:szCs w:val="20"/>
          <w:u w:color="000000"/>
          <w:rtl w:val="0"/>
          <w:lang w:val="en-US"/>
        </w:rPr>
        <w:t>(1) Abbreviations: PET/CT= positron emission tomography and computed tomography; MSS=multi-site sampling method; TBR=tumor-to-background ratio (no unit); LME=lesion microenvironment; RL=right lobe hemi-liver; RPL=right posterior lobe liver; RTS=right trisection (right lobe plus left medial lobe liver); ML=middle lobe liver (left medial lobe liver); LLL=left lateral lobe liver; LL=left lobe hemi-liver (ML+LLL); LTS=left trisection (LL plus right anterior lobe liver); A-F=groups representatives.</w:t>
      </w:r>
    </w:p>
    <w:p>
      <w:pPr>
        <w:pStyle w:val="Normal.0"/>
        <w:spacing w:line="360" w:lineRule="auto"/>
        <w:jc w:val="left"/>
      </w:pPr>
      <w:r>
        <w:rPr>
          <w:rFonts w:ascii="Times New Roman" w:hAnsi="Times New Roman"/>
          <w:color w:val="000000"/>
          <w:kern w:val="0"/>
          <w:sz w:val="20"/>
          <w:szCs w:val="20"/>
          <w:u w:color="000000"/>
          <w:rtl w:val="0"/>
          <w:lang w:val="en-US"/>
        </w:rPr>
        <w:t>(2) Explanations: Lesion size was recorded with average diameter of each single lesion; PNM classifications and clinical stages were based on WHO/IWGE recommendations.</w:t>
      </w:r>
    </w:p>
    <w:sectPr>
      <w:headerReference w:type="default" r:id="rId4"/>
      <w:footerReference w:type="default" r:id="rId5"/>
      <w:pgSz w:w="16840" w:h="11900" w:orient="landscape"/>
      <w:pgMar w:top="720" w:right="720" w:bottom="720" w:left="720" w:header="851" w:footer="99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等线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4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​​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等线"/>
            <a:ea typeface="等线"/>
            <a:cs typeface="等线"/>
            <a:sym typeface="等线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等线"/>
            <a:ea typeface="等线"/>
            <a:cs typeface="等线"/>
            <a:sym typeface="等线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