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9B" w:rsidRPr="0096406A" w:rsidRDefault="003E4F9B" w:rsidP="003E4F9B">
      <w:pPr>
        <w:spacing w:line="480" w:lineRule="auto"/>
        <w:rPr>
          <w:b/>
          <w:color w:val="000000" w:themeColor="text1"/>
          <w:sz w:val="28"/>
          <w:szCs w:val="26"/>
          <w:lang w:val="en-US"/>
        </w:rPr>
      </w:pPr>
      <w:r w:rsidRPr="0096406A">
        <w:rPr>
          <w:b/>
          <w:color w:val="000000" w:themeColor="text1"/>
          <w:sz w:val="28"/>
          <w:szCs w:val="26"/>
          <w:lang w:val="en-US"/>
        </w:rPr>
        <w:t>Additional file 3</w:t>
      </w:r>
    </w:p>
    <w:p w:rsidR="003E4F9B" w:rsidRPr="0096406A" w:rsidRDefault="003E4F9B" w:rsidP="003E4F9B">
      <w:pPr>
        <w:spacing w:line="480" w:lineRule="auto"/>
        <w:rPr>
          <w:b/>
          <w:color w:val="000000" w:themeColor="text1"/>
          <w:szCs w:val="24"/>
          <w:lang w:val="en-US"/>
        </w:rPr>
      </w:pPr>
      <w:r w:rsidRPr="0096406A">
        <w:rPr>
          <w:b/>
          <w:color w:val="000000" w:themeColor="text1"/>
          <w:szCs w:val="24"/>
          <w:lang w:val="en-US"/>
        </w:rPr>
        <w:t>Methods</w:t>
      </w:r>
    </w:p>
    <w:p w:rsidR="003E4F9B" w:rsidRPr="0096406A" w:rsidRDefault="003E4F9B" w:rsidP="003E4F9B">
      <w:pPr>
        <w:spacing w:line="480" w:lineRule="auto"/>
        <w:rPr>
          <w:i/>
          <w:lang w:val="en-US"/>
        </w:rPr>
      </w:pPr>
      <w:r w:rsidRPr="0096406A">
        <w:rPr>
          <w:i/>
          <w:lang w:val="en-US"/>
        </w:rPr>
        <w:t>Flow-</w:t>
      </w:r>
      <w:proofErr w:type="spellStart"/>
      <w:r w:rsidRPr="0096406A">
        <w:rPr>
          <w:i/>
          <w:lang w:val="en-US"/>
        </w:rPr>
        <w:t>cytometry</w:t>
      </w:r>
      <w:proofErr w:type="spellEnd"/>
    </w:p>
    <w:p w:rsidR="003E4F9B" w:rsidRPr="0096406A" w:rsidRDefault="003E4F9B" w:rsidP="003E4F9B">
      <w:pPr>
        <w:spacing w:line="480" w:lineRule="auto"/>
        <w:rPr>
          <w:lang w:val="en-US"/>
        </w:rPr>
      </w:pPr>
      <w:r w:rsidRPr="0096406A">
        <w:rPr>
          <w:lang w:val="en-US"/>
        </w:rPr>
        <w:t>All flow-</w:t>
      </w:r>
      <w:proofErr w:type="spellStart"/>
      <w:r w:rsidRPr="0096406A">
        <w:rPr>
          <w:lang w:val="en-US"/>
        </w:rPr>
        <w:t>cytometric</w:t>
      </w:r>
      <w:proofErr w:type="spellEnd"/>
      <w:r w:rsidRPr="0096406A">
        <w:rPr>
          <w:lang w:val="en-US"/>
        </w:rPr>
        <w:t xml:space="preserve"> antibodies were primary conjugated: CD3-PerCP, CD4-APC, CD4-PerCP, CD8-PE, CD8-PerCP, CD19-APC, CD27-PE, CD38-FITC, HLA-DR-APC, PD-1-PE, ICOS-BV421 and CXCR5-FITC and from Becton Dickinson (New Jersey, USA) except CD8-PerCP (Invitrogen, Thermo Fischer Scientific, </w:t>
      </w:r>
      <w:proofErr w:type="gramStart"/>
      <w:r w:rsidRPr="0096406A">
        <w:rPr>
          <w:lang w:val="en-US"/>
        </w:rPr>
        <w:t>Waltham</w:t>
      </w:r>
      <w:proofErr w:type="gramEnd"/>
      <w:r w:rsidRPr="0096406A">
        <w:rPr>
          <w:lang w:val="en-US"/>
        </w:rPr>
        <w:t xml:space="preserve">, USA). A BD </w:t>
      </w:r>
      <w:proofErr w:type="spellStart"/>
      <w:r w:rsidRPr="0096406A">
        <w:rPr>
          <w:lang w:val="en-US"/>
        </w:rPr>
        <w:t>FACSCanto</w:t>
      </w:r>
      <w:proofErr w:type="spellEnd"/>
      <w:r w:rsidRPr="0096406A">
        <w:rPr>
          <w:lang w:val="en-US"/>
        </w:rPr>
        <w:t xml:space="preserve"> II was used.</w:t>
      </w:r>
    </w:p>
    <w:p w:rsidR="003E4F9B" w:rsidRPr="0096406A" w:rsidRDefault="003E4F9B" w:rsidP="003E4F9B">
      <w:pPr>
        <w:spacing w:line="480" w:lineRule="auto"/>
        <w:rPr>
          <w:b/>
          <w:lang w:val="en-US"/>
        </w:rPr>
      </w:pPr>
    </w:p>
    <w:p w:rsidR="003E4F9B" w:rsidRPr="0096406A" w:rsidRDefault="003E4F9B" w:rsidP="003E4F9B">
      <w:pPr>
        <w:spacing w:line="480" w:lineRule="auto"/>
        <w:rPr>
          <w:i/>
          <w:lang w:val="en-US"/>
        </w:rPr>
      </w:pPr>
      <w:r w:rsidRPr="0096406A">
        <w:rPr>
          <w:i/>
          <w:lang w:val="en-US"/>
        </w:rPr>
        <w:t>T cell proliferation</w:t>
      </w:r>
    </w:p>
    <w:p w:rsidR="003E4F9B" w:rsidRPr="0096406A" w:rsidRDefault="003E4F9B" w:rsidP="003E4F9B">
      <w:pPr>
        <w:spacing w:line="480" w:lineRule="auto"/>
        <w:jc w:val="both"/>
        <w:rPr>
          <w:szCs w:val="24"/>
          <w:lang w:val="en-US"/>
        </w:rPr>
      </w:pPr>
      <w:r w:rsidRPr="0096406A">
        <w:rPr>
          <w:szCs w:val="24"/>
          <w:lang w:val="en-US"/>
        </w:rPr>
        <w:t xml:space="preserve">Peripheral blood mononuclear cells (PBMC) were stained with </w:t>
      </w:r>
      <w:proofErr w:type="spellStart"/>
      <w:r w:rsidRPr="0096406A">
        <w:rPr>
          <w:rFonts w:cs="Arial"/>
          <w:color w:val="000000"/>
          <w:szCs w:val="24"/>
          <w:shd w:val="clear" w:color="auto" w:fill="FFFFFF"/>
          <w:lang w:val="en-US"/>
        </w:rPr>
        <w:t>carboxyfluorescein</w:t>
      </w:r>
      <w:proofErr w:type="spellEnd"/>
      <w:r w:rsidRPr="0096406A">
        <w:rPr>
          <w:rFonts w:cs="Arial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6406A">
        <w:rPr>
          <w:rFonts w:cs="Arial"/>
          <w:color w:val="000000"/>
          <w:szCs w:val="24"/>
          <w:shd w:val="clear" w:color="auto" w:fill="FFFFFF"/>
          <w:lang w:val="en-US"/>
        </w:rPr>
        <w:t>diacetate</w:t>
      </w:r>
      <w:proofErr w:type="spellEnd"/>
      <w:r w:rsidRPr="0096406A">
        <w:rPr>
          <w:rFonts w:cs="Arial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96406A">
        <w:rPr>
          <w:rFonts w:cs="Arial"/>
          <w:color w:val="000000"/>
          <w:szCs w:val="24"/>
          <w:shd w:val="clear" w:color="auto" w:fill="FFFFFF"/>
          <w:lang w:val="en-US"/>
        </w:rPr>
        <w:t>succinimidyl</w:t>
      </w:r>
      <w:proofErr w:type="spellEnd"/>
      <w:r w:rsidRPr="0096406A">
        <w:rPr>
          <w:rFonts w:cs="Arial"/>
          <w:color w:val="000000"/>
          <w:szCs w:val="24"/>
          <w:shd w:val="clear" w:color="auto" w:fill="FFFFFF"/>
          <w:lang w:val="en-US"/>
        </w:rPr>
        <w:t xml:space="preserve"> ester (CFSE)</w:t>
      </w:r>
      <w:r w:rsidRPr="0096406A">
        <w:rPr>
          <w:szCs w:val="24"/>
          <w:lang w:val="en-US"/>
        </w:rPr>
        <w:t xml:space="preserve"> and stimulated (100.000 cells/well (96 well plate), concentration 1 x 10</w:t>
      </w:r>
      <w:r w:rsidRPr="0096406A">
        <w:rPr>
          <w:szCs w:val="24"/>
          <w:vertAlign w:val="superscript"/>
          <w:lang w:val="en-US"/>
        </w:rPr>
        <w:t>6</w:t>
      </w:r>
      <w:r w:rsidRPr="0096406A">
        <w:rPr>
          <w:szCs w:val="24"/>
          <w:lang w:val="en-US"/>
        </w:rPr>
        <w:t xml:space="preserve"> cells/mL) for 6 days with either PHA (1.5ug/well), irradiated allogeneic PBMC (200.000 cells/well) or left </w:t>
      </w:r>
      <w:proofErr w:type="spellStart"/>
      <w:r w:rsidRPr="0096406A">
        <w:rPr>
          <w:szCs w:val="24"/>
          <w:lang w:val="en-US"/>
        </w:rPr>
        <w:t>unstimulated</w:t>
      </w:r>
      <w:proofErr w:type="spellEnd"/>
      <w:r w:rsidRPr="0096406A">
        <w:rPr>
          <w:szCs w:val="24"/>
          <w:lang w:val="en-US"/>
        </w:rPr>
        <w:t>. The percentage of dividing CD3</w:t>
      </w:r>
      <w:r w:rsidRPr="0096406A">
        <w:rPr>
          <w:szCs w:val="24"/>
          <w:vertAlign w:val="superscript"/>
          <w:lang w:val="en-US"/>
        </w:rPr>
        <w:t xml:space="preserve">+ </w:t>
      </w:r>
      <w:r w:rsidRPr="0096406A">
        <w:rPr>
          <w:szCs w:val="24"/>
          <w:lang w:val="en-US"/>
        </w:rPr>
        <w:t>(</w:t>
      </w:r>
      <w:proofErr w:type="spellStart"/>
      <w:r w:rsidRPr="0096406A">
        <w:rPr>
          <w:szCs w:val="24"/>
          <w:lang w:val="en-US"/>
        </w:rPr>
        <w:t>PerCP</w:t>
      </w:r>
      <w:proofErr w:type="spellEnd"/>
      <w:r w:rsidRPr="0096406A">
        <w:rPr>
          <w:szCs w:val="24"/>
          <w:lang w:val="en-US"/>
        </w:rPr>
        <w:t>) CD4</w:t>
      </w:r>
      <w:r w:rsidRPr="0096406A">
        <w:rPr>
          <w:szCs w:val="24"/>
          <w:vertAlign w:val="superscript"/>
          <w:lang w:val="en-US"/>
        </w:rPr>
        <w:t>+</w:t>
      </w:r>
      <w:r w:rsidRPr="0096406A">
        <w:rPr>
          <w:szCs w:val="24"/>
          <w:lang w:val="en-US"/>
        </w:rPr>
        <w:t xml:space="preserve"> (APC)</w:t>
      </w:r>
      <w:r w:rsidRPr="0096406A">
        <w:rPr>
          <w:szCs w:val="24"/>
          <w:vertAlign w:val="superscript"/>
          <w:lang w:val="en-US"/>
        </w:rPr>
        <w:t xml:space="preserve"> </w:t>
      </w:r>
      <w:r w:rsidRPr="0096406A">
        <w:rPr>
          <w:szCs w:val="24"/>
          <w:lang w:val="en-US"/>
        </w:rPr>
        <w:t>and CD3</w:t>
      </w:r>
      <w:r w:rsidRPr="0096406A">
        <w:rPr>
          <w:szCs w:val="24"/>
          <w:vertAlign w:val="superscript"/>
          <w:lang w:val="en-US"/>
        </w:rPr>
        <w:t xml:space="preserve">+ </w:t>
      </w:r>
      <w:r w:rsidRPr="0096406A">
        <w:rPr>
          <w:szCs w:val="24"/>
          <w:lang w:val="en-US"/>
        </w:rPr>
        <w:t>(</w:t>
      </w:r>
      <w:proofErr w:type="spellStart"/>
      <w:r w:rsidRPr="0096406A">
        <w:rPr>
          <w:szCs w:val="24"/>
          <w:lang w:val="en-US"/>
        </w:rPr>
        <w:t>PerCP</w:t>
      </w:r>
      <w:proofErr w:type="spellEnd"/>
      <w:r w:rsidRPr="0096406A">
        <w:rPr>
          <w:szCs w:val="24"/>
          <w:lang w:val="en-US"/>
        </w:rPr>
        <w:t>) CD8</w:t>
      </w:r>
      <w:r w:rsidRPr="0096406A">
        <w:rPr>
          <w:szCs w:val="24"/>
          <w:vertAlign w:val="superscript"/>
          <w:lang w:val="en-US"/>
        </w:rPr>
        <w:t>+</w:t>
      </w:r>
      <w:r w:rsidRPr="0096406A">
        <w:rPr>
          <w:szCs w:val="24"/>
          <w:lang w:val="en-US"/>
        </w:rPr>
        <w:t xml:space="preserve"> (PE) T cells, at day 6, were determined by decreases in CFSE fluorescence in cells from three pooled wells per stimulation modality. Dead cells were ascertained by </w:t>
      </w:r>
      <w:proofErr w:type="spellStart"/>
      <w:r w:rsidRPr="0096406A">
        <w:rPr>
          <w:szCs w:val="24"/>
          <w:lang w:val="en-US"/>
        </w:rPr>
        <w:t>propidium</w:t>
      </w:r>
      <w:proofErr w:type="spellEnd"/>
      <w:r w:rsidRPr="0096406A">
        <w:rPr>
          <w:szCs w:val="24"/>
          <w:lang w:val="en-US"/>
        </w:rPr>
        <w:t xml:space="preserve"> iodide (PI) staining. </w:t>
      </w:r>
    </w:p>
    <w:p w:rsidR="003E4F9B" w:rsidRPr="0096406A" w:rsidRDefault="003E4F9B" w:rsidP="003E4F9B">
      <w:pPr>
        <w:spacing w:line="480" w:lineRule="auto"/>
        <w:jc w:val="both"/>
        <w:rPr>
          <w:i/>
          <w:iCs/>
          <w:szCs w:val="24"/>
          <w:lang w:val="en-US"/>
        </w:rPr>
      </w:pPr>
    </w:p>
    <w:p w:rsidR="003E4F9B" w:rsidRPr="0096406A" w:rsidRDefault="003E4F9B" w:rsidP="003E4F9B">
      <w:pPr>
        <w:spacing w:line="480" w:lineRule="auto"/>
        <w:jc w:val="both"/>
        <w:rPr>
          <w:i/>
          <w:iCs/>
          <w:szCs w:val="24"/>
          <w:lang w:val="en-US"/>
        </w:rPr>
      </w:pPr>
      <w:r w:rsidRPr="0096406A">
        <w:rPr>
          <w:i/>
          <w:iCs/>
          <w:szCs w:val="24"/>
          <w:lang w:val="en-US"/>
        </w:rPr>
        <w:t>Antibody essay</w:t>
      </w:r>
    </w:p>
    <w:p w:rsidR="003E4F9B" w:rsidRPr="0096406A" w:rsidRDefault="003E4F9B" w:rsidP="003E4F9B">
      <w:pPr>
        <w:pStyle w:val="EndNoteBibliography"/>
        <w:spacing w:line="480" w:lineRule="auto"/>
      </w:pPr>
      <w:r w:rsidRPr="0096406A">
        <w:t>The Quantivac IgG assay (Euroimmune, Lübeck, Germany) determines IgG directed against the S1 antigen including the receptor-binding domain (RBD) within a broad linear range. According to the manufacturer, the assay displays excellent correlation with the WHO reference material (First WHO International Standard for anti-SARS-CoV-2 immunoglobulin (NIBSC code:20/136)) and good agreement with various neutralization assays”</w:t>
      </w:r>
    </w:p>
    <w:p w:rsidR="003E4F9B" w:rsidRPr="0096406A" w:rsidRDefault="003E4F9B" w:rsidP="003E4F9B">
      <w:pPr>
        <w:spacing w:line="480" w:lineRule="auto"/>
        <w:jc w:val="both"/>
        <w:rPr>
          <w:szCs w:val="24"/>
          <w:lang w:val="en-US"/>
        </w:rPr>
      </w:pPr>
    </w:p>
    <w:p w:rsidR="003E4F9B" w:rsidRPr="0096406A" w:rsidRDefault="003E4F9B" w:rsidP="003E4F9B">
      <w:pPr>
        <w:spacing w:line="480" w:lineRule="auto"/>
        <w:jc w:val="both"/>
        <w:rPr>
          <w:i/>
          <w:iCs/>
          <w:szCs w:val="24"/>
          <w:lang w:val="en-US"/>
        </w:rPr>
      </w:pPr>
      <w:r w:rsidRPr="0096406A">
        <w:rPr>
          <w:i/>
          <w:iCs/>
          <w:szCs w:val="24"/>
          <w:lang w:val="en-US"/>
        </w:rPr>
        <w:t>Patient samples</w:t>
      </w:r>
    </w:p>
    <w:p w:rsidR="003E4F9B" w:rsidRPr="0096406A" w:rsidRDefault="003E4F9B" w:rsidP="003E4F9B">
      <w:pPr>
        <w:spacing w:line="480" w:lineRule="auto"/>
        <w:jc w:val="both"/>
        <w:rPr>
          <w:szCs w:val="24"/>
          <w:lang w:val="en-US"/>
        </w:rPr>
      </w:pPr>
      <w:r w:rsidRPr="0096406A">
        <w:rPr>
          <w:szCs w:val="24"/>
          <w:lang w:val="en-US"/>
        </w:rPr>
        <w:t xml:space="preserve">Each </w:t>
      </w:r>
      <w:proofErr w:type="spellStart"/>
      <w:r w:rsidRPr="0096406A">
        <w:rPr>
          <w:szCs w:val="24"/>
          <w:lang w:val="en-US"/>
        </w:rPr>
        <w:t>oropharyngeal</w:t>
      </w:r>
      <w:proofErr w:type="spellEnd"/>
      <w:r w:rsidRPr="0096406A">
        <w:rPr>
          <w:szCs w:val="24"/>
          <w:lang w:val="en-US"/>
        </w:rPr>
        <w:t xml:space="preserve"> swab sample was collected by trained personnel at the Department of Infectious Diseases at the Odense University Hospital, Denmark. Each swab was placed in a tube containing 3.5 mL of complete virus culturing media [DMEM-</w:t>
      </w:r>
      <w:proofErr w:type="spellStart"/>
      <w:r w:rsidRPr="0096406A">
        <w:rPr>
          <w:szCs w:val="24"/>
          <w:lang w:val="en-US"/>
        </w:rPr>
        <w:t>Glutamax</w:t>
      </w:r>
      <w:proofErr w:type="spellEnd"/>
      <w:r w:rsidRPr="0096406A">
        <w:rPr>
          <w:szCs w:val="24"/>
          <w:lang w:val="en-US"/>
        </w:rPr>
        <w:t xml:space="preserve"> (</w:t>
      </w:r>
      <w:proofErr w:type="spellStart"/>
      <w:r w:rsidRPr="0096406A">
        <w:rPr>
          <w:szCs w:val="24"/>
          <w:lang w:val="en-US"/>
        </w:rPr>
        <w:t>Gibco</w:t>
      </w:r>
      <w:proofErr w:type="spellEnd"/>
      <w:r w:rsidRPr="0096406A">
        <w:rPr>
          <w:szCs w:val="24"/>
          <w:lang w:val="en-US"/>
        </w:rPr>
        <w:t>), 2% Heat inactivated FBS (</w:t>
      </w:r>
      <w:proofErr w:type="spellStart"/>
      <w:r w:rsidRPr="0096406A">
        <w:rPr>
          <w:szCs w:val="24"/>
          <w:lang w:val="en-US"/>
        </w:rPr>
        <w:t>biowest</w:t>
      </w:r>
      <w:proofErr w:type="spellEnd"/>
      <w:r w:rsidRPr="0096406A">
        <w:rPr>
          <w:szCs w:val="24"/>
          <w:lang w:val="en-US"/>
        </w:rPr>
        <w:t>) 1%Pen-Strep (</w:t>
      </w:r>
      <w:proofErr w:type="spellStart"/>
      <w:r w:rsidRPr="0096406A">
        <w:rPr>
          <w:szCs w:val="24"/>
          <w:lang w:val="en-US"/>
        </w:rPr>
        <w:t>Gibco</w:t>
      </w:r>
      <w:proofErr w:type="spellEnd"/>
      <w:r w:rsidRPr="0096406A">
        <w:rPr>
          <w:szCs w:val="24"/>
          <w:lang w:val="en-US"/>
        </w:rPr>
        <w:t xml:space="preserve">) and Amphotericin B 2.5 mg/L (Sigma)]. Within a timeframe of 4 hours samples were subjected to plaque assay, flask culturing and real time RT-PCR. The remaining sample material was snap frozen in liquid nitrogen and stored at -80°C.    </w:t>
      </w:r>
    </w:p>
    <w:p w:rsidR="003E4F9B" w:rsidRPr="0096406A" w:rsidRDefault="003E4F9B" w:rsidP="003E4F9B">
      <w:pPr>
        <w:spacing w:line="480" w:lineRule="auto"/>
        <w:jc w:val="both"/>
        <w:rPr>
          <w:i/>
          <w:szCs w:val="24"/>
          <w:lang w:val="en-US"/>
        </w:rPr>
      </w:pPr>
      <w:r w:rsidRPr="0096406A">
        <w:rPr>
          <w:i/>
          <w:szCs w:val="24"/>
          <w:lang w:val="en-US"/>
        </w:rPr>
        <w:t>SARS-CoV-2 PCR assay</w:t>
      </w:r>
    </w:p>
    <w:p w:rsidR="003E4F9B" w:rsidRPr="0096406A" w:rsidRDefault="003E4F9B" w:rsidP="003E4F9B">
      <w:pPr>
        <w:spacing w:line="480" w:lineRule="auto"/>
        <w:jc w:val="both"/>
        <w:rPr>
          <w:szCs w:val="24"/>
          <w:lang w:val="en-US"/>
        </w:rPr>
      </w:pPr>
      <w:r w:rsidRPr="0096406A">
        <w:rPr>
          <w:szCs w:val="24"/>
          <w:lang w:val="en-US"/>
        </w:rPr>
        <w:t xml:space="preserve">RNA used for real-time RT-PCR was extracted from 300 µl </w:t>
      </w:r>
      <w:proofErr w:type="spellStart"/>
      <w:r w:rsidRPr="0096406A">
        <w:rPr>
          <w:szCs w:val="24"/>
          <w:lang w:val="en-US"/>
        </w:rPr>
        <w:t>oropharyngeal</w:t>
      </w:r>
      <w:proofErr w:type="spellEnd"/>
      <w:r w:rsidRPr="0096406A">
        <w:rPr>
          <w:szCs w:val="24"/>
          <w:lang w:val="en-US"/>
        </w:rPr>
        <w:t xml:space="preserve"> swab sample using </w:t>
      </w:r>
      <w:proofErr w:type="spellStart"/>
      <w:r w:rsidRPr="0096406A">
        <w:rPr>
          <w:szCs w:val="24"/>
          <w:lang w:val="en-US"/>
        </w:rPr>
        <w:t>Chemagic</w:t>
      </w:r>
      <w:r w:rsidRPr="0096406A">
        <w:rPr>
          <w:szCs w:val="24"/>
          <w:vertAlign w:val="superscript"/>
          <w:lang w:val="en-US"/>
        </w:rPr>
        <w:t>TM</w:t>
      </w:r>
      <w:proofErr w:type="spellEnd"/>
      <w:r w:rsidRPr="0096406A">
        <w:rPr>
          <w:szCs w:val="24"/>
          <w:lang w:val="en-US"/>
        </w:rPr>
        <w:t xml:space="preserve"> 360 with the extraction kit </w:t>
      </w:r>
      <w:proofErr w:type="spellStart"/>
      <w:r w:rsidRPr="0096406A">
        <w:rPr>
          <w:szCs w:val="24"/>
          <w:lang w:val="en-US"/>
        </w:rPr>
        <w:t>Chemagic</w:t>
      </w:r>
      <w:proofErr w:type="spellEnd"/>
      <w:r w:rsidRPr="0096406A">
        <w:rPr>
          <w:szCs w:val="24"/>
          <w:lang w:val="en-US"/>
        </w:rPr>
        <w:t xml:space="preserve"> viral DNA/RNA 300 kit H96. Elution volume was 50 µl. The laboratory developed real-time PCR E gene assay used for SARS-CoV-2 detection has been described previously </w:t>
      </w:r>
      <w:r w:rsidRPr="0096406A">
        <w:rPr>
          <w:szCs w:val="24"/>
          <w:lang w:val="en-US"/>
        </w:rPr>
        <w:fldChar w:fldCharType="begin">
          <w:fldData xml:space="preserve">PEVuZE5vdGU+PENpdGU+PEF1dGhvcj5Db3JtYW48L0F1dGhvcj48WWVhcj4yMDIwPC9ZZWFyPjxS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</w:fldData>
        </w:fldChar>
      </w:r>
      <w:r w:rsidRPr="0096406A">
        <w:rPr>
          <w:szCs w:val="24"/>
          <w:lang w:val="en-US"/>
        </w:rPr>
        <w:instrText xml:space="preserve"> ADDIN EN.CITE </w:instrText>
      </w:r>
      <w:r w:rsidRPr="0096406A">
        <w:rPr>
          <w:szCs w:val="24"/>
          <w:lang w:val="en-US"/>
        </w:rPr>
        <w:fldChar w:fldCharType="begin">
          <w:fldData xml:space="preserve">PEVuZE5vdGU+PENpdGU+PEF1dGhvcj5Db3JtYW48L0F1dGhvcj48WWVhcj4yMDIwPC9ZZWFyPjxS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</w:fldData>
        </w:fldChar>
      </w:r>
      <w:r w:rsidRPr="0096406A">
        <w:rPr>
          <w:szCs w:val="24"/>
          <w:lang w:val="en-US"/>
        </w:rPr>
        <w:instrText xml:space="preserve"> ADDIN EN.CITE.DATA </w:instrText>
      </w:r>
      <w:r w:rsidRPr="0096406A">
        <w:rPr>
          <w:szCs w:val="24"/>
          <w:lang w:val="en-US"/>
        </w:rPr>
      </w:r>
      <w:r w:rsidRPr="0096406A">
        <w:rPr>
          <w:szCs w:val="24"/>
          <w:lang w:val="en-US"/>
        </w:rPr>
        <w:fldChar w:fldCharType="end"/>
      </w:r>
      <w:r w:rsidRPr="0096406A">
        <w:rPr>
          <w:szCs w:val="24"/>
          <w:lang w:val="en-US"/>
        </w:rPr>
      </w:r>
      <w:r w:rsidRPr="0096406A">
        <w:rPr>
          <w:szCs w:val="24"/>
          <w:lang w:val="en-US"/>
        </w:rPr>
        <w:fldChar w:fldCharType="separate"/>
      </w:r>
      <w:r w:rsidRPr="0096406A">
        <w:rPr>
          <w:noProof/>
          <w:szCs w:val="24"/>
          <w:lang w:val="en-US"/>
        </w:rPr>
        <w:t>[1]</w:t>
      </w:r>
      <w:r w:rsidRPr="0096406A">
        <w:rPr>
          <w:szCs w:val="24"/>
          <w:lang w:val="en-US"/>
        </w:rPr>
        <w:fldChar w:fldCharType="end"/>
      </w:r>
      <w:r w:rsidRPr="0096406A">
        <w:rPr>
          <w:szCs w:val="24"/>
          <w:lang w:val="en-US"/>
        </w:rPr>
        <w:t xml:space="preserve">. This assay targeted a conserved sequence in the E gene region that is shared by the </w:t>
      </w:r>
      <w:proofErr w:type="spellStart"/>
      <w:r w:rsidRPr="0096406A">
        <w:rPr>
          <w:szCs w:val="24"/>
          <w:lang w:val="en-US"/>
        </w:rPr>
        <w:t>Sarbecovirus</w:t>
      </w:r>
      <w:proofErr w:type="spellEnd"/>
      <w:r w:rsidRPr="0096406A">
        <w:rPr>
          <w:szCs w:val="24"/>
          <w:lang w:val="en-US"/>
        </w:rPr>
        <w:t xml:space="preserve"> subgenus group</w:t>
      </w:r>
      <w:proofErr w:type="gramStart"/>
      <w:r w:rsidRPr="0096406A">
        <w:rPr>
          <w:szCs w:val="24"/>
          <w:lang w:val="en-US"/>
        </w:rPr>
        <w:t xml:space="preserve">.  </w:t>
      </w:r>
      <w:proofErr w:type="gramEnd"/>
      <w:r w:rsidRPr="0096406A">
        <w:rPr>
          <w:szCs w:val="24"/>
          <w:lang w:val="en-US"/>
        </w:rPr>
        <w:t xml:space="preserve">Real-time RT-PCR was performed in 20 µl reactions containing </w:t>
      </w:r>
      <w:proofErr w:type="gramStart"/>
      <w:r w:rsidRPr="0096406A">
        <w:rPr>
          <w:szCs w:val="24"/>
          <w:lang w:val="en-US"/>
        </w:rPr>
        <w:t>5</w:t>
      </w:r>
      <w:proofErr w:type="gramEnd"/>
      <w:r w:rsidRPr="0096406A">
        <w:rPr>
          <w:szCs w:val="24"/>
          <w:lang w:val="en-US"/>
        </w:rPr>
        <w:t xml:space="preserve"> µl 4 X </w:t>
      </w:r>
      <w:proofErr w:type="spellStart"/>
      <w:r w:rsidRPr="0096406A">
        <w:rPr>
          <w:szCs w:val="24"/>
          <w:lang w:val="en-US"/>
        </w:rPr>
        <w:t>TaqMan</w:t>
      </w:r>
      <w:proofErr w:type="spellEnd"/>
      <w:r w:rsidRPr="0096406A">
        <w:rPr>
          <w:szCs w:val="24"/>
          <w:lang w:val="en-US"/>
        </w:rPr>
        <w:t xml:space="preserve"> Fast Virus 1-Step master mix (</w:t>
      </w:r>
      <w:proofErr w:type="spellStart"/>
      <w:r w:rsidRPr="0096406A">
        <w:rPr>
          <w:szCs w:val="24"/>
          <w:lang w:val="en-US"/>
        </w:rPr>
        <w:t>ThermoFisher</w:t>
      </w:r>
      <w:proofErr w:type="spellEnd"/>
      <w:r w:rsidRPr="0096406A">
        <w:rPr>
          <w:szCs w:val="24"/>
          <w:lang w:val="en-US"/>
        </w:rPr>
        <w:t xml:space="preserve">) with 1000 </w:t>
      </w:r>
      <w:proofErr w:type="spellStart"/>
      <w:r w:rsidRPr="0096406A">
        <w:rPr>
          <w:szCs w:val="24"/>
          <w:lang w:val="en-US"/>
        </w:rPr>
        <w:t>nM</w:t>
      </w:r>
      <w:proofErr w:type="spellEnd"/>
      <w:r w:rsidRPr="0096406A">
        <w:rPr>
          <w:szCs w:val="24"/>
          <w:lang w:val="en-US"/>
        </w:rPr>
        <w:t xml:space="preserve"> of each primer and 200 </w:t>
      </w:r>
      <w:proofErr w:type="spellStart"/>
      <w:r w:rsidRPr="0096406A">
        <w:rPr>
          <w:szCs w:val="24"/>
          <w:lang w:val="en-US"/>
        </w:rPr>
        <w:t>nM</w:t>
      </w:r>
      <w:proofErr w:type="spellEnd"/>
      <w:r w:rsidRPr="0096406A">
        <w:rPr>
          <w:szCs w:val="24"/>
          <w:lang w:val="en-US"/>
        </w:rPr>
        <w:t xml:space="preserve"> of the probe, and 6 µl RNA </w:t>
      </w:r>
      <w:proofErr w:type="spellStart"/>
      <w:r w:rsidRPr="0096406A">
        <w:rPr>
          <w:szCs w:val="24"/>
          <w:lang w:val="en-US"/>
        </w:rPr>
        <w:t>eluate</w:t>
      </w:r>
      <w:proofErr w:type="spellEnd"/>
      <w:r w:rsidRPr="0096406A">
        <w:rPr>
          <w:szCs w:val="24"/>
          <w:lang w:val="en-US"/>
        </w:rPr>
        <w:t xml:space="preserve">. An internal RNA control (Newcastle disease virus vaccine strain; MSD) was added to the sample prior to RNA extraction. Primer and probe sequences targeting the internal control virus were kindly provided by Kurt </w:t>
      </w:r>
      <w:proofErr w:type="spellStart"/>
      <w:r w:rsidRPr="0096406A">
        <w:rPr>
          <w:szCs w:val="24"/>
          <w:lang w:val="en-US"/>
        </w:rPr>
        <w:t>Handberg</w:t>
      </w:r>
      <w:proofErr w:type="spellEnd"/>
      <w:r w:rsidRPr="0096406A">
        <w:rPr>
          <w:szCs w:val="24"/>
          <w:lang w:val="en-US"/>
        </w:rPr>
        <w:t xml:space="preserve">, Department of Clinical Microbiology, Aarhus University Hospital (NDV-FWD-2: 5'-CACTGTCGGCATTATCGATGA-3’, NDV-REV: 5'-GAGCATCGCAGCGGAAA-3’, NDV-Probe: 5'-FAM-CCCAAGCGCGAGTTA-MGB-3’). Reverse transcription and amplification were performed using </w:t>
      </w:r>
      <w:proofErr w:type="spellStart"/>
      <w:r w:rsidRPr="0096406A">
        <w:rPr>
          <w:szCs w:val="24"/>
          <w:lang w:val="en-US"/>
        </w:rPr>
        <w:t>Lightcycler</w:t>
      </w:r>
      <w:proofErr w:type="spellEnd"/>
      <w:r w:rsidRPr="0096406A">
        <w:rPr>
          <w:szCs w:val="24"/>
          <w:lang w:val="en-US"/>
        </w:rPr>
        <w:t xml:space="preserve"> 480 (Roche) in 96 well </w:t>
      </w:r>
      <w:proofErr w:type="gramStart"/>
      <w:r w:rsidRPr="0096406A">
        <w:rPr>
          <w:szCs w:val="24"/>
          <w:lang w:val="en-US"/>
        </w:rPr>
        <w:t>format</w:t>
      </w:r>
      <w:proofErr w:type="gramEnd"/>
      <w:r w:rsidRPr="0096406A">
        <w:rPr>
          <w:szCs w:val="24"/>
          <w:lang w:val="en-US"/>
        </w:rPr>
        <w:t xml:space="preserve">. The cycling conditions were as follows: Reverse transcription at 50 °C for 5 min, </w:t>
      </w:r>
      <w:r w:rsidRPr="0096406A">
        <w:rPr>
          <w:szCs w:val="24"/>
          <w:lang w:val="en-US"/>
        </w:rPr>
        <w:lastRenderedPageBreak/>
        <w:t xml:space="preserve">inactivation of RT/initial denaturation at 95° C for 20 sec, followed by 45 cycles of 95°C for 15 sec, 60 °C for 1 min for amplification. Samples with obtained </w:t>
      </w:r>
      <w:proofErr w:type="spellStart"/>
      <w:proofErr w:type="gramStart"/>
      <w:r w:rsidRPr="0096406A">
        <w:rPr>
          <w:szCs w:val="24"/>
          <w:lang w:val="en-US"/>
        </w:rPr>
        <w:t>Cq</w:t>
      </w:r>
      <w:proofErr w:type="spellEnd"/>
      <w:proofErr w:type="gramEnd"/>
      <w:r w:rsidRPr="0096406A">
        <w:rPr>
          <w:szCs w:val="24"/>
          <w:lang w:val="en-US"/>
        </w:rPr>
        <w:t xml:space="preserve"> values below 40 with acceptable curves was reported as positive.</w:t>
      </w:r>
    </w:p>
    <w:p w:rsidR="003E4F9B" w:rsidRPr="0096406A" w:rsidRDefault="003E4F9B" w:rsidP="003E4F9B">
      <w:pPr>
        <w:spacing w:line="480" w:lineRule="auto"/>
        <w:jc w:val="both"/>
        <w:rPr>
          <w:szCs w:val="24"/>
          <w:lang w:val="en-US"/>
        </w:rPr>
      </w:pPr>
    </w:p>
    <w:p w:rsidR="003E4F9B" w:rsidRPr="0096406A" w:rsidRDefault="003E4F9B" w:rsidP="003E4F9B">
      <w:pPr>
        <w:spacing w:line="480" w:lineRule="auto"/>
        <w:jc w:val="both"/>
        <w:rPr>
          <w:i/>
          <w:szCs w:val="24"/>
          <w:lang w:val="en-US"/>
        </w:rPr>
      </w:pPr>
      <w:r w:rsidRPr="0096406A">
        <w:rPr>
          <w:i/>
          <w:szCs w:val="24"/>
          <w:lang w:val="en-US"/>
        </w:rPr>
        <w:t>Full genome sequencing</w:t>
      </w:r>
    </w:p>
    <w:p w:rsidR="003E4F9B" w:rsidRPr="0096406A" w:rsidRDefault="003E4F9B" w:rsidP="003E4F9B">
      <w:pPr>
        <w:spacing w:line="480" w:lineRule="auto"/>
        <w:jc w:val="both"/>
        <w:rPr>
          <w:szCs w:val="24"/>
          <w:lang w:val="en-US"/>
        </w:rPr>
      </w:pPr>
      <w:r w:rsidRPr="0096406A">
        <w:rPr>
          <w:szCs w:val="24"/>
          <w:lang w:val="en-US"/>
        </w:rPr>
        <w:t xml:space="preserve">Viral RNA was extracted using </w:t>
      </w:r>
      <w:proofErr w:type="spellStart"/>
      <w:r w:rsidRPr="0096406A">
        <w:rPr>
          <w:szCs w:val="24"/>
          <w:lang w:val="en-US"/>
        </w:rPr>
        <w:t>Chemagic</w:t>
      </w:r>
      <w:r w:rsidRPr="0096406A">
        <w:rPr>
          <w:szCs w:val="24"/>
          <w:vertAlign w:val="superscript"/>
          <w:lang w:val="en-US"/>
        </w:rPr>
        <w:t>TM</w:t>
      </w:r>
      <w:proofErr w:type="spellEnd"/>
      <w:r w:rsidRPr="0096406A">
        <w:rPr>
          <w:szCs w:val="24"/>
          <w:lang w:val="en-US"/>
        </w:rPr>
        <w:t xml:space="preserve"> 360 as described above and used as a template to amplify and sequence the SARS-CoV-2 genome. Briefly, </w:t>
      </w:r>
      <w:proofErr w:type="spellStart"/>
      <w:r w:rsidRPr="0096406A">
        <w:rPr>
          <w:szCs w:val="24"/>
          <w:lang w:val="en-US"/>
        </w:rPr>
        <w:t>cDNA</w:t>
      </w:r>
      <w:proofErr w:type="spellEnd"/>
      <w:r w:rsidRPr="0096406A">
        <w:rPr>
          <w:szCs w:val="24"/>
          <w:lang w:val="en-US"/>
        </w:rPr>
        <w:t xml:space="preserve"> was synthesized from 11 </w:t>
      </w:r>
      <w:proofErr w:type="spellStart"/>
      <w:r w:rsidRPr="0096406A">
        <w:rPr>
          <w:szCs w:val="24"/>
          <w:lang w:val="en-US"/>
        </w:rPr>
        <w:t>μL</w:t>
      </w:r>
      <w:proofErr w:type="spellEnd"/>
      <w:r w:rsidRPr="0096406A">
        <w:rPr>
          <w:szCs w:val="24"/>
          <w:lang w:val="en-US"/>
        </w:rPr>
        <w:t xml:space="preserve"> of viral RNA using the </w:t>
      </w:r>
      <w:proofErr w:type="spellStart"/>
      <w:r w:rsidRPr="0096406A">
        <w:rPr>
          <w:szCs w:val="24"/>
          <w:lang w:val="en-US"/>
        </w:rPr>
        <w:t>SuperScript</w:t>
      </w:r>
      <w:proofErr w:type="spellEnd"/>
      <w:r w:rsidRPr="0096406A">
        <w:rPr>
          <w:szCs w:val="24"/>
          <w:lang w:val="en-US"/>
        </w:rPr>
        <w:t xml:space="preserve"> IV First-Strand Synthesis System (Invitrogen, USA) with random </w:t>
      </w:r>
      <w:proofErr w:type="spellStart"/>
      <w:r w:rsidRPr="0096406A">
        <w:rPr>
          <w:szCs w:val="24"/>
          <w:lang w:val="en-US"/>
        </w:rPr>
        <w:t>hexamers</w:t>
      </w:r>
      <w:proofErr w:type="spellEnd"/>
      <w:r w:rsidRPr="0096406A">
        <w:rPr>
          <w:szCs w:val="24"/>
          <w:lang w:val="en-US"/>
        </w:rPr>
        <w:t xml:space="preserve">. PCR was performed using Q5 Hot Start High-Fidelity DNA Polymerase (NEB, USA) and a set of primers targeting regions of the SARS-CoV-2 genome designed by the ARTIC network (https://artic.network/ncov-2019, V3). The PCR program was: Heat activation at 98 °C for 30 sec, followed by 30 cycles of 98 °C for 15 s and 65 °C for 5 min. Briefly, amplified PCR products were purified by 0,8x </w:t>
      </w:r>
      <w:proofErr w:type="spellStart"/>
      <w:r w:rsidRPr="0096406A">
        <w:rPr>
          <w:szCs w:val="24"/>
          <w:lang w:val="en-US"/>
        </w:rPr>
        <w:t>AMPure</w:t>
      </w:r>
      <w:proofErr w:type="spellEnd"/>
      <w:r w:rsidRPr="0096406A">
        <w:rPr>
          <w:szCs w:val="24"/>
          <w:lang w:val="en-US"/>
        </w:rPr>
        <w:t xml:space="preserve"> XP bead (Beckman Coulter, California, CA). Equal molar of each amplified PCR products were then subjected to DNA repair, end preparation, and native barcode ligation (EXP-NBD104, EXP-NBD114 Oxford </w:t>
      </w:r>
      <w:proofErr w:type="spellStart"/>
      <w:r w:rsidRPr="0096406A">
        <w:rPr>
          <w:szCs w:val="24"/>
          <w:lang w:val="en-US"/>
        </w:rPr>
        <w:t>Nanopore</w:t>
      </w:r>
      <w:proofErr w:type="spellEnd"/>
      <w:r w:rsidRPr="0096406A">
        <w:rPr>
          <w:szCs w:val="24"/>
          <w:lang w:val="en-US"/>
        </w:rPr>
        <w:t xml:space="preserve"> Technologies). Barcoded samples were pooled and were ligated to sequencing adaptor. Sequencing was performed with Oxford </w:t>
      </w:r>
      <w:proofErr w:type="spellStart"/>
      <w:r w:rsidRPr="0096406A">
        <w:rPr>
          <w:szCs w:val="24"/>
          <w:lang w:val="en-US"/>
        </w:rPr>
        <w:t>Nanopore</w:t>
      </w:r>
      <w:proofErr w:type="spellEnd"/>
      <w:r w:rsidRPr="0096406A">
        <w:rPr>
          <w:szCs w:val="24"/>
          <w:lang w:val="en-US"/>
        </w:rPr>
        <w:t xml:space="preserve"> </w:t>
      </w:r>
      <w:proofErr w:type="spellStart"/>
      <w:r w:rsidRPr="0096406A">
        <w:rPr>
          <w:szCs w:val="24"/>
          <w:lang w:val="en-US"/>
        </w:rPr>
        <w:t>MinION</w:t>
      </w:r>
      <w:proofErr w:type="spellEnd"/>
      <w:r w:rsidRPr="0096406A">
        <w:rPr>
          <w:szCs w:val="24"/>
          <w:lang w:val="en-US"/>
        </w:rPr>
        <w:t xml:space="preserve"> device using R9.4.1 flow cell for 4 hours. After sequencing, Guppy v4.0.9 was used in converting the raw signal data into FASTQ format, </w:t>
      </w:r>
      <w:proofErr w:type="spellStart"/>
      <w:r w:rsidRPr="0096406A">
        <w:rPr>
          <w:szCs w:val="24"/>
          <w:lang w:val="en-US"/>
        </w:rPr>
        <w:t>demultiplexing</w:t>
      </w:r>
      <w:proofErr w:type="spellEnd"/>
      <w:r w:rsidRPr="0096406A">
        <w:rPr>
          <w:szCs w:val="24"/>
          <w:lang w:val="en-US"/>
        </w:rPr>
        <w:t xml:space="preserve">, removal of </w:t>
      </w:r>
      <w:proofErr w:type="spellStart"/>
      <w:r w:rsidRPr="0096406A">
        <w:rPr>
          <w:szCs w:val="24"/>
          <w:lang w:val="en-US"/>
        </w:rPr>
        <w:t>nanopore</w:t>
      </w:r>
      <w:proofErr w:type="spellEnd"/>
      <w:r w:rsidRPr="0096406A">
        <w:rPr>
          <w:szCs w:val="24"/>
          <w:lang w:val="en-US"/>
        </w:rPr>
        <w:t xml:space="preserve"> and SISPA adaptor sequences.</w:t>
      </w:r>
    </w:p>
    <w:p w:rsidR="003E4F9B" w:rsidRPr="0096406A" w:rsidRDefault="003E4F9B" w:rsidP="003E4F9B">
      <w:pPr>
        <w:spacing w:line="480" w:lineRule="auto"/>
        <w:jc w:val="both"/>
        <w:rPr>
          <w:i/>
          <w:szCs w:val="24"/>
          <w:lang w:val="en-US"/>
        </w:rPr>
      </w:pPr>
    </w:p>
    <w:p w:rsidR="003E4F9B" w:rsidRPr="0096406A" w:rsidRDefault="003E4F9B" w:rsidP="003E4F9B">
      <w:pPr>
        <w:spacing w:line="480" w:lineRule="auto"/>
        <w:jc w:val="both"/>
        <w:rPr>
          <w:lang w:val="en-US"/>
        </w:rPr>
      </w:pPr>
      <w:r w:rsidRPr="0096406A">
        <w:rPr>
          <w:i/>
          <w:szCs w:val="24"/>
          <w:lang w:val="en-US"/>
        </w:rPr>
        <w:t>Viral Culture</w:t>
      </w:r>
      <w:r w:rsidRPr="0096406A">
        <w:rPr>
          <w:lang w:val="en-US"/>
        </w:rPr>
        <w:t xml:space="preserve"> </w:t>
      </w:r>
    </w:p>
    <w:p w:rsidR="003E4F9B" w:rsidRPr="0096406A" w:rsidRDefault="003E4F9B" w:rsidP="003E4F9B">
      <w:pPr>
        <w:spacing w:line="480" w:lineRule="auto"/>
        <w:jc w:val="both"/>
        <w:rPr>
          <w:iCs/>
          <w:szCs w:val="24"/>
          <w:lang w:val="en-US"/>
        </w:rPr>
      </w:pPr>
      <w:r w:rsidRPr="0096406A">
        <w:rPr>
          <w:iCs/>
          <w:szCs w:val="24"/>
          <w:lang w:val="en-US"/>
        </w:rPr>
        <w:t>Plaque assay</w:t>
      </w:r>
    </w:p>
    <w:p w:rsidR="003E4F9B" w:rsidRPr="0096406A" w:rsidRDefault="003E4F9B" w:rsidP="003E4F9B">
      <w:pPr>
        <w:spacing w:line="480" w:lineRule="auto"/>
        <w:jc w:val="both"/>
        <w:rPr>
          <w:iCs/>
          <w:szCs w:val="24"/>
          <w:lang w:val="en-US"/>
        </w:rPr>
      </w:pPr>
      <w:r w:rsidRPr="0096406A">
        <w:rPr>
          <w:iCs/>
          <w:szCs w:val="24"/>
          <w:lang w:val="en-US"/>
        </w:rPr>
        <w:lastRenderedPageBreak/>
        <w:t xml:space="preserve">Plaque assays were performed in a modified version of a previously published protocol </w:t>
      </w:r>
      <w:r w:rsidRPr="0096406A">
        <w:rPr>
          <w:iCs/>
          <w:szCs w:val="24"/>
          <w:lang w:val="en-US"/>
        </w:rPr>
        <w:fldChar w:fldCharType="begin"/>
      </w:r>
      <w:r w:rsidRPr="0096406A">
        <w:rPr>
          <w:iCs/>
          <w:szCs w:val="24"/>
          <w:lang w:val="en-US"/>
        </w:rPr>
        <w:instrText xml:space="preserve"> ADDIN EN.CITE &lt;EndNote&gt;&lt;Cite&gt;&lt;Author&gt;Leibowitz&lt;/Author&gt;&lt;Year&gt;2011&lt;/Year&gt;&lt;RecNum&gt;271&lt;/RecNum&gt;&lt;DisplayText&gt;[2]&lt;/DisplayText&gt;&lt;record&gt;&lt;rec-number&gt;271&lt;/rec-number&gt;&lt;foreign-keys&gt;&lt;key app="EN" db-id="eex25v099a0svqe59zup9ztpwr9wezwstspt" timestamp="1614596821"&gt;271&lt;/key&gt;&lt;/foreign-keys&gt;&lt;ref-type name="Journal Article"&gt;17&lt;/ref-type&gt;&lt;contributors&gt;&lt;authors&gt;&lt;author&gt;Leibowitz, J.&lt;/author&gt;&lt;author&gt;Kaufman, G.&lt;/author&gt;&lt;author&gt;Liu, P.&lt;/author&gt;&lt;/authors&gt;&lt;/contributors&gt;&lt;auth-address&gt;Texas A&amp;amp;M College of Medicine, College Station, Texas, USA.&lt;/auth-address&gt;&lt;titles&gt;&lt;title&gt;Coronaviruses: propagation, quantification, storage, and construction of recombinant mouse hepatitis virus&lt;/title&gt;&lt;secondary-title&gt;Curr Protoc Microbiol&lt;/secondary-title&gt;&lt;/titles&gt;&lt;periodical&gt;&lt;full-title&gt;Curr Protoc Microbiol&lt;/full-title&gt;&lt;/periodical&gt;&lt;pages&gt;Unit 15E.1&lt;/pages&gt;&lt;volume&gt;Chapter 15&lt;/volume&gt;&lt;number&gt;1&lt;/number&gt;&lt;edition&gt;2011/05/04&lt;/edition&gt;&lt;keywords&gt;&lt;keyword&gt;Animals&lt;/keyword&gt;&lt;keyword&gt;Cell Line&lt;/keyword&gt;&lt;keyword&gt;Cloning, Molecular/methods&lt;/keyword&gt;&lt;keyword&gt;Mice&lt;/keyword&gt;&lt;keyword&gt;Murine hepatitis virus/*genetics/*growth &amp;amp; development/isolation &amp;amp; purification&lt;/keyword&gt;&lt;keyword&gt;Preservation, Biological/methods&lt;/keyword&gt;&lt;keyword&gt;Viral Load/methods&lt;/keyword&gt;&lt;keyword&gt;Virology/*methods&lt;/keyword&gt;&lt;keyword&gt;Virus Cultivation/methods&lt;/keyword&gt;&lt;/keywords&gt;&lt;dates&gt;&lt;year&gt;2011&lt;/year&gt;&lt;pub-dates&gt;&lt;date&gt;May&lt;/date&gt;&lt;/pub-dates&gt;&lt;/dates&gt;&lt;isbn&gt;1934-8525 (Print)&amp;#xD;1934-8525&lt;/isbn&gt;&lt;accession-num&gt;21538303&lt;/accession-num&gt;&lt;urls&gt;&lt;/urls&gt;&lt;custom2&gt;PMC3119930&lt;/custom2&gt;&lt;custom6&gt;NIHMS291978&lt;/custom6&gt;&lt;electronic-resource-num&gt;10.1002/9780471729259.mc15e01s21&lt;/electronic-resource-num&gt;&lt;remote-database-provider&gt;NLM&lt;/remote-database-provider&gt;&lt;language&gt;eng&lt;/language&gt;&lt;/record&gt;&lt;/Cite&gt;&lt;/EndNote&gt;</w:instrText>
      </w:r>
      <w:r w:rsidRPr="0096406A">
        <w:rPr>
          <w:iCs/>
          <w:szCs w:val="24"/>
          <w:lang w:val="en-US"/>
        </w:rPr>
        <w:fldChar w:fldCharType="separate"/>
      </w:r>
      <w:r w:rsidRPr="0096406A">
        <w:rPr>
          <w:iCs/>
          <w:noProof/>
          <w:szCs w:val="24"/>
          <w:lang w:val="en-US"/>
        </w:rPr>
        <w:t>[2]</w:t>
      </w:r>
      <w:r w:rsidRPr="0096406A">
        <w:rPr>
          <w:iCs/>
          <w:szCs w:val="24"/>
          <w:lang w:val="en-US"/>
        </w:rPr>
        <w:fldChar w:fldCharType="end"/>
      </w:r>
      <w:r w:rsidRPr="0096406A">
        <w:rPr>
          <w:iCs/>
          <w:szCs w:val="24"/>
          <w:lang w:val="en-US"/>
        </w:rPr>
        <w:t xml:space="preserve">. In brief, 300 µL of the original sample and up to five ten-fold dilutions of it, was each added to 24-hour cultures of Vero E6 cells (ATCC® CRL-1586™) in 6-well </w:t>
      </w:r>
      <w:proofErr w:type="spellStart"/>
      <w:r w:rsidRPr="0096406A">
        <w:rPr>
          <w:iCs/>
          <w:szCs w:val="24"/>
          <w:lang w:val="en-US"/>
        </w:rPr>
        <w:t>microtiter</w:t>
      </w:r>
      <w:proofErr w:type="spellEnd"/>
      <w:r w:rsidRPr="0096406A">
        <w:rPr>
          <w:iCs/>
          <w:szCs w:val="24"/>
          <w:lang w:val="en-US"/>
        </w:rPr>
        <w:t xml:space="preserve"> plates (Thermo Scientific). Plates were left to incubate one hour at 37°C and 5% CO2 on a rocking platform. Overlay </w:t>
      </w:r>
      <w:proofErr w:type="spellStart"/>
      <w:r w:rsidRPr="0096406A">
        <w:rPr>
          <w:iCs/>
          <w:szCs w:val="24"/>
          <w:lang w:val="en-US"/>
        </w:rPr>
        <w:t>agarose</w:t>
      </w:r>
      <w:proofErr w:type="spellEnd"/>
      <w:r w:rsidRPr="0096406A">
        <w:rPr>
          <w:iCs/>
          <w:szCs w:val="24"/>
          <w:lang w:val="en-US"/>
        </w:rPr>
        <w:t xml:space="preserve"> gel was added and the plates were incubated at 37°C and 5% CO2 in a humidified atmosphere for three days. At termination, 800 µL of 10% neutral buffered formalin (Sigma) was added to each well and left at room temperature for 1 hour. Overlay was removed and the wells were stained with 10% crystal violet solution (Sigma) and PFU were counted after 2 minutes.</w:t>
      </w:r>
    </w:p>
    <w:p w:rsidR="003E4F9B" w:rsidRPr="0096406A" w:rsidRDefault="003E4F9B" w:rsidP="003E4F9B">
      <w:pPr>
        <w:spacing w:line="480" w:lineRule="auto"/>
        <w:jc w:val="both"/>
        <w:rPr>
          <w:iCs/>
          <w:szCs w:val="24"/>
          <w:lang w:val="en-US"/>
        </w:rPr>
      </w:pPr>
      <w:r w:rsidRPr="0096406A">
        <w:rPr>
          <w:iCs/>
          <w:szCs w:val="24"/>
          <w:lang w:val="en-US"/>
        </w:rPr>
        <w:t>Flask culture</w:t>
      </w:r>
    </w:p>
    <w:p w:rsidR="003E4F9B" w:rsidRPr="0096406A" w:rsidRDefault="003E4F9B" w:rsidP="003E4F9B">
      <w:pPr>
        <w:spacing w:line="480" w:lineRule="auto"/>
        <w:jc w:val="both"/>
        <w:rPr>
          <w:iCs/>
          <w:szCs w:val="24"/>
          <w:lang w:val="en-US"/>
        </w:rPr>
      </w:pPr>
      <w:r w:rsidRPr="0096406A">
        <w:rPr>
          <w:iCs/>
          <w:szCs w:val="24"/>
          <w:lang w:val="en-US"/>
        </w:rPr>
        <w:t xml:space="preserve">In order to confirm detection of viable </w:t>
      </w:r>
      <w:proofErr w:type="spellStart"/>
      <w:r w:rsidRPr="0096406A">
        <w:rPr>
          <w:iCs/>
          <w:szCs w:val="24"/>
          <w:lang w:val="en-US"/>
        </w:rPr>
        <w:t>virions</w:t>
      </w:r>
      <w:proofErr w:type="spellEnd"/>
      <w:r w:rsidRPr="0096406A">
        <w:rPr>
          <w:iCs/>
          <w:szCs w:val="24"/>
          <w:lang w:val="en-US"/>
        </w:rPr>
        <w:t xml:space="preserve"> by plaque assay and enhance sensitivity 700 µL of the original sample material were added to flasks (25 cm</w:t>
      </w:r>
      <w:r w:rsidRPr="0096406A">
        <w:rPr>
          <w:iCs/>
          <w:szCs w:val="24"/>
          <w:vertAlign w:val="superscript"/>
          <w:lang w:val="en-US"/>
        </w:rPr>
        <w:t>2</w:t>
      </w:r>
      <w:r w:rsidRPr="0096406A">
        <w:rPr>
          <w:iCs/>
          <w:szCs w:val="24"/>
          <w:lang w:val="en-US"/>
        </w:rPr>
        <w:t xml:space="preserve">, </w:t>
      </w:r>
      <w:proofErr w:type="spellStart"/>
      <w:r w:rsidRPr="0096406A">
        <w:rPr>
          <w:iCs/>
          <w:szCs w:val="24"/>
          <w:lang w:val="en-US"/>
        </w:rPr>
        <w:t>Nunc</w:t>
      </w:r>
      <w:proofErr w:type="spellEnd"/>
      <w:r w:rsidRPr="0096406A">
        <w:rPr>
          <w:iCs/>
          <w:szCs w:val="24"/>
          <w:lang w:val="en-US"/>
        </w:rPr>
        <w:t xml:space="preserve">) containing a 24-hour culture of Vero E6 cells. The flasks were incubated one hour at 37°C and 5% CO2 on a rocking platform. Additional 5 ml of virus culturing media was added to each flask and a sample of 650 µL was aspirated and subjected to real time RT-PCR. The flasks were then incubated at 37°C and 5% CO2 in a humidified atmosphere. After three days of incubation the flasks were inspected by phase-contrast microscopy for </w:t>
      </w:r>
      <w:proofErr w:type="spellStart"/>
      <w:r w:rsidRPr="0096406A">
        <w:rPr>
          <w:iCs/>
          <w:szCs w:val="24"/>
          <w:lang w:val="en-US"/>
        </w:rPr>
        <w:t>cytopathic</w:t>
      </w:r>
      <w:proofErr w:type="spellEnd"/>
      <w:r w:rsidRPr="0096406A">
        <w:rPr>
          <w:iCs/>
          <w:szCs w:val="24"/>
          <w:lang w:val="en-US"/>
        </w:rPr>
        <w:t xml:space="preserve"> effects and another 650 µL was aspirated and subjected to real time RT-PCR.    </w:t>
      </w:r>
    </w:p>
    <w:p w:rsidR="003E4F9B" w:rsidRPr="0096406A" w:rsidRDefault="003E4F9B" w:rsidP="003E4F9B">
      <w:pPr>
        <w:spacing w:line="480" w:lineRule="auto"/>
        <w:jc w:val="both"/>
        <w:rPr>
          <w:iCs/>
          <w:szCs w:val="24"/>
          <w:lang w:val="en-US"/>
        </w:rPr>
      </w:pPr>
    </w:p>
    <w:p w:rsidR="003E4F9B" w:rsidRPr="0096406A" w:rsidRDefault="003E4F9B" w:rsidP="003E4F9B">
      <w:pPr>
        <w:spacing w:line="480" w:lineRule="auto"/>
        <w:jc w:val="both"/>
        <w:rPr>
          <w:b/>
          <w:iCs/>
          <w:szCs w:val="24"/>
          <w:lang w:val="en-US"/>
        </w:rPr>
      </w:pPr>
      <w:r w:rsidRPr="0096406A">
        <w:rPr>
          <w:b/>
          <w:iCs/>
          <w:szCs w:val="24"/>
          <w:lang w:val="en-US"/>
        </w:rPr>
        <w:t xml:space="preserve">References Additional file 3 </w:t>
      </w:r>
    </w:p>
    <w:p w:rsidR="003E4F9B" w:rsidRPr="0096406A" w:rsidRDefault="003E4F9B" w:rsidP="003E4F9B">
      <w:pPr>
        <w:pStyle w:val="EndNoteBibliography"/>
        <w:spacing w:line="480" w:lineRule="auto"/>
        <w:ind w:left="720" w:hanging="720"/>
      </w:pPr>
      <w:r w:rsidRPr="0096406A">
        <w:fldChar w:fldCharType="begin"/>
      </w:r>
      <w:r w:rsidRPr="0096406A">
        <w:instrText xml:space="preserve"> ADDIN EN.REFLIST </w:instrText>
      </w:r>
      <w:r w:rsidRPr="0096406A">
        <w:fldChar w:fldCharType="separate"/>
      </w:r>
      <w:r w:rsidRPr="0096406A">
        <w:t>1.</w:t>
      </w:r>
      <w:r w:rsidRPr="0096406A">
        <w:tab/>
        <w:t xml:space="preserve">Corman VM, Landt O, Kaiser M, et al. Detection of 2019 novel coronavirus (2019-nCoV) by real-time RT-PCR. Euro Surveill </w:t>
      </w:r>
      <w:r w:rsidRPr="0096406A">
        <w:rPr>
          <w:b/>
        </w:rPr>
        <w:t>2020</w:t>
      </w:r>
      <w:r w:rsidRPr="0096406A">
        <w:t>; 25(3).</w:t>
      </w:r>
    </w:p>
    <w:p w:rsidR="003E4F9B" w:rsidRPr="0096406A" w:rsidRDefault="003E4F9B" w:rsidP="003E4F9B">
      <w:pPr>
        <w:pStyle w:val="EndNoteBibliography"/>
        <w:spacing w:line="480" w:lineRule="auto"/>
        <w:ind w:left="720" w:hanging="720"/>
      </w:pPr>
      <w:r w:rsidRPr="0096406A">
        <w:lastRenderedPageBreak/>
        <w:t>2.</w:t>
      </w:r>
      <w:r w:rsidRPr="0096406A">
        <w:tab/>
        <w:t xml:space="preserve">Leibowitz J, Kaufman G, Liu P. Coronaviruses: propagation, quantification, storage, and construction of recombinant mouse hepatitis virus. Curr Protoc Microbiol </w:t>
      </w:r>
      <w:r w:rsidRPr="0096406A">
        <w:rPr>
          <w:b/>
        </w:rPr>
        <w:t>2011</w:t>
      </w:r>
      <w:r w:rsidRPr="0096406A">
        <w:t>; Chapter 15(1): Unit 15E.1.</w:t>
      </w:r>
    </w:p>
    <w:p w:rsidR="00980AC9" w:rsidRDefault="003E4F9B" w:rsidP="003E4F9B">
      <w:r w:rsidRPr="0096406A">
        <w:rPr>
          <w:lang w:val="en-US"/>
        </w:rPr>
        <w:fldChar w:fldCharType="end"/>
      </w:r>
      <w:bookmarkStart w:id="0" w:name="_GoBack"/>
      <w:bookmarkEnd w:id="0"/>
    </w:p>
    <w:sectPr w:rsidR="00980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rø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62"/>
    <w:rsid w:val="003354EE"/>
    <w:rsid w:val="003B0C8D"/>
    <w:rsid w:val="003E4F9B"/>
    <w:rsid w:val="009A3062"/>
    <w:rsid w:val="00D33117"/>
    <w:rsid w:val="00E2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9B"/>
    <w:pPr>
      <w:spacing w:after="0" w:line="240" w:lineRule="auto"/>
    </w:pPr>
    <w:rPr>
      <w:rFonts w:ascii="Times New Roman" w:hAnsi="Times New Roman" w:cs="Times New Roman (Brødtekst CS)"/>
      <w:sz w:val="24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rsid w:val="003E4F9B"/>
    <w:rPr>
      <w:rFonts w:cs="Times New Roman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3E4F9B"/>
    <w:rPr>
      <w:rFonts w:ascii="Times New Roman" w:hAnsi="Times New Roman" w:cs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9B"/>
    <w:pPr>
      <w:spacing w:after="0" w:line="240" w:lineRule="auto"/>
    </w:pPr>
    <w:rPr>
      <w:rFonts w:ascii="Times New Roman" w:hAnsi="Times New Roman" w:cs="Times New Roman (Brødtekst CS)"/>
      <w:sz w:val="24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rsid w:val="003E4F9B"/>
    <w:rPr>
      <w:rFonts w:cs="Times New Roman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3E4F9B"/>
    <w:rPr>
      <w:rFonts w:ascii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7011</Characters>
  <Application>Microsoft Office Word</Application>
  <DocSecurity>0</DocSecurity>
  <Lines>250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2021-07-26T20:56:00Z</dcterms:created>
  <dcterms:modified xsi:type="dcterms:W3CDTF">2021-07-26T20:56:00Z</dcterms:modified>
</cp:coreProperties>
</file>