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0ACD2" w14:textId="2A3581B9" w:rsidR="008C021A" w:rsidRPr="001510E9" w:rsidRDefault="001510E9" w:rsidP="008C021A">
      <w:pPr>
        <w:rPr>
          <w:b/>
          <w:bCs/>
          <w:color w:val="000000" w:themeColor="text1"/>
        </w:rPr>
      </w:pPr>
      <w:r w:rsidRPr="001510E9">
        <w:rPr>
          <w:b/>
          <w:bCs/>
          <w:color w:val="000000" w:themeColor="text1"/>
        </w:rPr>
        <w:t>Additional</w:t>
      </w:r>
      <w:r w:rsidR="008C021A" w:rsidRPr="001510E9">
        <w:rPr>
          <w:b/>
          <w:bCs/>
          <w:color w:val="000000" w:themeColor="text1"/>
        </w:rPr>
        <w:t xml:space="preserve"> </w:t>
      </w:r>
      <w:r w:rsidR="00345FD6">
        <w:rPr>
          <w:b/>
          <w:bCs/>
          <w:color w:val="000000" w:themeColor="text1"/>
        </w:rPr>
        <w:t>file</w:t>
      </w:r>
      <w:bookmarkStart w:id="0" w:name="_GoBack"/>
      <w:bookmarkEnd w:id="0"/>
      <w:r w:rsidR="008C021A" w:rsidRPr="001510E9">
        <w:rPr>
          <w:b/>
          <w:bCs/>
          <w:color w:val="000000" w:themeColor="text1"/>
        </w:rPr>
        <w:t xml:space="preserve"> 3</w:t>
      </w:r>
    </w:p>
    <w:p w14:paraId="7C42C37C" w14:textId="77777777" w:rsidR="008C021A" w:rsidRPr="001510E9" w:rsidRDefault="008C021A" w:rsidP="008C021A">
      <w:pPr>
        <w:rPr>
          <w:color w:val="000000" w:themeColor="text1"/>
        </w:rPr>
      </w:pPr>
      <w:r w:rsidRPr="001510E9">
        <w:rPr>
          <w:color w:val="000000" w:themeColor="text1"/>
        </w:rPr>
        <w:t>To investigate the potential biases in the PCR method used, we classified studies as either using a ‘normal’ or a ‘sensitive’ PCR method, based on whether the assay was able to detect below 0.1 parasites per microlitre (table S1)</w:t>
      </w:r>
    </w:p>
    <w:tbl>
      <w:tblPr>
        <w:tblStyle w:val="PlainTable4"/>
        <w:tblW w:w="6929" w:type="dxa"/>
        <w:tblLook w:val="04A0" w:firstRow="1" w:lastRow="0" w:firstColumn="1" w:lastColumn="0" w:noHBand="0" w:noVBand="1"/>
      </w:tblPr>
      <w:tblGrid>
        <w:gridCol w:w="2547"/>
        <w:gridCol w:w="1843"/>
        <w:gridCol w:w="2539"/>
      </w:tblGrid>
      <w:tr w:rsidR="001510E9" w:rsidRPr="001510E9" w14:paraId="33366865" w14:textId="77777777" w:rsidTr="002021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bottom w:val="single" w:sz="4" w:space="0" w:color="auto"/>
              <w:right w:val="single" w:sz="4" w:space="0" w:color="auto"/>
            </w:tcBorders>
            <w:noWrap/>
            <w:hideMark/>
          </w:tcPr>
          <w:p w14:paraId="28526C07" w14:textId="77777777" w:rsidR="008C021A" w:rsidRPr="001510E9" w:rsidRDefault="008C021A" w:rsidP="00202107">
            <w:pPr>
              <w:spacing w:line="276" w:lineRule="auto"/>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First author, year, reference</w:t>
            </w:r>
          </w:p>
        </w:tc>
        <w:tc>
          <w:tcPr>
            <w:tcW w:w="1843" w:type="dxa"/>
            <w:tcBorders>
              <w:left w:val="single" w:sz="4" w:space="0" w:color="auto"/>
              <w:bottom w:val="single" w:sz="4" w:space="0" w:color="auto"/>
            </w:tcBorders>
            <w:noWrap/>
            <w:hideMark/>
          </w:tcPr>
          <w:p w14:paraId="7D07054E" w14:textId="77777777" w:rsidR="008C021A" w:rsidRPr="001510E9" w:rsidRDefault="008C021A" w:rsidP="00202107">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Country</w:t>
            </w:r>
          </w:p>
        </w:tc>
        <w:tc>
          <w:tcPr>
            <w:tcW w:w="2539" w:type="dxa"/>
            <w:tcBorders>
              <w:bottom w:val="single" w:sz="4" w:space="0" w:color="auto"/>
              <w:right w:val="single" w:sz="4" w:space="0" w:color="auto"/>
            </w:tcBorders>
            <w:noWrap/>
            <w:hideMark/>
          </w:tcPr>
          <w:p w14:paraId="11638D74" w14:textId="77777777" w:rsidR="008C021A" w:rsidRPr="001510E9" w:rsidRDefault="008C021A" w:rsidP="00202107">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PCR sensitivity</w:t>
            </w:r>
          </w:p>
        </w:tc>
      </w:tr>
      <w:tr w:rsidR="001510E9" w:rsidRPr="001510E9" w14:paraId="242D76A0"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right w:val="single" w:sz="4" w:space="0" w:color="auto"/>
            </w:tcBorders>
            <w:noWrap/>
          </w:tcPr>
          <w:p w14:paraId="494FA895"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Acquah et al. 2021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color w:val="000000" w:themeColor="text1"/>
                <w:sz w:val="20"/>
                <w:szCs w:val="20"/>
                <w:lang w:eastAsia="en-GB"/>
              </w:rPr>
              <w:instrText xml:space="preserve"> ADDIN ZOTERO_ITEM CSL_CITATION {"citationID":"UkmhWXED","properties":{"formattedCitation":"(19)","plainCitation":"(19)","noteIndex":0},"citationItems":[{"id":55,"uris":["http://zotero.org/users/local/EzDhCphr/items/VMGZMD3T"],"uri":["http://zotero.org/users/local/EzDhCphr/items/VMGZMD3T"],"itemData":{"id":55,"type":"article-journal","abstract":"The Alere™ Malaria Ag P.f Ultra-sensitive RDT (UsmRDT) kit is an HRP2-based malaria rapid diagnostic test (RDT) with enhanced sensitivity relative to the SD Bioline Malaria Ag P.f RDT (mRDT) kit. However, the diagnostic performance of the UsmRDT kit has not been evaluated in Ghana.","container-title":"Malaria Journal","DOI":"10.1186/s12936-021-03665-7","ISSN":"1475-2875","issue":"1","journalAbbreviation":"Malar J","language":"en","page":"125","source":"Springer Link","title":"Diagnostic performance of an ultrasensitive HRP2-based malaria rapid diagnostic test kit used in surveys of afebrile people living in Southern Ghana","volume":"20","author":[{"family":"Acquah","given":"Festus K."},{"family":"Donu","given":"Dickson"},{"family":"Obboh","given":"Evans K."},{"family":"Bredu","given":"Dorcas"},{"family":"Mawuli","given":"Bernice"},{"family":"Amponsah","given":"Jones A."},{"family":"Quartey","given":"Joseph"},{"family":"Amoah","given":"Linda E."}],"issued":{"date-parts":[["2021",3,2]]}}}],"schema":"https://github.com/citation-style-language/schema/raw/master/csl-citation.json"}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(19)</w:t>
            </w:r>
            <w:r w:rsidRPr="001510E9">
              <w:rPr>
                <w:rFonts w:ascii="Calibri" w:eastAsia="Times New Roman" w:hAnsi="Calibri" w:cs="Times New Roman"/>
                <w:color w:val="000000" w:themeColor="text1"/>
                <w:sz w:val="20"/>
                <w:szCs w:val="20"/>
                <w:lang w:eastAsia="en-GB"/>
              </w:rPr>
              <w:fldChar w:fldCharType="end"/>
            </w:r>
          </w:p>
        </w:tc>
        <w:tc>
          <w:tcPr>
            <w:tcW w:w="1843" w:type="dxa"/>
            <w:tcBorders>
              <w:top w:val="single" w:sz="4" w:space="0" w:color="auto"/>
              <w:left w:val="single" w:sz="4" w:space="0" w:color="auto"/>
            </w:tcBorders>
            <w:noWrap/>
          </w:tcPr>
          <w:p w14:paraId="10033752"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Ghana</w:t>
            </w:r>
          </w:p>
        </w:tc>
        <w:tc>
          <w:tcPr>
            <w:tcW w:w="2539" w:type="dxa"/>
            <w:tcBorders>
              <w:top w:val="single" w:sz="4" w:space="0" w:color="auto"/>
              <w:right w:val="single" w:sz="4" w:space="0" w:color="auto"/>
            </w:tcBorders>
            <w:noWrap/>
          </w:tcPr>
          <w:p w14:paraId="666DFA70"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294D3031"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tcPr>
          <w:p w14:paraId="7F2CAD17"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Das et al. 2017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PtjvsCRm","properties":{"formattedCitation":"(12)","plainCitation":"(12)","noteIndex":0},"citationItems":[{"id":34,"uris":["http://zotero.org/users/local/EzDhCphr/items/EXRRLZ86"],"uri":["http://zotero.org/users/local/EzDhCphr/items/EXRRLZ86"],"itemData":{"id":34,"type":"article-journal","abstract":"&lt;section class=\"abstract\"&gt;&lt;p&gt;Sensitive field-deployable diagnostic tests can assist malaria programs in achieving elimination. The performance of a new Alere™ Malaria Ag P.f Ultra Sensitive rapid diagnostic test (uRDT) was compared with the currently available SD Bioline Malaria Ag P.f RDT in blood specimens from asymptomatic individuals in Nagongera, Uganda, and in a Karen Village, Myanmar, representative of high- and low-transmission areas, respectively, as well as in pretreatment specimens from study participants from four &lt;em&gt;Plasmodium falciparum&lt;/em&gt;-induced blood-stage malaria (IBSM) studies. A quantitative reverse transcription PCR (qRT-PCR) and a highly sensitive enzyme-linked immunosorbent assay (ELISA) test for histidine-rich protein II (HRP2) were used as reference assays. The uRDT showed a greater than 10-fold lower limit of detection for HRP2 compared with the RDT. The sensitivity of the uRDT was 84% and 44% against qRT-PCR in Uganda and Myanmar, respectively, and that of the RDT was 62% and 0% for the same two sites. The specificities of the uRDT were 92% and 99.8% against qRT-PCR for Uganda and Myanmar, respectively, and 99% and 99.8% against the HRP2 reference ELISA. The RDT had specificities of 95% and 100% against qRT-PCR for Uganda and Myanmar, respectively, and 96% and 100% against the HRP2 reference ELISA. The uRDT detected new infections in IBSM study participants 1.5 days sooner than the RDT. The uRDT has the same workflow as currently available RDTs, but improved performance characteristics to identify asymptomatic malaria infections. The uRDT may be a useful tool for malaria elimination strategies.&lt;/p&gt;&lt;/section&gt;","container-title":"The American Journal of Tropical Medicine and Hygiene","DOI":"10.4269/ajtmh.17-0245","ISSN":"0002-9637, 1476-1645","issue":"5","language":"EN","note":"publisher: The American Society of Tropical Medicine and Hygiene\nsection: The American Journal of Tropical Medicine and Hygiene","page":"1540-1550","source":"www.ajtmh.org","title":"Performance of a High-Sensitivity Rapid Diagnostic Test for Plasmodium falciparum Malaria in Asymptomatic Individuals from Uganda and Myanmar and Naive Human Challenge Infections","volume":"97","author":[{"family":"Das","given":"Smita"},{"family":"Jang","given":"Ihn Kyung"},{"family":"Barney","given":"Becky"},{"family":"Peck","given":"Roger"},{"family":"Rek","given":"John C."},{"family":"Arinaitwe","given":"Emmanuel"},{"family":"Adrama","given":"Harriet"},{"family":"Murphy","given":"Maxwell"},{"family":"Imwong","given":"Mallika"},{"family":"Ling","given":"Clare L."},{"family":"Proux","given":"Stephane"},{"family":"Haohankhunnatham","given":"Warat"},{"family":"Rist","given":"Melissa"},{"family":"Seilie","given":"Annette M."},{"family":"Hanron","given":"Amelia"},{"family":"Daza","given":"Glenda"},{"family":"Chang","given":"Ming"},{"family":"Nakamura","given":"Tomoka"},{"family":"Kalnoky","given":"Michael"},{"family":"Labarre","given":"Paul"},{"family":"Murphy","given":"Sean C."},{"family":"McCarthy","given":"James S."},{"family":"Nosten","given":"Francois"},{"family":"Greenhouse","given":"Bryan"},{"family":"Allauzen","given":"Sophie"},{"family":"Domingo","given":"Gonzalo J."}],"issued":{"date-parts":[["2017",8,7]]}}}],"schema":"https://github.com/citation-style-language/schema/raw/master/csl-citation.json"}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(12)</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tcPr>
          <w:p w14:paraId="6FF94ACE"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Myanmar, Uganda</w:t>
            </w:r>
          </w:p>
        </w:tc>
        <w:tc>
          <w:tcPr>
            <w:tcW w:w="2539" w:type="dxa"/>
            <w:tcBorders>
              <w:right w:val="single" w:sz="4" w:space="0" w:color="auto"/>
            </w:tcBorders>
            <w:noWrap/>
          </w:tcPr>
          <w:p w14:paraId="49B7BFFD"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5E1231F1"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113E9521"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Galatas et al. 2020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VM3K4OIL","properties":{"formattedCitation":"(20)","plainCitation":"(20)","noteIndex":0},"citationItems":[{"id":57,"uris":["http://zotero.org/users/local/EzDhCphr/items/IKQKWWXB"],"uri":["http://zotero.org/users/local/EzDhCphr/items/IKQKWWXB"],"itemData":{"id":57,"type":"article-journal","abstract":"An ultrasensitive malaria rapid diagnostic test (RDT) was recently developed for the improved detection of low-density Plasmodium falciparum infections. This study aimed to compare the diagnostic performance of the PfHRP2-based Abbott Malaria Ag P. falciparum ultrasensitive RDT (uRDT) to that of the conventional SD-Bioline Malaria Ag P. falciparum RDT (cRDT) when performed under field conditions.","container-title":"Malaria Journal","DOI":"10.1186/s12936-020-03526-9","ISSN":"1475-2875","issue":"1","journalAbbreviation":"Malar J","language":"en","page":"451","source":"Springer Link","title":"Field performance of ultrasensitive and conventional malaria rapid diagnostic tests in southern Mozambique","volume":"19","author":[{"family":"Galatas","given":"Beatriz"},{"family":"Mayor","given":"Alfredo"},{"family":"Gupta","given":"Himanshu"},{"family":"Balanza","given":"Núria"},{"family":"Jang","given":"Ihn Kyung"},{"family":"Nhamussua","given":"Lidia"},{"family":"Simone","given":"Wilson"},{"family":"Cisteró","given":"Pau"},{"family":"Chidimatembue","given":"Arlindo"},{"family":"Munguambe","given":"Humberto"},{"family":"Saúte","given":"Francisco"},{"family":"Aide","given":"Pedro"},{"family":"Bassat","given":"Quique"}],"issued":{"date-parts":[["2020",12,7]]}}}],"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(20)</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28EBD7D9"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Mozambique</w:t>
            </w:r>
          </w:p>
        </w:tc>
        <w:tc>
          <w:tcPr>
            <w:tcW w:w="2539" w:type="dxa"/>
            <w:tcBorders>
              <w:right w:val="single" w:sz="4" w:space="0" w:color="auto"/>
            </w:tcBorders>
            <w:noWrap/>
          </w:tcPr>
          <w:p w14:paraId="7AC476E5"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3A078DE7"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7B12C30A"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Girma et al. 2019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4I7qGn0E","properties":{"formattedCitation":"(21)","plainCitation":"(21)","noteIndex":0},"citationItems":[{"id":73,"uris":["http://zotero.org/users/local/EzDhCphr/items/SIHD8WTG"],"uri":["http://zotero.org/users/local/EzDhCphr/items/SIHD8WTG"],"itemData":{"id":73,"type":"article-journal","abstract":"BACKGROUND: As the global public-health objectives for malaria evolve from malaria control towards malaria elimination, there is increasing interest in the significance of asymptomatic infections and the optimal diagnostic test to identify them.\nMETHOD: We conducted a cross-sectional study of asymptomatic individuals (N = 562) to determine the epidemiological characteristics associated with asymptomatic malaria. Participants were tested by rapid diagnostic tests (CareStart, Standard Diagnostics [SD] Bioline, and Alere ultrasensitive RDT [uRDT]), loop-mediated isothermal amplification (LAMP), and quantitative reverse transcription polymerase chain reaction (qRT-PCR) to determine malaria positivity. Hemoglobin values were recorded, and anemia was defined as a binary variable, according to World Health Organization guidelines.\nRESULTS: Compared to reference qRT-PCR, LAMP had the highest sensitivity (92.6%, 95% confidence interval [CI] 86.4-96.5), followed by uRDT Alere Malaria (33.9%, 95% CI 25.5-43.1), CareStart Malaria (14.1%, 95% CI 8.4-21.5), microscopy (5.0%, 95% CI 1.8-10.5), and SD Bioline (5.0%, 95% CI 1.8-10.5). For Plasmodium falciparum specimens only, the sensitivity for uRDT Alere Malaria was 50.0% (95% CI 38.8-61.3) and SD Bioline was 7.3% (95% CI 2.7-15.3). Based on multivariate regression analysis with qRT-PCR as the gold standard, for every 3.2% increase in the prevalence of asymptomatic malaria, hemoglobin decreased by 1 gram per deciliter (prevalence ratio 0.968, 95% CI 0.940-0.997; P = .032). Deletions (4.8%) in hrp2 were noted.\nCONCLUSIONS: While uRDT Alere Malaria has superior sensitivity to rapid diagnostic tests and microscopy in detecting asymptomatic malaria, LAMP is superior still. Ultrasensitive diagnostics provide the accurate prevalence estimates of asymptomatic malaria required for elimination.","container-title":"Clinical Infectious Diseases: An Official Publication of the Infectious Diseases Society of America","DOI":"10.1093/cid/ciy1005","ISSN":"1537-6591","issue":"6","journalAbbreviation":"Clin Infect Dis","language":"eng","note":"PMID: 30475992","page":"1003-1010","source":"PubMed","title":"Prevalence and Epidemiological Characteristics of Asymptomatic Malaria Based on Ultrasensitive Diagnostics: A Cross-sectional Study","title-short":"Prevalence and Epidemiological Characteristics of Asymptomatic Malaria Based on Ultrasensitive Diagnostics","volume":"69","author":[{"family":"Girma","given":"Seble"},{"family":"Cheaveau","given":"James"},{"family":"Mohon","given":"Abu Naser"},{"family":"Marasinghe","given":"Dewdunee"},{"family":"Legese","given":"Ruth"},{"family":"Balasingam","given":"Nirujah"},{"family":"Abera","given":"Adugna"},{"family":"Feleke","given":"Sindew M."},{"family":"Golassa","given":"Lemu"},{"family":"Pillai","given":"Dylan R."}],"issued":{"date-parts":[["2019",8,30]]}}}],"schema":"https://github.com/citation-style-language/schema/raw/master/csl-citation.json"}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(21)</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19D14455"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Ethiopia</w:t>
            </w:r>
          </w:p>
        </w:tc>
        <w:tc>
          <w:tcPr>
            <w:tcW w:w="2539" w:type="dxa"/>
            <w:tcBorders>
              <w:right w:val="single" w:sz="4" w:space="0" w:color="auto"/>
            </w:tcBorders>
            <w:noWrap/>
          </w:tcPr>
          <w:p w14:paraId="0C37215C"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2BFAFCFF"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4EDBBBB2"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Hofmann  et al. 2018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l0c2k0YR","properties":{"formattedCitation":"(14)","plainCitation":"(14)","noteIndex":0},"citationItems":[{"id":42,"uris":["http://zotero.org/users/local/EzDhCphr/items/L43PIFQY"],"uri":["http://zotero.org/users/local/EzDhCphr/items/L43PIFQY"],"itemData":{"id":42,"type":"article-journal","abstract":"Background\nSubmicroscopic malaria infections contribute to transmission in exposed populations but their extent is underestimated even by standard molecular diagnostics. Sophisticated sampling and ultra-sensitive molecular methods can maximise test sensitivity but are not feasible in routine surveillance. Here we investigate the gains achievable by using increasingly sensitive methods with the aim to understand what diagnostic sensitivity is necessary to guide malaria interventions.\nMethods\nVenous blood samples were collected from participants in a cross-sectional survey in two coastal medium-endemic villages in Madang province, Papua New Guinea. Using ultra-sensitive quantitative PCR (us-qPCR) on concentrated high-volume blood samples (2 mL) as reference, we quantified the proportion of Plasmodium falciparum and Plasmodium vivax infections and gametocyte carriers detectable in fingerprick blood volumes (200 μL) by standard 18S rRNA qPCR, us-qPCR, rapid diagnostic test (RDT), and ultra-sensitive P falciparum RDT. We further compared the epidemiological patterns observed with each diagnostic approach in the study population.\nFindings\nVenous blood samples were collected from 300 participants between Dec 5, 2016, and Feb 24, 2017 (ie, during peak rainy season). Standard qPCR identified 87 (54%) of 161 P falciparum infections and 73 (52%) of 141 P vivax infections detected by the reference method. us-qPCR identified an additional 11 (7%) P falciparum infections and 14 (10%) P vivax infections. 80 (86%) of 93 P falciparum gametocyte carriers and 75 (91%) of 82 P vivax gametocyte carriers were found among infections detectable by us-qPCR. Ultra-sensitive RDT missed half of P falciparum infections detected by standard qPCR, including high gametocytaemic infections. Epidemiological patterns corresponded well between standard qPCR and the reference method. As the prevalence of P vivax decreased with increasing age, the proportion of P vivax infections undetectable by standard qPCR increased.\nInterpretation\nAlmost all potentially transmitting parasite carriers were identified with us-qPCR on fingerprick blood volumes. Analysing larger blood volumes revealed a large pool of ultra-low-density P falciparum and P vivax infections, which are unlikely to be transmitted. Therefore, current RDTs cannot replace molecular diagnostics for identifying potential P falciparum transmitters.\nFunding\nSwiss National Science Foundation.","container-title":"The Lancet Infectious Diseases","DOI":"10.1016/S1473-3099(18)30411-0","ISSN":"1473-3099","issue":"10","journalAbbreviation":"The Lancet Infectious Diseases","language":"en","page":"1108-1116","source":"ScienceDirect","title":"Assessment of ultra-sensitive malaria diagnosis versus standard molecular diagnostics for malaria elimination: an in-depth molecular community cross-sectional study","title-short":"Assessment of ultra-sensitive malaria diagnosis versus standard molecular diagnostics for malaria elimination","volume":"18","author":[{"family":"Hofmann","given":"Natalie E"},{"family":"Gruenberg","given":"Maria"},{"family":"Nate","given":"Elma"},{"family":"Ura","given":"Alice"},{"family":"Rodriguez-Rodriguez","given":"Daniela"},{"family":"Salib","given":"Mary"},{"family":"Mueller","given":"Ivo"},{"family":"Smith","given":"Thomas A"},{"family":"Laman","given":"Moses"},{"family":"Robinson","given":"Leanne J"},{"family":"Felger","given":"Ingrid"}],"issued":{"date-parts":[["2018",10,1]]}}}],"schema":"https://github.com/citation-style-language/schema/raw/master/csl-citation.json"}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(14)</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5EBC8144"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PNG</w:t>
            </w:r>
          </w:p>
        </w:tc>
        <w:tc>
          <w:tcPr>
            <w:tcW w:w="2539" w:type="dxa"/>
            <w:tcBorders>
              <w:right w:val="single" w:sz="4" w:space="0" w:color="auto"/>
            </w:tcBorders>
            <w:noWrap/>
          </w:tcPr>
          <w:p w14:paraId="00B7F33C"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Both sensitive and normal</w:t>
            </w:r>
          </w:p>
        </w:tc>
      </w:tr>
      <w:tr w:rsidR="001510E9" w:rsidRPr="001510E9" w14:paraId="7EA9385F"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56C87EF4"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Landier et al. 2018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SdH4QEdk","properties":{"formattedCitation":"(13)","plainCitation":"(13)","noteIndex":0},"citationItems":[{"id":39,"uris":["http://zotero.org/users/local/EzDhCphr/items/HFUS7X85"],"uri":["http://zotero.org/users/local/EzDhCphr/items/HFUS7X85"],"itemData":{"id":39,"type":"article-journal","abstract":"In the Greater Mekong Subregion in Southeast Asia, malaria elimination strategies need to target all Plasmodium falciparum parasites, including those carried asymptomatically. More than 70% of asymptomatic carriers are not detected by current rapid diagnostic tests (RDTs) or microscopy., In the Greater Mekong Subregion in Southeast Asia, malaria elimination strategies need to target all Plasmodium falciparum parasites, including those carried asymptomatically. More than 70% of asymptomatic carriers are not detected by current rapid diagnostic tests (RDTs) or microscopy. An HRP2-based ultrasensitive RDT (uRDT) developed to improve the detection of low-density infections was evaluated during prevalence surveys within a malaria elimination program in a low-transmission area of eastern Myanmar. Surveys were conducted to identify high-prevalence villages. Two-milliliter venous blood samples were collected from asymptomatic adult volunteers and transported to the laboratory. Plasmodium parasites were detected by RDT, uRDT, microscopy, ultrasensitive qPCR (uPCR), and multiplex enzyme-linked immunosorbent assay (ELISA). The sensitivity, specificity, and predictive positive and negative values of RDT and uRDT were calculated compared to uPCR and ELISA. Parasite and antigen concentrations detected by each test were defined using uPCR and ELISA, respectively. A total of 1,509 samples, including 208 P. falciparum-positive samples were analyzed with all tests. The sensitivity of the uRDT was twofold higher than that of RDT, 51.4% versus 25.2%, with minor specificity loss, 99.5% versus 99.9%, against the combined reference (uPCR plus ELISA). The geometric mean parasitemia detected by uRDT in P. falciparum monospecific infections was 3,019 parasites per ml (95% confidence interval [95% CI], 1,790 to 5,094; n = 79) compared to 11,352 parasites per ml (95% CI, 5,643 to 22,837; n = 38) by RDT. The sensitivities of uRDT and RDT dropped to 34.6% and 15.1%, respectively, for the matched tests performed in the field. The uRDT performed consistently better than RDT and microscopy at low parasitemias. It shows promising characteristics for the identification of high-prevalence communities and warrants further evaluation in mass screening and treatment interventions.","container-title":"Journal of Clinical Microbiology","DOI":"10.1128/JCM.00565-18","ISSN":"0095-1137","issue":"8","journalAbbreviation":"J Clin Microbiol","note":"PMID: 29898998\nPMCID: PMC6062819","source":"PubMed Central","title":"Operational Performance of a Plasmodium falciparum Ultrasensitive Rapid Diagnostic Test for Detection of Asymptomatic Infections in Eastern Myanmar","URL":"https://www.ncbi.nlm.nih.gov/pmc/articles/PMC6062819/","volume":"56","author":[{"family":"Landier","given":"Jordi"},{"family":"Haohankhunnatham","given":"Warat"},{"family":"Das","given":"Smita"},{"family":"Konghahong","given":"Kamonchanok"},{"family":"Christensen","given":"Peter"},{"family":"Raksuansak","given":"Jathee"},{"family":"Phattharakokoedbun","given":"Pase"},{"family":"Kajeechiwa","given":"Ladda"},{"family":"Thwin","given":"May Myo"},{"family":"Jang","given":"Ihn Kyung"},{"family":"Imwong","given":"Mallika"},{"family":"Wiladphaingern","given":"Jacher"},{"family":"Lwin","given":"Khin Maung"},{"family":"Ling","given":"Clare"},{"family":"Proux","given":"Stephane"},{"family":"Domingo","given":"Gonzalo J."},{"family":"Delmas","given":"Gilles"},{"family":"Nosten","given":"François H."}],"accessed":{"date-parts":[["2021",6,18]]},"issued":{"date-parts":[["2018",7,26]]}}}],"schema":"https://github.com/citation-style-language/schema/raw/master/csl-citation.json"}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(13)</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64BB4472"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Myanmar</w:t>
            </w:r>
          </w:p>
        </w:tc>
        <w:tc>
          <w:tcPr>
            <w:tcW w:w="2539" w:type="dxa"/>
            <w:tcBorders>
              <w:right w:val="single" w:sz="4" w:space="0" w:color="auto"/>
            </w:tcBorders>
            <w:noWrap/>
          </w:tcPr>
          <w:p w14:paraId="7F3DBDD9"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3BDF5610"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3CE48F2B"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Liu et al. 2019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SBKB01iI","properties":{"formattedCitation":"(22)","plainCitation":"(22)","noteIndex":0},"citationItems":[{"id":61,"uris":["http://zotero.org/users/local/EzDhCphr/items/YAG9TPJH"],"uri":["http://zotero.org/users/local/EzDhCphr/items/YAG9TPJH"],"itemData":{"id":61,"type":"article-journal","abstract":"The malaria burden of Myanmar still remains high within the Greater Mekong Subregion of Southeast Asia. An important indicator of progress towards malaria elimination is the prevalence of parasite infections in endemic populations. Information about malaria epidemiology is mostly derived from reports of confirmed acute malaria cases through passive case detection, whereas the prevalence of baseline subclinical malaria infections is much less known.","container-title":"Parasites &amp; Vectors","DOI":"10.1186/s13071-019-3330-1","ISSN":"1756-3305","issue":"1","journalAbbreviation":"Parasites Vectors","language":"en","page":"83","source":"Springer Link","title":"Geographical heterogeneity in prevalence of subclinical malaria infections at sentinel endemic sites of Myanmar","volume":"12","author":[{"family":"Liu","given":"Ziling"},{"family":"Soe","given":"Than Naing"},{"family":"Zhao","given":"Yan"},{"family":"Than","given":"Aye"},{"family":"Cho","given":"Cho"},{"family":"Aung","given":"Pyae Linn"},{"family":"Li","given":"Yuling"},{"family":"Wang","given":"Lin"},{"family":"Yang","given":"Huilin"},{"family":"Li","given":"Xiangnan"},{"family":"Li","given":"Danni"},{"family":"Peng","given":"Zhiping"},{"family":"Wang","given":"Jiangang"},{"family":"Li","given":"Yan"},{"family":"Yang","given":"Zhaoqing"},{"family":"Zhou","given":"Hongning"},{"family":"Wang","given":"Qinghui"},{"family":"Kyaw","given":"Myat Phone"},{"family":"Cao","given":"Yaming"},{"family":"Cui","given":"Liwang"}],"issued":{"date-parts":[["2019",2,18]]}}}],"schema":"https://github.com/citation-style-language/schema/raw/master/csl-citation.json"}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(22)</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27554BCD"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Myanmar</w:t>
            </w:r>
          </w:p>
        </w:tc>
        <w:tc>
          <w:tcPr>
            <w:tcW w:w="2539" w:type="dxa"/>
            <w:tcBorders>
              <w:right w:val="single" w:sz="4" w:space="0" w:color="auto"/>
            </w:tcBorders>
            <w:noWrap/>
          </w:tcPr>
          <w:p w14:paraId="0E49AF86"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55A1B444"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tcPr>
          <w:p w14:paraId="01F56800"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Manjurano et al. 2021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X7AkAbHR","properties":{"formattedCitation":"(23)","plainCitation":"(23)","noteIndex":0},"citationItems":[{"id":63,"uris":["http://zotero.org/users/local/EzDhCphr/items/BI8FRJ9J"],"uri":["http://zotero.org/users/local/EzDhCphr/items/BI8FRJ9J"],"itemData":{"id":63,"type":"article-journal","abstract":"Precise detection of Plasmodium infections in community surveys is essential for effective malaria control. Microscopy and rapid diagnostic tests (RDTs) are the major techniques used to identify malaria infections in the field-based surveys. Although microscopy is still considered as the gold standard, RDTs are increasingly becoming versatile due to their rapid and adequate performance characteristics.","container-title":"Malaria Journal","DOI":"10.1186/s12936-020-03568-z","ISSN":"1475-2875","issue":"1","journalAbbreviation":"Malar J","language":"en","page":"58","source":"Springer Link","title":"Performance evaluation of the highly sensitive histidine‐rich protein 2 rapid test for Plasmodium falciparum malaria in North-West Tanzania","volume":"20","author":[{"family":"Manjurano","given":"Alphaxard"},{"family":"Omolo","given":"Justin J."},{"family":"Lyimo","given":"Eric"},{"family":"Miyaye","given":"Donald"},{"family":"Kishamawe","given":"Coleman"},{"family":"Matemba","given":"Lucas E."},{"family":"Massaga","given":"Julius J."},{"family":"Changalucha","given":"John"},{"family":"Kazyoba","given":"Paul E."}],"issued":{"date-parts":[["2021",1,22]]}}}],"schema":"https://github.com/citation-style-language/schema/raw/master/csl-citation.json"}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(23)</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tcPr>
          <w:p w14:paraId="3EA386B7"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Tanzania</w:t>
            </w:r>
          </w:p>
        </w:tc>
        <w:tc>
          <w:tcPr>
            <w:tcW w:w="2539" w:type="dxa"/>
            <w:tcBorders>
              <w:right w:val="single" w:sz="4" w:space="0" w:color="auto"/>
            </w:tcBorders>
            <w:noWrap/>
          </w:tcPr>
          <w:p w14:paraId="2273F599"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0D8A149D"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378D6BB2"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Mwesigwa et al. 2019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lJL3WFZW","properties":{"formattedCitation":"(24)","plainCitation":"(24)","noteIndex":0},"citationItems":[{"id":65,"uris":["http://zotero.org/users/local/EzDhCphr/items/SCXWDTMC"],"uri":["http://zotero.org/users/local/EzDhCphr/items/SCXWDTMC"],"itemData":{"id":65,"type":"article-journal","abstract":"The Gambia has successfully reduced malaria transmission. The human reservoir of infection could further decrease if malaria-infected individuals could be identified by highly sensitive, field-based, diagnostic tools and then treated.","container-title":"Malaria Journal","DOI":"10.1186/s12936-019-2929-1","ISSN":"1475-2875","issue":"1","journalAbbreviation":"Malar J","language":"en","page":"288","source":"Springer Link","title":"Field performance of the malaria highly sensitive rapid diagnostic test in a setting of varying malaria transmission","volume":"18","author":[{"family":"Mwesigwa","given":"Julia"},{"family":"Slater","given":"Hannah"},{"family":"Bradley","given":"John"},{"family":"Saidy","given":"Binta"},{"family":"Ceesay","given":"Fatima"},{"family":"Whittaker","given":"Charles"},{"family":"Kandeh","given":"Ballah"},{"family":"Nkwakamna","given":"Davis"},{"family":"Drakeley","given":"Chris"},{"family":"Van Geertruyden","given":"Jean-Pierre"},{"family":"Bousema","given":"Teun"},{"family":"Achan","given":"Jane"},{"family":"D’Alessandro","given":"Umberto"}],"issued":{"date-parts":[["2019",8,27]]}}}],"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(24)</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47696115"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The Gambia</w:t>
            </w:r>
          </w:p>
        </w:tc>
        <w:tc>
          <w:tcPr>
            <w:tcW w:w="2539" w:type="dxa"/>
            <w:tcBorders>
              <w:right w:val="single" w:sz="4" w:space="0" w:color="auto"/>
            </w:tcBorders>
            <w:noWrap/>
          </w:tcPr>
          <w:p w14:paraId="30BE3F2B"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71D378BA"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05458329"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Owalla et al. 2020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i35ainmd","properties":{"formattedCitation":"(25)","plainCitation":"(25)","noteIndex":0},"citationItems":[{"id":67,"uris":["http://zotero.org/users/local/EzDhCphr/items/6ITA68FK"],"uri":["http://zotero.org/users/local/EzDhCphr/items/6ITA68FK"],"itemData":{"id":67,"type":"article-journal","abstract":"The ultrasensitive Alere Plasmodium falciparum Malaria Ag histidine-rich protein 2 rapid diagnostic test (Alere uRDT, Suwon City, South Korea) is a new diagnostic tool which is more expensive than other malaria rapid diagnostic tests (RDTs) routinely used in Ugandan clinics. The manufacturer recommends testing samples within 2 days and scoring results after 20 minutes, which may be impractical in high-volume resource-poor clinics. We compared testing by the Alere Ag rapid diagnostic test (uRDT), CareStart RDT, microscopy, and an ultrasensitive I8S rRNA quantitative reverse transcription polymerase chain reaction (qRT-PCR) using survey and clinical samples. For the Alere uRDT, we used survey blood samples stored at 4°C for 44 days and for some clinical samples deliberately scored results beyond 20 minutes. The Alere uRDT and qRT-PCR identified asymptomatic parasitemia cases in 56% and 72%, respectively, of survey samples originally scored as negative by the CareStart RDT. Using qRT-PCR as a gold standard, the Alere uRDT was superior to the CareStart RDT in estimating asymptomatic parasite prevalence in a cross-sectional survey (P = 0.007) and in detection of clinically significant malaria; both RDTs were comparable in detecting asymptomatic parasitemia in the clinic (P = 0.599). Scoring Alere uRDT results at 20 minutes produced valid results confirmed by the CareStart RDT, but there was a consistent background; scoring the Alere uRDT beyond 20 minutes produced false-positive results. The Alere uRDT outperformed the CareStart RDT (ACCESSBIO, Somerset, NJ) in a field survey in estimating malaria prevalence and in the clinic for symptomatic malarial illness. It produced reliable results using samples stored at 4°C for 44 days, but test results read beyond 20 minutes were invalid.","container-title":"The American Journal of Tropical Medicine and Hygiene","DOI":"10.4269/ajtmh.19-0653","ISSN":"1476-1645","issue":"2","journalAbbreviation":"Am J Trop Med Hyg","language":"eng","note":"PMID: 32602431\nPMCID: PMC7410421","page":"778-784","source":"PubMed","title":"Using the Ultrasensitive Alere Plasmodium falciparum Malaria Ag HRP-2™ Rapid Diagnostic Test in the Field and Clinic in Northeastern Uganda","volume":"103","author":[{"family":"Owalla","given":"Tonny Jimmy"},{"family":"Okurut","given":"Emmanuel"},{"family":"Apungia","given":"Gonzaga"},{"family":"Ojakol","given":"Basil"},{"family":"Lema","given":"Jimmy"},{"family":"C Murphy","given":"Sean"},{"family":"G Egwang","given":"Thomas"}],"issued":{"date-parts":[["2020",8]]}}}],"schema":"https://github.com/citation-style-language/schema/raw/master/csl-citation.json"}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(25)</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56C5713E"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Uganda</w:t>
            </w:r>
          </w:p>
        </w:tc>
        <w:tc>
          <w:tcPr>
            <w:tcW w:w="2539" w:type="dxa"/>
            <w:tcBorders>
              <w:right w:val="single" w:sz="4" w:space="0" w:color="auto"/>
            </w:tcBorders>
            <w:noWrap/>
          </w:tcPr>
          <w:p w14:paraId="6F963DF3"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19D8E6AF"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58CB75AC"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Yeung et al. 2020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wnYHQKNz","properties":{"formattedCitation":"(15)","plainCitation":"(15)","noteIndex":0},"citationItems":[{"id":45,"uris":["http://zotero.org/users/local/EzDhCphr/items/G3TVRFAE"],"uri":["http://zotero.org/users/local/EzDhCphr/items/G3TVRFAE"],"itemData":{"id":45,"type":"article-journal","abstract":"&lt;section class=\"abstract\"&gt;&lt;p&gt;Proposed interventions for eliminating drug-resistant &lt;em&gt;Plasmodium falciparum&lt;/em&gt; malaria include the targeting of asymptomatic carriers through screening and treatment. We report on the diagnostic performance of the recently developed ultrasensitive rapid diagnostic test (uRDT) compared with screening with conventional RDTs (cRDT) and polymerase chain reaction (PCR) under field conditions in Cambodia in a total of 2,729 individuals. The &lt;em&gt;P. falciparum&lt;/em&gt; positivity by quantitative PCR (qPCR) was 3.8% (26/678) in those screened during active case detection and 0.5% (10/2,051) in the cross-sectional survey. Compared with qPCR, the sensitivity of the uRDTs was 53.8% (95% CI: 33.4–73.4%) when used in active case detection and 60.0% (95% CI: 26.2–87.8%) in the cross-sectional survey. The uRDTs did not show a significant improvement in diagnostic performance over cRDTs when used for active case detection and for a malaria prevalence survey in the context of this low-transmission setting.&lt;/p&gt;&lt;/section&gt;","container-title":"The American Journal of Tropical Medicine and Hygiene","DOI":"10.4269/ajtmh.19-0349","ISSN":"0002-9637, 1476-1645","issue":"2","language":"EN","note":"publisher: The American Society of Tropical Medicine and Hygiene\nsection: The American Journal of Tropical Medicine and Hygiene","page":"307-309","source":"www.ajtmh.org","title":"Performance of Ultrasensitive Rapid Diagnostic Tests for Detecting Asymptomatic Plasmodium falciparum","volume":"102","author":[{"family":"Yeung","given":"Shunmay"},{"family":"McGregor","given":"David"},{"family":"James","given":"Nicola"},{"family":"Kheang","given":"Soy Ty"},{"family":"Kim","given":"Saorin"},{"family":"Khim","given":"Nimol"},{"family":"Ly","given":"Po"},{"family":"Sovannaroth","given":"Siv"},{"family":"Witkowski","given":"Benoit"}],"issued":{"date-parts":[["2019",12,9]]}}}],"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(15)</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106E3C4D"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Cambodia</w:t>
            </w:r>
          </w:p>
        </w:tc>
        <w:tc>
          <w:tcPr>
            <w:tcW w:w="2539" w:type="dxa"/>
            <w:tcBorders>
              <w:right w:val="single" w:sz="4" w:space="0" w:color="auto"/>
            </w:tcBorders>
            <w:noWrap/>
          </w:tcPr>
          <w:p w14:paraId="700C1044"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4E414128"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3116834B"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Hartley et al. 2020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1jxGs2bf","properties":{"formattedCitation":"(26)","plainCitation":"(26)","noteIndex":0},"citationItems":[{"id":70,"uris":["http://zotero.org/users/local/EzDhCphr/items/2GQQCMQC"],"uri":["http://zotero.org/users/local/EzDhCphr/items/2GQQCMQC"],"itemData":{"id":70,"type":"article-journal","abstract":"Background Low-density (LD) Plasmodium infections are missed by standard malaria rapid diagnostic tests (standard mRDT) when the blood antigen concentration is below the detection threshold. The clinical impact of these LD infections is unknown. This study investigates the clinical presentation and outcome of untreated febrile children with LD infections attending primary care facilities in a moderately endemic area of Tanzania. Methods/findings This cohort study includes 2,801 febrile pediatric outpatients (median age 13.5 months [range 2–59], female:male ratio 0.8:1.0) recruited in Dar es Salaam, Tanzania between 01 December 2014 and 28 February 2016. Treatment decisions were guided by a clinical decision support algorithm run on a mobile app, which also collected clinical data. Only standard mRDT+ cases received antimalarials. Outcomes (clinical failure, secondary hospitalization, and death) were collected in follow-up visits or interviews on days 3, 7, and 28. After patient recruitment had ended, frozen blood from all 2,801 patients was tested for Plasmodium falciparum (Pf) by ultrasensitive–quantitative polymerase chain reaction (qPCR), standard mRDT, and “ultrasensitive” mRDT. As the latter did not improve sensitivity beyond standard mRDT, it is hereafter excluded. Clinical features and outcomes in LD patients (standard mRDT-/ultrasensitive-qPCR+, not given antimalarials) were compared with those with no detectable (ND) parasitemia (standard mRDT-/ultrasensitive-qPCR-) or high-density (HD) infections (standard mRDT+/ultrasensitive-qPCR+, antimalarial-treated). Pf positivity rate was 7.1% (n = 199/2,801) and 9.8% (n = 274/2,801) by standard mRDT and ultrasensitive qPCR, respectively. Thus, 28.0% (n = 76/274) of ultrasensitive qPCR+ cases were not detected by standard mRDT and labeled “LD”. LD patients were, on average, 10.6 months younger than those with HD infections (95% CI 7.0–14.3 months, p &lt; 0.001). Compared with ND, LD patients more frequently had the diagnosis of undifferentiated fever of presumed viral origin (risk ratio [RR] = 2.0, 95% CI 1.3–3.1, p = 0.003) and were more often suffering from severe malnutrition (RR = 3.2, 95% CI 1.1–7.5, p = 0.03). Despite not receiving antimalarials, outcomes for the LD group did not differ from ND regarding clinical failures (2.6% [n = 2/76] versus 4.0% [n = 101/2,527], RR = 0.7, 95% CI 0.2–3.5, p = 0.7) or secondary hospitalizations (2.6% [n = 2/76] versus 2.8% [n = 72/2,527], RR = 0.7,95% CI 0.2–3.2, p = 0.9), and no deaths were reported in any Pf-positive groups. HD patients experienced more secondary hospitalizations (10.1% [n = 20/198], RR = 0.3, 95% CI 0.1–1.0, p = 0.005) than LD patients. All the patients in this cohort were febrile children; thus, the association between parasitemia and fever cannot be investigated, nor can the conclusions be extrapolated to neonates and adults. Conclusions During a 28-day follow-up period, we did not find evidence of a difference in negative outcomes between febrile children with untreated LD Pf parasitemia and those without Pf parasitemia. These findings suggest LD parasitemia may either be a self-resolving fever or an incidental finding in children with other infections, including those of viral origin. These findings do not support a clinical benefit nor additional risk (e.g. because of missed bacterial infections) to using ultrasensitive malaria diagnostics at a primary care level.","container-title":"PLOS Medicine","DOI":"10.1371/journal.pmed.1003318","ISSN":"1549-1676","issue":"9","journalAbbreviation":"PLOS Medicine","language":"en","note":"publisher: Public Library of Science","page":"e1003318","source":"PLoS Journals","title":"Clinical relevance of low-density Plasmodium falciparum parasitemia in untreated febrile children: A cohort study","title-short":"Clinical relevance of low-density Plasmodium falciparum parasitemia in untreated febrile children","volume":"17","author":[{"family":"Hartley","given":"Mary-Anne"},{"family":"Hofmann","given":"Natalie"},{"family":"Keitel","given":"Kristina"},{"family":"Kagoro","given":"Frank"},{"family":"Moniz","given":"Clara Antunes"},{"family":"Mlaganile","given":"Tarsis"},{"family":"Samaka","given":"Josephine"},{"family":"Masimba","given":"John"},{"family":"Said","given":"Zamzam"},{"family":"Temba","given":"Hosiana"},{"family":"Gonzalez","given":"Iveth"},{"family":"Felger","given":"Ingrid"},{"family":"Genton","given":"Blaise"},{"family":"D’Acremont","given":"Valérie"}],"issued":{"date-parts":[["2020",9,21]]}}}],"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(26)</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47B7A52B"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Tanzania</w:t>
            </w:r>
          </w:p>
        </w:tc>
        <w:tc>
          <w:tcPr>
            <w:tcW w:w="2539" w:type="dxa"/>
            <w:tcBorders>
              <w:right w:val="single" w:sz="4" w:space="0" w:color="auto"/>
            </w:tcBorders>
            <w:noWrap/>
          </w:tcPr>
          <w:p w14:paraId="6B48430D"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3396366C"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386D8A0D"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Hofmann et al. 2019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TXGpwXHJ","properties":{"formattedCitation":"(27)","plainCitation":"(27)","noteIndex":0},"citationItems":[{"id":75,"uris":["http://zotero.org/users/local/EzDhCphr/items/6DN24KFV"],"uri":["http://zotero.org/users/local/EzDhCphr/items/6DN24KFV"],"itemData":{"id":75,"type":"article-journal","abstract":"BACKGROUND: A novel ultrasensitive malaria rapid diagnostic test (us-RDT) has been developed for improved active Plasmodium falciparum infection detection. The usefulness of this us-RDT in clinical diagnosis and fever management has not been evaluated.\nMETHODS: Diagnostic performance of us-RDT was compared retrospectively to that of conventional RDT (co-RDT) in 3000 children and 515 adults presenting with fever to Tanzanian outpatient clinics. The parasite density was measured by an ultrasensitive qPCR (us-qPCR), and the HRP2 concentration was measured by an enzyme-linked immunosorbent assay.\nRESULTS: us-RDT identified few additional P. falciparum-positive patients as compared to co-RDT (276 vs 265 parasite-positive patients detected), with only a marginally greater sensitivity (75% vs 73%), using us-qPCR as the gold standard (357 parasite-positive patients detected). The specificity of both RDTs was &gt;99%. Five of 11 additional patients testing positive by us-RDT had negative results by us-qPCR. The HRP2 concentration was above the limit of detection for co-RDT (&gt;3653 pg of HRP2 per mL of blood) in almost all infections (99% [236 of 239]) with a parasite density &gt;100 parasites per µL of blood. At parasite densities &lt;100 parasites/µL, the HRP2 concentration was above the limits of detection of us-RDT (&gt;793 pg/mL) and co-RDT in 29 (25%) and 24 (20%) of 118 patients, respectively.\nCONCLUSION: There is neither an advantage nor a risk of using us-RDT, rather than co-RDT, for clinical malaria diagnosis. In febrile patients, only a small proportion of infections are characterized by a parasite density or an HRP2 concentration in the range where use of us-RDT would confer a meaningful advantage over co-RDT.","container-title":"The Journal of Infectious Diseases","DOI":"10.1093/infdis/jiy676","ISSN":"1537-6613","issue":"9","journalAbbreviation":"J Infect Dis","language":"eng","note":"PMID: 30476111\nPMCID: PMC6467194","page":"1490-1498","source":"PubMed","title":"Diagnostic Performance of Conventional and Ultrasensitive Rapid Diagnostic Tests for Malaria in Febrile Outpatients in Tanzania","volume":"219","author":[{"family":"Hofmann","given":"Natalie E."},{"family":"Antunes Moniz","given":"Clara"},{"family":"Holzschuh","given":"Aurel"},{"family":"Keitel","given":"Kristina"},{"family":"Boillat-Blanco","given":"Noémie"},{"family":"Kagoro","given":"Frank"},{"family":"Samaka","given":"Josephine"},{"family":"Mbarack","given":"Zainab"},{"family":"Ding","given":"Xavier C."},{"family":"González","given":"Iveth J."},{"family":"Genton","given":"Blaise"},{"family":"D'Acremont","given":"Valérie"},{"family":"Felger","given":"Ingrid"}],"issued":{"date-parts":[["2019",4,16]]}}}],"schema":"https://github.com/citation-style-language/schema/raw/master/csl-citation.json"}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(27)</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5D55EB7D"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Tanzania</w:t>
            </w:r>
          </w:p>
        </w:tc>
        <w:tc>
          <w:tcPr>
            <w:tcW w:w="2539" w:type="dxa"/>
            <w:tcBorders>
              <w:right w:val="single" w:sz="4" w:space="0" w:color="auto"/>
            </w:tcBorders>
            <w:noWrap/>
          </w:tcPr>
          <w:p w14:paraId="44380149"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15898E0E"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24B28C1A"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Briand et al. 2020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B8k99soL","properties":{"formattedCitation":"(29)","plainCitation":"(29)","noteIndex":0},"citationItems":[{"id":90,"uris":["http://zotero.org/users/local/EzDhCphr/items/4G3DCSQ4"],"uri":["http://zotero.org/users/local/EzDhCphr/items/4G3DCSQ4"],"itemData":{"id":90,"type":"article-journal","abstract":"While sub-microscopic malarial infections are frequent and potentially deleterious during pregnancy, routine molecular detection is still not feasible. This study aimed to assess the performance of a Histidine Rich Protein 2 (HRP2)-based ultrasensitive rapid diagnostic test (uRDT, Alere Malaria Ag Pf) for the detection of infections of low parasite density in pregnant women.","container-title":"Malaria Journal","DOI":"10.1186/s12936-020-03261-1","ISSN":"1475-2875","issue":"1","journalAbbreviation":"Malaria Journal","page":"188","source":"BioMed Central","title":"Prevalence and clinical impact of malaria infections detected with a highly sensitive HRP2 rapid diagnostic test in Beninese pregnant women","volume":"19","author":[{"family":"Briand","given":"Valérie"},{"family":"Cottrell","given":"Gilles"},{"family":"Tuike Ndam","given":"Nicaise"},{"family":"Martiáñez-Vendrell","given":"Xavier"},{"family":"Vianou","given":"Bertin"},{"family":"Mama","given":"Atika"},{"family":"Kouwaye","given":"Bienvenue"},{"family":"Houzé","given":"Sandrine"},{"family":"Bailly","given":"Justine"},{"family":"Gbaguidi","given":"Erasme"},{"family":"Sossou","given":"Darius"},{"family":"Massougbodji","given":"Achille"},{"family":"Accrombessi","given":"Manfred"},{"family":"Mayor","given":"Alfredo"},{"family":"Ding","given":"Xavier C."},{"family":"Fievet","given":"Nadine"}],"issued":{"date-parts":[["2020",5,24]]}}}],"schema":"https://github.com/citation-style-language/schema/raw/master/csl-citation.json"}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(29)</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70B58421"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Benin</w:t>
            </w:r>
          </w:p>
        </w:tc>
        <w:tc>
          <w:tcPr>
            <w:tcW w:w="2539" w:type="dxa"/>
            <w:tcBorders>
              <w:right w:val="single" w:sz="4" w:space="0" w:color="auto"/>
            </w:tcBorders>
            <w:noWrap/>
          </w:tcPr>
          <w:p w14:paraId="7E9AD926"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0E88BA39"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591B5D51"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Unwin et al. 2020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GY7bVtUb","properties":{"formattedCitation":"(30)","plainCitation":"(30)","noteIndex":0},"citationItems":[{"id":93,"uris":["http://zotero.org/users/local/EzDhCphr/items/D5GIU4ED"],"uri":["http://zotero.org/users/local/EzDhCphr/items/D5GIU4ED"],"itemData":{"id":93,"type":"article-journal","abstract":"The sensitivity of rapid diagnostic tests (RDTs) for malaria is inadequate for detecting low-density, often asymptomatic infections, such as those that can occur when screening pregnant women for malaria. The performance of the Alere™ Ultra-sensitive Malaria Ag Plasmodium falciparum RDT (uRDT) was assessed retrospectively in pregnant women in Indonesia.","container-title":"Malaria Journal","DOI":"10.1186/s12936-020-3110-6","ISSN":"1475-2875","issue":"1","journalAbbreviation":"Malar J","language":"en","page":"28","source":"Springer Link","title":"Use of a highly-sensitive rapid diagnostic test to screen for malaria in pregnancy in Indonesia","volume":"19","author":[{"family":"Unwin","given":"Vera T."},{"family":"Ahmed","given":"Rukhsana"},{"family":"Noviyanti","given":"Rintis"},{"family":"Puspitasari","given":"Agatha M."},{"family":"Utami","given":"Retno A. S."},{"family":"Trianty","given":"Leily"},{"family":"Lukito","given":"Theda"},{"family":"Syafruddin","given":"Din"},{"family":"Poespoprodjo","given":"Jeanne R."},{"family":"Santana-Morales","given":"Maria A."},{"family":"Ter Kuile","given":"Feiko O."},{"family":"Adams","given":"Emily R."}],"issued":{"date-parts":[["2020",1,16]]}}}],"schema":"https://github.com/citation-style-language/schema/raw/master/csl-citation.json"}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(30)</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09D7C90A"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Indonesia</w:t>
            </w:r>
          </w:p>
        </w:tc>
        <w:tc>
          <w:tcPr>
            <w:tcW w:w="2539" w:type="dxa"/>
            <w:tcBorders>
              <w:right w:val="single" w:sz="4" w:space="0" w:color="auto"/>
            </w:tcBorders>
            <w:noWrap/>
          </w:tcPr>
          <w:p w14:paraId="36484B97"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6E506A99"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2E5CD26F"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Vásquez et al. 2018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nXTwONK8","properties":{"formattedCitation":"(31)","plainCitation":"(31)","noteIndex":0},"citationItems":[{"id":85,"uris":["http://zotero.org/users/local/EzDhCphr/items/8XE3TXZZ"],"uri":["http://zotero.org/users/local/EzDhCphr/items/8XE3TXZZ"],"itemData":{"id":85,"type":"article-journal","abstract":"Background Pregnancy poses specific challenges for the diagnosis of Plasmodium falciparum infection due to parasite sequestration in the placenta, which translates in low circulation levels in peripheral blood. The aim of this study is to assess the performance of a new highly sensitive rapid diagnostic test (HS-RDT) for the detection of malaria in peripheral and placental blood samples from pregnant women in Colombia. Methods This is a retrospective study using 737 peripheral and placental specimens collected from pregnant women in Colombian malaria-endemic regions. Light microscopy (LM), conventional rapid diagnostic tests (Pf/Pv RDT and Pf RDT), and HS-RDT testing were performed. Diagnostic accuracy endpoints of LM, HS-RDT and RDTs were compared with nested polymerase chain reaction (nPCR) as the reference test. Results In comparison with nPCR, the sensitivity of HS-RDT, Pf RDT, Pf/Pv RDT and LM to detect infection in peripheral samples was 85.7% (95% CI = 70.6–93.7), 82.8% (95% CI = 67.3–91.9), 77.1% (95% CI = 61.0–87.9) and 77.1% (95% CI = 61.0–87.9) respectively. The sensitivity to detect malaria in asymptomatic women, was higher with HS-RDT, where LM and Pf/Pv RDT missed half of infections detected by nPCR, but differences were not significant. Overall, specificity was similar for all tests (&gt;99.0%). In placental blood, the prevalence of infection by P. falciparum by nPCR was 2.8% (8/286), by HS-RDT was 1% and by conventional RDTs (Pf RDT and Pf/Pv RDT) and LM was 0.7%. The HS-RDT detected placental infections in peripheral blood that were negative by LM and Pf/Pv RDT, however the number of positive placentas was low. Conclusions The sensitivity of HS-RDT to detect P. falciparum infections in peripheral and placental samples from pregnant women was slightly better compared to routinely used tests during ANC visits and at delivery. Although further studies are needed to guide recommendations on the use of the HS-RDT for malaria case management in pregnancy, this study shows the potential value of this test to diagnose malaria in pregnancy in low-transmission settings.","container-title":"PLOS ONE","DOI":"10.1371/journal.pone.0201769","ISSN":"1932-6203","issue":"8","journalAbbreviation":"PLOS ONE","language":"en","note":"publisher: Public Library of Science","page":"e0201769","source":"PLoS Journals","title":"Performance of a highly sensitive rapid diagnostic test (HS-RDT) for detecting malaria in peripheral and placental blood samples from pregnant women in Colombia","volume":"13","author":[{"family":"Vásquez","given":"Ana María"},{"family":"Medina","given":"Ana Catalina"},{"family":"Tobón-Castaño","given":"Alberto"},{"family":"Posada","given":"Maritza"},{"family":"Vélez","given":"Gabriel Jaime"},{"family":"Campillo","given":"Ana"},{"family":"González","given":"Iveth J."},{"family":"Ding","given":"Xavier"}],"issued":{"date-parts":[["2018",8,2]]}}}],"schema":"https://github.com/citation-style-language/schema/raw/master/csl-citation.json"}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(31)</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3A01A8DE"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Colombia</w:t>
            </w:r>
          </w:p>
        </w:tc>
        <w:tc>
          <w:tcPr>
            <w:tcW w:w="2539" w:type="dxa"/>
            <w:tcBorders>
              <w:right w:val="single" w:sz="4" w:space="0" w:color="auto"/>
            </w:tcBorders>
            <w:noWrap/>
          </w:tcPr>
          <w:p w14:paraId="6CB81D7E"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2B011041"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1E166B4B"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Vásquez et al. 2020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oaZqH4Sz","properties":{"formattedCitation":"(32)","plainCitation":"(32)","noteIndex":0},"citationItems":[{"id":88,"uris":["http://zotero.org/users/local/EzDhCphr/items/SHFJ7DQE"],"uri":["http://zotero.org/users/local/EzDhCphr/items/SHFJ7DQE"],"itemData":{"id":88,"type":"article-journal","abstract":"In low transmission settings early diagnosis is the main strategy to reduce adverse outcomes of malaria in pregnancy; however, microscopy and rapid diagnostic tests (RDTs) are inadequate for detecting low-density infections. We studied the performance of the highly sensitive-RDT (hsRDT) and the loop mediated isothermal DNA amplification (LAMP) for the detection of P. falciparum in pregnant women.","container-title":"BMC Pregnancy and Childbirth","DOI":"10.1186/s12884-020-03114-4","ISSN":"1471-2393","issue":"1","journalAbbreviation":"BMC Pregnancy Childbirth","language":"en","page":"440","source":"Springer Link","title":"Evaluation of highly sensitive diagnostic tools for the detection of P. falciparum in pregnant women attending antenatal care visits in Colombia","volume":"20","author":[{"family":"Vásquez","given":"A. M."},{"family":"Vélez","given":"G."},{"family":"Medina","given":"A."},{"family":"Serra-Casas","given":"E."},{"family":"Campillo","given":"A."},{"family":"Gonzalez","given":"I. J."},{"family":"Murphy","given":"S. C."},{"family":"Seilie","given":"A. M."},{"family":"Ding","given":"X. C."},{"family":"Tobón Castaño","given":"A."}],"issued":{"date-parts":[["2020",7,31]]}}}],"schema":"https://github.com/citation-style-language/schema/raw/master/csl-citation.json"}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(32)</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5D1ECB86"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Colombia</w:t>
            </w:r>
          </w:p>
        </w:tc>
        <w:tc>
          <w:tcPr>
            <w:tcW w:w="2539" w:type="dxa"/>
            <w:tcBorders>
              <w:right w:val="single" w:sz="4" w:space="0" w:color="auto"/>
            </w:tcBorders>
            <w:noWrap/>
          </w:tcPr>
          <w:p w14:paraId="0172C520"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Sensitive</w:t>
            </w:r>
          </w:p>
        </w:tc>
      </w:tr>
      <w:tr w:rsidR="001510E9" w:rsidRPr="001510E9" w14:paraId="566886D0"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shd w:val="clear" w:color="auto" w:fill="auto"/>
            <w:noWrap/>
            <w:hideMark/>
          </w:tcPr>
          <w:p w14:paraId="62D946DC" w14:textId="77777777" w:rsidR="008C021A" w:rsidRPr="001510E9" w:rsidRDefault="008C021A" w:rsidP="00202107">
            <w:pPr>
              <w:spacing w:line="276" w:lineRule="auto"/>
              <w:jc w:val="center"/>
              <w:rPr>
                <w:rFonts w:ascii="Calibri" w:eastAsia="Times New Roman" w:hAnsi="Calibri" w:cs="Times New Roman"/>
                <w:b w:val="0"/>
                <w:bCs w:val="0"/>
                <w:color w:val="000000" w:themeColor="text1"/>
                <w:sz w:val="20"/>
                <w:szCs w:val="20"/>
                <w:lang w:eastAsia="en-GB"/>
              </w:rPr>
            </w:pPr>
          </w:p>
        </w:tc>
        <w:tc>
          <w:tcPr>
            <w:tcW w:w="1843" w:type="dxa"/>
            <w:tcBorders>
              <w:left w:val="single" w:sz="4" w:space="0" w:color="auto"/>
            </w:tcBorders>
            <w:shd w:val="clear" w:color="auto" w:fill="auto"/>
            <w:noWrap/>
            <w:hideMark/>
          </w:tcPr>
          <w:p w14:paraId="44804292"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c>
          <w:tcPr>
            <w:tcW w:w="2539" w:type="dxa"/>
            <w:tcBorders>
              <w:right w:val="single" w:sz="4" w:space="0" w:color="auto"/>
            </w:tcBorders>
            <w:shd w:val="clear" w:color="auto" w:fill="auto"/>
            <w:noWrap/>
          </w:tcPr>
          <w:p w14:paraId="0786B8B4"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1510E9" w:rsidRPr="001510E9" w14:paraId="40341088"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shd w:val="clear" w:color="auto" w:fill="auto"/>
            <w:noWrap/>
            <w:hideMark/>
          </w:tcPr>
          <w:p w14:paraId="0308C6F6" w14:textId="77777777" w:rsidR="008C021A" w:rsidRPr="001510E9" w:rsidRDefault="008C021A" w:rsidP="00202107">
            <w:pPr>
              <w:spacing w:line="276" w:lineRule="auto"/>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 xml:space="preserve">Unpublished studies </w:t>
            </w:r>
          </w:p>
        </w:tc>
        <w:tc>
          <w:tcPr>
            <w:tcW w:w="1843" w:type="dxa"/>
            <w:tcBorders>
              <w:left w:val="single" w:sz="4" w:space="0" w:color="auto"/>
            </w:tcBorders>
            <w:shd w:val="clear" w:color="auto" w:fill="auto"/>
            <w:noWrap/>
            <w:hideMark/>
          </w:tcPr>
          <w:p w14:paraId="02C58657"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p>
        </w:tc>
        <w:tc>
          <w:tcPr>
            <w:tcW w:w="2539" w:type="dxa"/>
            <w:tcBorders>
              <w:right w:val="single" w:sz="4" w:space="0" w:color="auto"/>
            </w:tcBorders>
            <w:shd w:val="clear" w:color="auto" w:fill="auto"/>
            <w:noWrap/>
          </w:tcPr>
          <w:p w14:paraId="6EBF6935"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en-GB"/>
              </w:rPr>
            </w:pPr>
          </w:p>
        </w:tc>
      </w:tr>
      <w:tr w:rsidR="001510E9" w:rsidRPr="001510E9" w14:paraId="12F184FA"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286B148A"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Bridges et al.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0vWYIGh4","properties":{"formattedCitation":"(10)","plainCitation":"(10)","noteIndex":0},"citationItems":[{"id":95,"uris":["http://zotero.org/users/local/EzDhCphr/items/3WGHURRS"],"uri":["http://zotero.org/users/local/EzDhCphr/items/3WGHURRS"],"itemData":{"id":95,"type":"article-journal","abstract":"Zambia is pushing for, and has made great strides towards, the elimination of malaria transmission in Southern Province. Reactive focal test and treat (RFTAT) using rapid diagnostic tests and artemether-lumefantrine (AL) has been key in making this progress. Reactive focal drug administration (RFDA) using dihydroartemisinin-piperaquine (DHAP), may be superior in accelerating clearance of the parasite reservoir in humans due to the provision of enhanced chemoprophylactic protection of at-risk populations against new infections. The primary aim of this study is to quantify the relative effectiveness of RFDA with DHAP against RFTAT with AL (standard of care) for reducing Plasmodium falciparum prevalence and incidence.","container-title":"Trials","DOI":"10.1186/s13063-017-2249-0","ISSN":"1745-6215","issue":"1","journalAbbreviation":"Trials","page":"511","source":"BioMed Central","title":"Community-led Responses for Elimination (CoRE): a study protocol for a community randomized controlled trial assessing the effectiveness of community-level, reactive focal drug administration for reducing Plasmodium falciparum infection prevalence and incidence in Southern Province, Zambia","title-short":"Community-led Responses for Elimination (CoRE)","volume":"18","author":[{"family":"Bridges","given":"Daniel J."},{"family":"Miller","given":"John M."},{"family":"Chalwe","given":"Victor"},{"family":"Moonga","given":"Hawela"},{"family":"Hamainza","given":"Busiku"},{"family":"Steketee","given":"Rick"},{"family":"Silumbe","given":"Kafula"},{"family":"Nyangu","given":"Jenala"},{"family":"Larsen","given":"David A."}],"issued":{"date-parts":[["2017",11,2]]}}}],"schema":"https://github.com/citation-style-language/schema/raw/master/csl-citation.json"}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(10)</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2EFFB186"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Zambia</w:t>
            </w:r>
          </w:p>
        </w:tc>
        <w:tc>
          <w:tcPr>
            <w:tcW w:w="2539" w:type="dxa"/>
            <w:tcBorders>
              <w:right w:val="single" w:sz="4" w:space="0" w:color="auto"/>
            </w:tcBorders>
            <w:noWrap/>
          </w:tcPr>
          <w:p w14:paraId="224A2EC8"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r w:rsidR="001510E9" w:rsidRPr="001510E9" w14:paraId="45484D0A" w14:textId="77777777" w:rsidTr="002021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568727E3"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Saad et al.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shfN8OHC","properties":{"formattedCitation":"(11)","plainCitation":"(11)","noteIndex":0},"citationItems":[{"id":98,"uris":["http://zotero.org/users/local/EzDhCphr/items/GS665MRG"],"uri":["http://zotero.org/users/local/EzDhCphr/items/GS665MRG"],"itemData":{"id":98,"type":"paper-conference","event":"ASTMH","event-place":"New Orleans","publisher-place":"New Orleans","title":"The performance of Alere Malaria Ag P.f®, a highly sensitive malaria RDT (hsRDT) for screening, against PCR in Cambodia","author":[{"family":"Saad","given":"NJ"},{"family":"De Cramer","given":"C"},{"family":"Vernaeve","given":"L"},{"family":"Etienne","given":"W"},{"family":"Huy","given":"R"},{"family":"Nguon","given":"C"}],"issued":{"date-parts":[["2018"]]}}}],"schema":"https://github.com/citation-style-language/schema/raw/master/csl-citation.json"}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(11)</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1A120ABB"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Cambodia</w:t>
            </w:r>
          </w:p>
        </w:tc>
        <w:tc>
          <w:tcPr>
            <w:tcW w:w="2539" w:type="dxa"/>
            <w:tcBorders>
              <w:right w:val="single" w:sz="4" w:space="0" w:color="auto"/>
            </w:tcBorders>
            <w:noWrap/>
          </w:tcPr>
          <w:p w14:paraId="4132648D" w14:textId="77777777" w:rsidR="008C021A" w:rsidRPr="001510E9" w:rsidRDefault="008C021A" w:rsidP="00202107">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Unknown</w:t>
            </w:r>
          </w:p>
        </w:tc>
      </w:tr>
      <w:tr w:rsidR="001510E9" w:rsidRPr="001510E9" w14:paraId="7F35AACC" w14:textId="77777777" w:rsidTr="00202107">
        <w:trPr>
          <w:trHeight w:val="2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noWrap/>
            <w:hideMark/>
          </w:tcPr>
          <w:p w14:paraId="01C04DFB" w14:textId="77777777" w:rsidR="008C021A" w:rsidRPr="001510E9" w:rsidRDefault="008C021A" w:rsidP="00202107">
            <w:pPr>
              <w:spacing w:line="276" w:lineRule="auto"/>
              <w:rPr>
                <w:rFonts w:ascii="Calibri" w:eastAsia="Times New Roman" w:hAnsi="Calibri" w:cs="Times New Roman"/>
                <w:b w:val="0"/>
                <w:bCs w:val="0"/>
                <w:color w:val="000000" w:themeColor="text1"/>
                <w:sz w:val="20"/>
                <w:szCs w:val="20"/>
                <w:lang w:eastAsia="en-GB"/>
              </w:rPr>
            </w:pPr>
            <w:r w:rsidRPr="001510E9">
              <w:rPr>
                <w:rFonts w:ascii="Calibri" w:eastAsia="Times New Roman" w:hAnsi="Calibri" w:cs="Times New Roman"/>
                <w:b w:val="0"/>
                <w:bCs w:val="0"/>
                <w:color w:val="000000" w:themeColor="text1"/>
                <w:sz w:val="20"/>
                <w:szCs w:val="20"/>
                <w:lang w:eastAsia="en-GB"/>
              </w:rPr>
              <w:t xml:space="preserve">Bennett et al. </w:t>
            </w:r>
            <w:r w:rsidRPr="001510E9">
              <w:rPr>
                <w:rFonts w:ascii="Calibri" w:eastAsia="Times New Roman" w:hAnsi="Calibri" w:cs="Times New Roman"/>
                <w:color w:val="000000" w:themeColor="text1"/>
                <w:sz w:val="20"/>
                <w:szCs w:val="20"/>
                <w:lang w:eastAsia="en-GB"/>
              </w:rPr>
              <w:fldChar w:fldCharType="begin"/>
            </w:r>
            <w:r w:rsidRPr="001510E9">
              <w:rPr>
                <w:rFonts w:ascii="Calibri" w:eastAsia="Times New Roman" w:hAnsi="Calibri" w:cs="Times New Roman"/>
                <w:b w:val="0"/>
                <w:bCs w:val="0"/>
                <w:color w:val="000000" w:themeColor="text1"/>
                <w:sz w:val="20"/>
                <w:szCs w:val="20"/>
                <w:lang w:eastAsia="en-GB"/>
              </w:rPr>
              <w:instrText xml:space="preserve"> ADDIN ZOTERO_ITEM CSL_CITATION {"citationID":"t42p10Gm","properties":{"formattedCitation":"(9)","plainCitation":"(9)","noteIndex":0},"citationItems":[{"id":7,"uris":["http://zotero.org/users/local/EzDhCphr/items/5TWHX7EC"],"uri":["http://zotero.org/users/local/EzDhCphr/items/5TWHX7EC"],"itemData":{"id":7,"type":"report","abstract":"This study assesses the effectiveness of targeted active case detection among high-risk populations in Southern Lao Peoples Democratic Republic (PDR). The investigators hypothesize that active case detection using the next generation of HRP-2 rapid diagnostic tests (RDTs) can help bridge gaps in identification of high-risk asymptomatic individuals with low density parasitemia, allowing for targeting of this reservoir and thereby reducing transmission. The investigators hypothesize that active case detection (testing and treating positive cases) with these RDTs will lead to a reduction in P. falciparum transmission.","genre":"Clinical trial registration","note":"submitted: November 30, 2018","number":"NCT03783299","publisher":"clinicaltrials.gov","source":"clinicaltrials.gov","title":"Assessing the Effectiveness of Targeted Active Case Detection Among High Risk Populations in Southern Lao PDR","title-short":"Targeted Active Case Detection Among High Risk Populations in Southern Lao Peoples Democratic Republic","URL":"https://clinicaltrials.gov/ct2/show/NCT03783299","author":[{"literal":"University of California, San Francisco"}],"accessed":{"date-parts":[["2021",4,18]]},"issued":{"date-parts":[["2021",2,19]]}}}],"schema":"https://github.com/citation-style-language/schema/raw/master/csl-citation.json"} </w:instrText>
            </w:r>
            <w:r w:rsidRPr="001510E9">
              <w:rPr>
                <w:rFonts w:ascii="Calibri" w:eastAsia="Times New Roman" w:hAnsi="Calibri" w:cs="Times New Roman"/>
                <w:color w:val="000000" w:themeColor="text1"/>
                <w:sz w:val="20"/>
                <w:szCs w:val="20"/>
                <w:lang w:eastAsia="en-GB"/>
              </w:rPr>
              <w:fldChar w:fldCharType="separate"/>
            </w:r>
            <w:r w:rsidRPr="001510E9">
              <w:rPr>
                <w:rFonts w:ascii="Calibri" w:hAnsi="Calibri" w:cs="Calibri"/>
                <w:color w:val="000000" w:themeColor="text1"/>
                <w:sz w:val="20"/>
              </w:rPr>
              <w:t>(9)</w:t>
            </w:r>
            <w:r w:rsidRPr="001510E9">
              <w:rPr>
                <w:rFonts w:ascii="Calibri" w:eastAsia="Times New Roman" w:hAnsi="Calibri" w:cs="Times New Roman"/>
                <w:color w:val="000000" w:themeColor="text1"/>
                <w:sz w:val="20"/>
                <w:szCs w:val="20"/>
                <w:lang w:eastAsia="en-GB"/>
              </w:rPr>
              <w:fldChar w:fldCharType="end"/>
            </w:r>
          </w:p>
        </w:tc>
        <w:tc>
          <w:tcPr>
            <w:tcW w:w="1843" w:type="dxa"/>
            <w:tcBorders>
              <w:left w:val="single" w:sz="4" w:space="0" w:color="auto"/>
            </w:tcBorders>
            <w:noWrap/>
            <w:hideMark/>
          </w:tcPr>
          <w:p w14:paraId="497C4563"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Laos</w:t>
            </w:r>
          </w:p>
        </w:tc>
        <w:tc>
          <w:tcPr>
            <w:tcW w:w="2539" w:type="dxa"/>
            <w:tcBorders>
              <w:right w:val="single" w:sz="4" w:space="0" w:color="auto"/>
            </w:tcBorders>
            <w:noWrap/>
          </w:tcPr>
          <w:p w14:paraId="3F7ED171" w14:textId="77777777" w:rsidR="008C021A" w:rsidRPr="001510E9" w:rsidRDefault="008C021A" w:rsidP="00202107">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0"/>
                <w:szCs w:val="20"/>
                <w:lang w:eastAsia="en-GB"/>
              </w:rPr>
            </w:pPr>
            <w:r w:rsidRPr="001510E9">
              <w:rPr>
                <w:rFonts w:ascii="Calibri" w:eastAsia="Times New Roman" w:hAnsi="Calibri" w:cs="Times New Roman"/>
                <w:color w:val="000000" w:themeColor="text1"/>
                <w:sz w:val="20"/>
                <w:szCs w:val="20"/>
                <w:lang w:eastAsia="en-GB"/>
              </w:rPr>
              <w:t>Normal</w:t>
            </w:r>
          </w:p>
        </w:tc>
      </w:tr>
    </w:tbl>
    <w:p w14:paraId="48E650A4" w14:textId="77777777" w:rsidR="008C021A" w:rsidRPr="001510E9" w:rsidRDefault="008C021A" w:rsidP="008C021A">
      <w:pPr>
        <w:rPr>
          <w:color w:val="000000" w:themeColor="text1"/>
        </w:rPr>
      </w:pPr>
    </w:p>
    <w:p w14:paraId="46B07939" w14:textId="77777777" w:rsidR="008C021A" w:rsidRPr="001510E9" w:rsidRDefault="008C021A" w:rsidP="008C021A">
      <w:pPr>
        <w:rPr>
          <w:i/>
          <w:iCs/>
          <w:color w:val="000000" w:themeColor="text1"/>
        </w:rPr>
      </w:pPr>
      <w:r w:rsidRPr="001510E9">
        <w:rPr>
          <w:i/>
          <w:iCs/>
          <w:color w:val="000000" w:themeColor="text1"/>
        </w:rPr>
        <w:t xml:space="preserve">Table S1: Defining the estimated sensitivity of the PCR in each study. </w:t>
      </w:r>
    </w:p>
    <w:p w14:paraId="7B274AC8" w14:textId="77777777" w:rsidR="008C021A" w:rsidRPr="001510E9" w:rsidRDefault="008C021A" w:rsidP="008C021A">
      <w:pPr>
        <w:rPr>
          <w:color w:val="000000" w:themeColor="text1"/>
        </w:rPr>
      </w:pPr>
    </w:p>
    <w:p w14:paraId="2D6CDB03" w14:textId="77777777" w:rsidR="008C021A" w:rsidRPr="001510E9" w:rsidRDefault="008C021A" w:rsidP="008C021A">
      <w:pPr>
        <w:rPr>
          <w:color w:val="000000" w:themeColor="text1"/>
        </w:rPr>
      </w:pPr>
      <w:r w:rsidRPr="001510E9">
        <w:rPr>
          <w:color w:val="000000" w:themeColor="text1"/>
        </w:rPr>
        <w:t xml:space="preserve">The relationship between PCR prevalence and HS-RDT and co-RDT sensitivity is then re-estimating, now using ‘PCR sensitivity’ as a factor in the generalised linear model. The model now has three predictive variables: PCR prevalence, PCR sensitivity, and an interaction term (PCR prevalence * PCR sensitivity). </w:t>
      </w:r>
    </w:p>
    <w:p w14:paraId="441ABB69" w14:textId="7F10C28B" w:rsidR="008C021A" w:rsidRPr="001510E9" w:rsidRDefault="008C021A" w:rsidP="008C021A">
      <w:pPr>
        <w:rPr>
          <w:color w:val="000000" w:themeColor="text1"/>
        </w:rPr>
      </w:pPr>
      <w:r w:rsidRPr="001510E9">
        <w:rPr>
          <w:color w:val="000000" w:themeColor="text1"/>
        </w:rPr>
        <w:t xml:space="preserve">Figure S4 shows the output of this model. The estimated sensitivity of the HS-RDT is not significantly affected by the PCR sensitivity (comparing the solid pink and solid grey lines). However, the estimated sensitivity of a co-RDT is significantly higher when using a PCR assay with ‘normal’ sensitivity compared to when using a more sensitive PCR assay (comparing the dashed pink and dashed grey lines). This is potentially reflecting the fact that more sensitive PCR assays are detecting a lot of infections with very low parasite densities and thus lower HRP2 concentrations, likely at levels that a co-RDT is unable to detect. However, </w:t>
      </w:r>
      <w:r w:rsidR="00CF1E7E" w:rsidRPr="001510E9">
        <w:rPr>
          <w:color w:val="000000" w:themeColor="text1"/>
        </w:rPr>
        <w:t>m</w:t>
      </w:r>
      <w:r w:rsidRPr="001510E9">
        <w:rPr>
          <w:color w:val="000000" w:themeColor="text1"/>
        </w:rPr>
        <w:t xml:space="preserve">ore data are needed to fully understand the importance of the PCR assay sensitivity in the evaluation of novel malaria RDTs. </w:t>
      </w:r>
    </w:p>
    <w:p w14:paraId="50948342" w14:textId="77777777" w:rsidR="008C021A" w:rsidRPr="001510E9" w:rsidRDefault="008C021A" w:rsidP="008C021A">
      <w:pPr>
        <w:rPr>
          <w:color w:val="000000" w:themeColor="text1"/>
        </w:rPr>
      </w:pPr>
      <w:r w:rsidRPr="001510E9">
        <w:rPr>
          <w:noProof/>
          <w:color w:val="000000" w:themeColor="text1"/>
          <w:lang w:val="en-IN" w:eastAsia="en-IN"/>
        </w:rPr>
        <w:lastRenderedPageBreak/>
        <w:drawing>
          <wp:inline distT="0" distB="0" distL="0" distR="0" wp14:anchorId="7C4F7F3F" wp14:editId="10D18003">
            <wp:extent cx="5943600" cy="3656965"/>
            <wp:effectExtent l="0" t="0" r="0" b="63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656965"/>
                    </a:xfrm>
                    <a:prstGeom prst="rect">
                      <a:avLst/>
                    </a:prstGeom>
                  </pic:spPr>
                </pic:pic>
              </a:graphicData>
            </a:graphic>
          </wp:inline>
        </w:drawing>
      </w:r>
    </w:p>
    <w:p w14:paraId="6C7C6C31" w14:textId="21AE9E7F" w:rsidR="008C021A" w:rsidRPr="001510E9" w:rsidRDefault="008C021A" w:rsidP="008C021A">
      <w:pPr>
        <w:rPr>
          <w:i/>
          <w:iCs/>
          <w:color w:val="000000" w:themeColor="text1"/>
        </w:rPr>
      </w:pPr>
      <w:r w:rsidRPr="001510E9">
        <w:rPr>
          <w:i/>
          <w:iCs/>
          <w:color w:val="000000" w:themeColor="text1"/>
        </w:rPr>
        <w:t xml:space="preserve">Figure S4: Modelled sensitivity and 95% confidence intervals for the HS-RDT (solid lines) and co-RDT (dashed lines) with different PCR assay sensitivities (normal - grey, sensitive - pink). </w:t>
      </w:r>
    </w:p>
    <w:p w14:paraId="662E3F8B" w14:textId="77777777" w:rsidR="008C021A" w:rsidRPr="001510E9" w:rsidRDefault="008C021A" w:rsidP="003175CA">
      <w:pPr>
        <w:spacing w:after="0" w:line="480" w:lineRule="auto"/>
        <w:rPr>
          <w:color w:val="000000" w:themeColor="text1"/>
        </w:rPr>
      </w:pPr>
    </w:p>
    <w:sectPr w:rsidR="008C021A" w:rsidRPr="001510E9" w:rsidSect="001510E9">
      <w:footerReference w:type="default" r:id="rId9"/>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CB884" w14:textId="77777777" w:rsidR="00B07253" w:rsidRDefault="00B07253" w:rsidP="00195217">
      <w:pPr>
        <w:spacing w:after="0" w:line="240" w:lineRule="auto"/>
      </w:pPr>
      <w:r>
        <w:separator/>
      </w:r>
    </w:p>
  </w:endnote>
  <w:endnote w:type="continuationSeparator" w:id="0">
    <w:p w14:paraId="6D4B40FC" w14:textId="77777777" w:rsidR="00B07253" w:rsidRDefault="00B07253" w:rsidP="0019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946411"/>
      <w:docPartObj>
        <w:docPartGallery w:val="Page Numbers (Bottom of Page)"/>
        <w:docPartUnique/>
      </w:docPartObj>
    </w:sdtPr>
    <w:sdtEndPr>
      <w:rPr>
        <w:noProof/>
      </w:rPr>
    </w:sdtEndPr>
    <w:sdtContent>
      <w:p w14:paraId="00583192" w14:textId="063F7738" w:rsidR="001E48E8" w:rsidRDefault="001E48E8">
        <w:pPr>
          <w:pStyle w:val="Footer"/>
          <w:jc w:val="center"/>
        </w:pPr>
        <w:r>
          <w:fldChar w:fldCharType="begin"/>
        </w:r>
        <w:r>
          <w:instrText xml:space="preserve"> PAGE   \* MERGEFORMAT </w:instrText>
        </w:r>
        <w:r>
          <w:fldChar w:fldCharType="separate"/>
        </w:r>
        <w:r w:rsidR="00345FD6">
          <w:rPr>
            <w:noProof/>
          </w:rPr>
          <w:t>2</w:t>
        </w:r>
        <w:r>
          <w:rPr>
            <w:noProof/>
          </w:rPr>
          <w:fldChar w:fldCharType="end"/>
        </w:r>
      </w:p>
    </w:sdtContent>
  </w:sdt>
  <w:p w14:paraId="4BA06634" w14:textId="77777777" w:rsidR="001E48E8" w:rsidRDefault="001E48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BED09" w14:textId="77777777" w:rsidR="00B07253" w:rsidRDefault="00B07253" w:rsidP="00195217">
      <w:pPr>
        <w:spacing w:after="0" w:line="240" w:lineRule="auto"/>
      </w:pPr>
      <w:r>
        <w:separator/>
      </w:r>
    </w:p>
  </w:footnote>
  <w:footnote w:type="continuationSeparator" w:id="0">
    <w:p w14:paraId="33313405" w14:textId="77777777" w:rsidR="00B07253" w:rsidRDefault="00B07253" w:rsidP="001952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54C5"/>
    <w:multiLevelType w:val="multilevel"/>
    <w:tmpl w:val="BB74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F662C"/>
    <w:multiLevelType w:val="multilevel"/>
    <w:tmpl w:val="FEB6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6381A"/>
    <w:multiLevelType w:val="hybridMultilevel"/>
    <w:tmpl w:val="382EB8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24F3F"/>
    <w:multiLevelType w:val="multilevel"/>
    <w:tmpl w:val="BAC4A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70B6"/>
    <w:multiLevelType w:val="multilevel"/>
    <w:tmpl w:val="6C62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91083"/>
    <w:multiLevelType w:val="hybridMultilevel"/>
    <w:tmpl w:val="336C07F0"/>
    <w:lvl w:ilvl="0" w:tplc="CD2A688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14F3D"/>
    <w:multiLevelType w:val="hybridMultilevel"/>
    <w:tmpl w:val="5D0E3A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54D3F"/>
    <w:multiLevelType w:val="multilevel"/>
    <w:tmpl w:val="3BDA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C16A3"/>
    <w:multiLevelType w:val="multilevel"/>
    <w:tmpl w:val="2D16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730DA"/>
    <w:multiLevelType w:val="hybridMultilevel"/>
    <w:tmpl w:val="75DC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737F97"/>
    <w:multiLevelType w:val="multilevel"/>
    <w:tmpl w:val="1F30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644A"/>
    <w:multiLevelType w:val="multilevel"/>
    <w:tmpl w:val="7FB6D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42B82"/>
    <w:multiLevelType w:val="hybridMultilevel"/>
    <w:tmpl w:val="C014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910BA2"/>
    <w:multiLevelType w:val="multilevel"/>
    <w:tmpl w:val="07B6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80228"/>
    <w:multiLevelType w:val="multilevel"/>
    <w:tmpl w:val="B58A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131341"/>
    <w:multiLevelType w:val="hybridMultilevel"/>
    <w:tmpl w:val="19CC2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BD24E3"/>
    <w:multiLevelType w:val="multilevel"/>
    <w:tmpl w:val="C8D0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A50AF"/>
    <w:multiLevelType w:val="multilevel"/>
    <w:tmpl w:val="29CC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B377B"/>
    <w:multiLevelType w:val="hybridMultilevel"/>
    <w:tmpl w:val="FFB44616"/>
    <w:lvl w:ilvl="0" w:tplc="92FC6174">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7417EF"/>
    <w:multiLevelType w:val="multilevel"/>
    <w:tmpl w:val="A40A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E442F5"/>
    <w:multiLevelType w:val="multilevel"/>
    <w:tmpl w:val="D910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0C008C"/>
    <w:multiLevelType w:val="multilevel"/>
    <w:tmpl w:val="3CC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8"/>
  </w:num>
  <w:num w:numId="4">
    <w:abstractNumId w:val="12"/>
  </w:num>
  <w:num w:numId="5">
    <w:abstractNumId w:val="11"/>
  </w:num>
  <w:num w:numId="6">
    <w:abstractNumId w:val="17"/>
  </w:num>
  <w:num w:numId="7">
    <w:abstractNumId w:val="7"/>
  </w:num>
  <w:num w:numId="8">
    <w:abstractNumId w:val="21"/>
  </w:num>
  <w:num w:numId="9">
    <w:abstractNumId w:val="19"/>
  </w:num>
  <w:num w:numId="10">
    <w:abstractNumId w:val="8"/>
  </w:num>
  <w:num w:numId="11">
    <w:abstractNumId w:val="9"/>
  </w:num>
  <w:num w:numId="12">
    <w:abstractNumId w:val="4"/>
  </w:num>
  <w:num w:numId="13">
    <w:abstractNumId w:val="1"/>
  </w:num>
  <w:num w:numId="14">
    <w:abstractNumId w:val="14"/>
  </w:num>
  <w:num w:numId="15">
    <w:abstractNumId w:val="10"/>
  </w:num>
  <w:num w:numId="16">
    <w:abstractNumId w:val="20"/>
  </w:num>
  <w:num w:numId="17">
    <w:abstractNumId w:val="2"/>
  </w:num>
  <w:num w:numId="18">
    <w:abstractNumId w:val="0"/>
  </w:num>
  <w:num w:numId="19">
    <w:abstractNumId w:val="16"/>
  </w:num>
  <w:num w:numId="20">
    <w:abstractNumId w:val="15"/>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5A2"/>
    <w:rsid w:val="00003E8B"/>
    <w:rsid w:val="000119C3"/>
    <w:rsid w:val="00015858"/>
    <w:rsid w:val="00021E40"/>
    <w:rsid w:val="000238A6"/>
    <w:rsid w:val="00024CA3"/>
    <w:rsid w:val="00026389"/>
    <w:rsid w:val="000339E7"/>
    <w:rsid w:val="0004180B"/>
    <w:rsid w:val="000433EE"/>
    <w:rsid w:val="00044340"/>
    <w:rsid w:val="000454D2"/>
    <w:rsid w:val="0004707F"/>
    <w:rsid w:val="000507F3"/>
    <w:rsid w:val="00050E73"/>
    <w:rsid w:val="00051816"/>
    <w:rsid w:val="0005291E"/>
    <w:rsid w:val="00053A14"/>
    <w:rsid w:val="00053EE1"/>
    <w:rsid w:val="00057BCD"/>
    <w:rsid w:val="00062007"/>
    <w:rsid w:val="00065257"/>
    <w:rsid w:val="0007166E"/>
    <w:rsid w:val="00071E15"/>
    <w:rsid w:val="0008531A"/>
    <w:rsid w:val="00086C66"/>
    <w:rsid w:val="00086FC5"/>
    <w:rsid w:val="00087697"/>
    <w:rsid w:val="000936D8"/>
    <w:rsid w:val="00095577"/>
    <w:rsid w:val="00097C00"/>
    <w:rsid w:val="000A0243"/>
    <w:rsid w:val="000A3D6F"/>
    <w:rsid w:val="000A4CA9"/>
    <w:rsid w:val="000A508B"/>
    <w:rsid w:val="000A6DAC"/>
    <w:rsid w:val="000A7356"/>
    <w:rsid w:val="000B0BE4"/>
    <w:rsid w:val="000B0E3D"/>
    <w:rsid w:val="000B29E4"/>
    <w:rsid w:val="000B4E55"/>
    <w:rsid w:val="000C28DC"/>
    <w:rsid w:val="000E12B1"/>
    <w:rsid w:val="000E232E"/>
    <w:rsid w:val="000E2575"/>
    <w:rsid w:val="000E4C1F"/>
    <w:rsid w:val="000F308E"/>
    <w:rsid w:val="000F4A4E"/>
    <w:rsid w:val="00103DAB"/>
    <w:rsid w:val="00103F43"/>
    <w:rsid w:val="00107C26"/>
    <w:rsid w:val="00114308"/>
    <w:rsid w:val="0011694F"/>
    <w:rsid w:val="00125E3C"/>
    <w:rsid w:val="00126CF4"/>
    <w:rsid w:val="0013138F"/>
    <w:rsid w:val="0013426F"/>
    <w:rsid w:val="00140002"/>
    <w:rsid w:val="00140BE6"/>
    <w:rsid w:val="00144F8A"/>
    <w:rsid w:val="00146F23"/>
    <w:rsid w:val="001503FB"/>
    <w:rsid w:val="001510E9"/>
    <w:rsid w:val="0015135A"/>
    <w:rsid w:val="00161308"/>
    <w:rsid w:val="0016708F"/>
    <w:rsid w:val="00174997"/>
    <w:rsid w:val="00182467"/>
    <w:rsid w:val="00182591"/>
    <w:rsid w:val="00183107"/>
    <w:rsid w:val="0018418B"/>
    <w:rsid w:val="001841DF"/>
    <w:rsid w:val="00186D01"/>
    <w:rsid w:val="00190D48"/>
    <w:rsid w:val="00194578"/>
    <w:rsid w:val="00195123"/>
    <w:rsid w:val="00195217"/>
    <w:rsid w:val="00196600"/>
    <w:rsid w:val="001A3592"/>
    <w:rsid w:val="001B0F02"/>
    <w:rsid w:val="001B2CDE"/>
    <w:rsid w:val="001C05A0"/>
    <w:rsid w:val="001E26A4"/>
    <w:rsid w:val="001E36BD"/>
    <w:rsid w:val="001E48E8"/>
    <w:rsid w:val="001E496B"/>
    <w:rsid w:val="001E707F"/>
    <w:rsid w:val="001E7614"/>
    <w:rsid w:val="001F0532"/>
    <w:rsid w:val="001F08EC"/>
    <w:rsid w:val="001F17DA"/>
    <w:rsid w:val="001F48C7"/>
    <w:rsid w:val="001F6FBA"/>
    <w:rsid w:val="00201449"/>
    <w:rsid w:val="00203F94"/>
    <w:rsid w:val="002059CC"/>
    <w:rsid w:val="00205B7E"/>
    <w:rsid w:val="00216181"/>
    <w:rsid w:val="0022392F"/>
    <w:rsid w:val="00226805"/>
    <w:rsid w:val="0023130A"/>
    <w:rsid w:val="002326BA"/>
    <w:rsid w:val="00235910"/>
    <w:rsid w:val="00240208"/>
    <w:rsid w:val="00256117"/>
    <w:rsid w:val="00266ED1"/>
    <w:rsid w:val="002710DA"/>
    <w:rsid w:val="0027494C"/>
    <w:rsid w:val="002800B2"/>
    <w:rsid w:val="0028014A"/>
    <w:rsid w:val="002853D7"/>
    <w:rsid w:val="0028637B"/>
    <w:rsid w:val="002868B2"/>
    <w:rsid w:val="002935A7"/>
    <w:rsid w:val="0029375A"/>
    <w:rsid w:val="00293C30"/>
    <w:rsid w:val="002B0431"/>
    <w:rsid w:val="002B13DD"/>
    <w:rsid w:val="002B4AF7"/>
    <w:rsid w:val="002B66A3"/>
    <w:rsid w:val="002C04DF"/>
    <w:rsid w:val="002C2E9A"/>
    <w:rsid w:val="002D0B17"/>
    <w:rsid w:val="002D109D"/>
    <w:rsid w:val="002D273E"/>
    <w:rsid w:val="002D2AE2"/>
    <w:rsid w:val="002E048C"/>
    <w:rsid w:val="002E1090"/>
    <w:rsid w:val="002E773E"/>
    <w:rsid w:val="002F0EE0"/>
    <w:rsid w:val="002F55CE"/>
    <w:rsid w:val="002F63EF"/>
    <w:rsid w:val="002F7B8F"/>
    <w:rsid w:val="002F7D2F"/>
    <w:rsid w:val="00301793"/>
    <w:rsid w:val="00305170"/>
    <w:rsid w:val="00306A4F"/>
    <w:rsid w:val="00307B03"/>
    <w:rsid w:val="003116B6"/>
    <w:rsid w:val="00311A99"/>
    <w:rsid w:val="00312ACA"/>
    <w:rsid w:val="003139A9"/>
    <w:rsid w:val="003154D6"/>
    <w:rsid w:val="003175CA"/>
    <w:rsid w:val="00317BD8"/>
    <w:rsid w:val="003231C6"/>
    <w:rsid w:val="0033376F"/>
    <w:rsid w:val="00341F24"/>
    <w:rsid w:val="00345FD6"/>
    <w:rsid w:val="00356541"/>
    <w:rsid w:val="0035718D"/>
    <w:rsid w:val="00363166"/>
    <w:rsid w:val="0036595F"/>
    <w:rsid w:val="00370086"/>
    <w:rsid w:val="00373CA2"/>
    <w:rsid w:val="00374443"/>
    <w:rsid w:val="0037699E"/>
    <w:rsid w:val="0037716F"/>
    <w:rsid w:val="0038022B"/>
    <w:rsid w:val="00382B6B"/>
    <w:rsid w:val="003864BA"/>
    <w:rsid w:val="003867C8"/>
    <w:rsid w:val="003910E4"/>
    <w:rsid w:val="0039143D"/>
    <w:rsid w:val="00394169"/>
    <w:rsid w:val="003A54AA"/>
    <w:rsid w:val="003B48E6"/>
    <w:rsid w:val="003C2342"/>
    <w:rsid w:val="003C26B3"/>
    <w:rsid w:val="003C39B9"/>
    <w:rsid w:val="003C3E1D"/>
    <w:rsid w:val="003C75CF"/>
    <w:rsid w:val="003D56AD"/>
    <w:rsid w:val="003F117F"/>
    <w:rsid w:val="003F7C0D"/>
    <w:rsid w:val="00402D32"/>
    <w:rsid w:val="004079C1"/>
    <w:rsid w:val="00417F8E"/>
    <w:rsid w:val="004205F1"/>
    <w:rsid w:val="00424091"/>
    <w:rsid w:val="00431699"/>
    <w:rsid w:val="00451F8F"/>
    <w:rsid w:val="0045361B"/>
    <w:rsid w:val="00463A3C"/>
    <w:rsid w:val="00463C3E"/>
    <w:rsid w:val="0046461D"/>
    <w:rsid w:val="00472EA1"/>
    <w:rsid w:val="0047353F"/>
    <w:rsid w:val="00490A0B"/>
    <w:rsid w:val="00495373"/>
    <w:rsid w:val="004A3086"/>
    <w:rsid w:val="004A70D9"/>
    <w:rsid w:val="004B23AA"/>
    <w:rsid w:val="004B24CC"/>
    <w:rsid w:val="004B29A9"/>
    <w:rsid w:val="004B317A"/>
    <w:rsid w:val="004B3AC1"/>
    <w:rsid w:val="004C1D53"/>
    <w:rsid w:val="004C3110"/>
    <w:rsid w:val="004D08D9"/>
    <w:rsid w:val="004F17A8"/>
    <w:rsid w:val="004F2CF2"/>
    <w:rsid w:val="0050208B"/>
    <w:rsid w:val="005023F7"/>
    <w:rsid w:val="0050285B"/>
    <w:rsid w:val="005051D1"/>
    <w:rsid w:val="00525170"/>
    <w:rsid w:val="00527978"/>
    <w:rsid w:val="00536578"/>
    <w:rsid w:val="0054106A"/>
    <w:rsid w:val="005479D8"/>
    <w:rsid w:val="00550F8E"/>
    <w:rsid w:val="005515F2"/>
    <w:rsid w:val="00551AD1"/>
    <w:rsid w:val="00551E62"/>
    <w:rsid w:val="00556CBD"/>
    <w:rsid w:val="00565BFF"/>
    <w:rsid w:val="005707BC"/>
    <w:rsid w:val="0057367B"/>
    <w:rsid w:val="00580335"/>
    <w:rsid w:val="0058352D"/>
    <w:rsid w:val="00585CFB"/>
    <w:rsid w:val="00586C50"/>
    <w:rsid w:val="005870A9"/>
    <w:rsid w:val="00590CBD"/>
    <w:rsid w:val="005928E7"/>
    <w:rsid w:val="00593BE0"/>
    <w:rsid w:val="00594CD9"/>
    <w:rsid w:val="005A7255"/>
    <w:rsid w:val="005A79A5"/>
    <w:rsid w:val="005A7DAF"/>
    <w:rsid w:val="005B3613"/>
    <w:rsid w:val="005C44A7"/>
    <w:rsid w:val="005D7F04"/>
    <w:rsid w:val="005E475B"/>
    <w:rsid w:val="005E76EA"/>
    <w:rsid w:val="005E79EB"/>
    <w:rsid w:val="005F654D"/>
    <w:rsid w:val="005F6D74"/>
    <w:rsid w:val="00601401"/>
    <w:rsid w:val="0060254D"/>
    <w:rsid w:val="00602FED"/>
    <w:rsid w:val="006135D8"/>
    <w:rsid w:val="006216D6"/>
    <w:rsid w:val="006222FE"/>
    <w:rsid w:val="00625B12"/>
    <w:rsid w:val="006265BB"/>
    <w:rsid w:val="00634666"/>
    <w:rsid w:val="006403B1"/>
    <w:rsid w:val="00640D8B"/>
    <w:rsid w:val="0064378E"/>
    <w:rsid w:val="00645E1F"/>
    <w:rsid w:val="00651DF4"/>
    <w:rsid w:val="00654124"/>
    <w:rsid w:val="00656BA4"/>
    <w:rsid w:val="00657A55"/>
    <w:rsid w:val="006649FA"/>
    <w:rsid w:val="006662EC"/>
    <w:rsid w:val="006665E6"/>
    <w:rsid w:val="00670B12"/>
    <w:rsid w:val="0067259C"/>
    <w:rsid w:val="00674C40"/>
    <w:rsid w:val="006859DD"/>
    <w:rsid w:val="00686753"/>
    <w:rsid w:val="00690E1E"/>
    <w:rsid w:val="0069309E"/>
    <w:rsid w:val="006931BC"/>
    <w:rsid w:val="00695365"/>
    <w:rsid w:val="00695A86"/>
    <w:rsid w:val="006A0D6F"/>
    <w:rsid w:val="006A3543"/>
    <w:rsid w:val="006A44F2"/>
    <w:rsid w:val="006B04A7"/>
    <w:rsid w:val="006B43C9"/>
    <w:rsid w:val="006B7EE7"/>
    <w:rsid w:val="006B7F0B"/>
    <w:rsid w:val="006C26BB"/>
    <w:rsid w:val="006C4DA1"/>
    <w:rsid w:val="006C5BCB"/>
    <w:rsid w:val="006C60A7"/>
    <w:rsid w:val="006D50D4"/>
    <w:rsid w:val="006E055C"/>
    <w:rsid w:val="006E1501"/>
    <w:rsid w:val="006E3D35"/>
    <w:rsid w:val="006E52C8"/>
    <w:rsid w:val="006F246B"/>
    <w:rsid w:val="006F3FB0"/>
    <w:rsid w:val="00705295"/>
    <w:rsid w:val="0071764E"/>
    <w:rsid w:val="007301FA"/>
    <w:rsid w:val="00766C52"/>
    <w:rsid w:val="0078621E"/>
    <w:rsid w:val="00790519"/>
    <w:rsid w:val="00791352"/>
    <w:rsid w:val="00795598"/>
    <w:rsid w:val="007A0337"/>
    <w:rsid w:val="007B37BD"/>
    <w:rsid w:val="007B4E1F"/>
    <w:rsid w:val="007C165B"/>
    <w:rsid w:val="007C3169"/>
    <w:rsid w:val="007D2283"/>
    <w:rsid w:val="007D4BE5"/>
    <w:rsid w:val="007E03A8"/>
    <w:rsid w:val="007F0A66"/>
    <w:rsid w:val="007F0A97"/>
    <w:rsid w:val="007F708C"/>
    <w:rsid w:val="00801148"/>
    <w:rsid w:val="00801CAF"/>
    <w:rsid w:val="0080361D"/>
    <w:rsid w:val="00804CBB"/>
    <w:rsid w:val="00805FD9"/>
    <w:rsid w:val="00810A5B"/>
    <w:rsid w:val="00810D6F"/>
    <w:rsid w:val="008206D1"/>
    <w:rsid w:val="008206F7"/>
    <w:rsid w:val="00826BB5"/>
    <w:rsid w:val="00832732"/>
    <w:rsid w:val="008328AA"/>
    <w:rsid w:val="00835193"/>
    <w:rsid w:val="00845AE4"/>
    <w:rsid w:val="0084742E"/>
    <w:rsid w:val="00847A57"/>
    <w:rsid w:val="00850546"/>
    <w:rsid w:val="008558AB"/>
    <w:rsid w:val="00864BCF"/>
    <w:rsid w:val="00870C88"/>
    <w:rsid w:val="00873BD7"/>
    <w:rsid w:val="0087741F"/>
    <w:rsid w:val="00885C48"/>
    <w:rsid w:val="008931F1"/>
    <w:rsid w:val="00893B37"/>
    <w:rsid w:val="00893E15"/>
    <w:rsid w:val="00895A6D"/>
    <w:rsid w:val="00895FF6"/>
    <w:rsid w:val="008A4269"/>
    <w:rsid w:val="008A6E85"/>
    <w:rsid w:val="008B5D6E"/>
    <w:rsid w:val="008C021A"/>
    <w:rsid w:val="008C2A0A"/>
    <w:rsid w:val="008C5499"/>
    <w:rsid w:val="008D4122"/>
    <w:rsid w:val="008D55F1"/>
    <w:rsid w:val="008D61DA"/>
    <w:rsid w:val="008E372C"/>
    <w:rsid w:val="008E448D"/>
    <w:rsid w:val="008F0BC8"/>
    <w:rsid w:val="008F2458"/>
    <w:rsid w:val="00902B2B"/>
    <w:rsid w:val="009124BE"/>
    <w:rsid w:val="00926B52"/>
    <w:rsid w:val="00931F33"/>
    <w:rsid w:val="00932B49"/>
    <w:rsid w:val="00936780"/>
    <w:rsid w:val="0094047E"/>
    <w:rsid w:val="009406DA"/>
    <w:rsid w:val="00941A99"/>
    <w:rsid w:val="00941CCC"/>
    <w:rsid w:val="009436CD"/>
    <w:rsid w:val="00946B30"/>
    <w:rsid w:val="009614CC"/>
    <w:rsid w:val="009654B3"/>
    <w:rsid w:val="009732A7"/>
    <w:rsid w:val="00975B24"/>
    <w:rsid w:val="009801D4"/>
    <w:rsid w:val="00986544"/>
    <w:rsid w:val="009B25F3"/>
    <w:rsid w:val="009B4DA7"/>
    <w:rsid w:val="009B7E63"/>
    <w:rsid w:val="009C2654"/>
    <w:rsid w:val="009C32E6"/>
    <w:rsid w:val="009D069F"/>
    <w:rsid w:val="009D5523"/>
    <w:rsid w:val="009D5CC7"/>
    <w:rsid w:val="009E6C7F"/>
    <w:rsid w:val="009F0205"/>
    <w:rsid w:val="009F10EC"/>
    <w:rsid w:val="009F3F6D"/>
    <w:rsid w:val="009F5EE2"/>
    <w:rsid w:val="009F7F35"/>
    <w:rsid w:val="00A0577C"/>
    <w:rsid w:val="00A079A7"/>
    <w:rsid w:val="00A13CC6"/>
    <w:rsid w:val="00A173A8"/>
    <w:rsid w:val="00A31773"/>
    <w:rsid w:val="00A346D9"/>
    <w:rsid w:val="00A3479F"/>
    <w:rsid w:val="00A4112C"/>
    <w:rsid w:val="00A42530"/>
    <w:rsid w:val="00A431A3"/>
    <w:rsid w:val="00A43B24"/>
    <w:rsid w:val="00A5282D"/>
    <w:rsid w:val="00A5294B"/>
    <w:rsid w:val="00A5603C"/>
    <w:rsid w:val="00A6359F"/>
    <w:rsid w:val="00A65751"/>
    <w:rsid w:val="00A70019"/>
    <w:rsid w:val="00A719AC"/>
    <w:rsid w:val="00A7586E"/>
    <w:rsid w:val="00A825F2"/>
    <w:rsid w:val="00A84045"/>
    <w:rsid w:val="00A84893"/>
    <w:rsid w:val="00A87A21"/>
    <w:rsid w:val="00A97A4B"/>
    <w:rsid w:val="00AA208A"/>
    <w:rsid w:val="00AA387E"/>
    <w:rsid w:val="00AA4638"/>
    <w:rsid w:val="00AA5B41"/>
    <w:rsid w:val="00AC3242"/>
    <w:rsid w:val="00AC7C5A"/>
    <w:rsid w:val="00AD24DD"/>
    <w:rsid w:val="00AD256D"/>
    <w:rsid w:val="00AD4945"/>
    <w:rsid w:val="00AD542B"/>
    <w:rsid w:val="00AD5EBF"/>
    <w:rsid w:val="00AE2A03"/>
    <w:rsid w:val="00AE58A8"/>
    <w:rsid w:val="00AE707F"/>
    <w:rsid w:val="00AF13CB"/>
    <w:rsid w:val="00AF340F"/>
    <w:rsid w:val="00AF5C6F"/>
    <w:rsid w:val="00B07253"/>
    <w:rsid w:val="00B1340F"/>
    <w:rsid w:val="00B24AC1"/>
    <w:rsid w:val="00B27FB5"/>
    <w:rsid w:val="00B35654"/>
    <w:rsid w:val="00B35B05"/>
    <w:rsid w:val="00B41210"/>
    <w:rsid w:val="00B41A18"/>
    <w:rsid w:val="00B47766"/>
    <w:rsid w:val="00B47AD9"/>
    <w:rsid w:val="00B54D96"/>
    <w:rsid w:val="00B55696"/>
    <w:rsid w:val="00B559A9"/>
    <w:rsid w:val="00B61288"/>
    <w:rsid w:val="00B630C5"/>
    <w:rsid w:val="00B66546"/>
    <w:rsid w:val="00B706BE"/>
    <w:rsid w:val="00B72DAD"/>
    <w:rsid w:val="00B738CE"/>
    <w:rsid w:val="00B74BEC"/>
    <w:rsid w:val="00B81695"/>
    <w:rsid w:val="00B8173D"/>
    <w:rsid w:val="00B83365"/>
    <w:rsid w:val="00B83835"/>
    <w:rsid w:val="00B9018C"/>
    <w:rsid w:val="00B904AF"/>
    <w:rsid w:val="00B930EE"/>
    <w:rsid w:val="00B94287"/>
    <w:rsid w:val="00BA3B63"/>
    <w:rsid w:val="00BB1B06"/>
    <w:rsid w:val="00BB5990"/>
    <w:rsid w:val="00BC37D9"/>
    <w:rsid w:val="00BD3D1A"/>
    <w:rsid w:val="00BD4070"/>
    <w:rsid w:val="00BD4776"/>
    <w:rsid w:val="00BD5A4F"/>
    <w:rsid w:val="00BD6527"/>
    <w:rsid w:val="00BD73A0"/>
    <w:rsid w:val="00BE0B07"/>
    <w:rsid w:val="00BE126A"/>
    <w:rsid w:val="00BE17C3"/>
    <w:rsid w:val="00BE41A3"/>
    <w:rsid w:val="00BE60E5"/>
    <w:rsid w:val="00BF12E3"/>
    <w:rsid w:val="00BF19D0"/>
    <w:rsid w:val="00BF3BD4"/>
    <w:rsid w:val="00BF5D51"/>
    <w:rsid w:val="00C17145"/>
    <w:rsid w:val="00C2729C"/>
    <w:rsid w:val="00C34668"/>
    <w:rsid w:val="00C36AF3"/>
    <w:rsid w:val="00C47B01"/>
    <w:rsid w:val="00C47EC1"/>
    <w:rsid w:val="00C5502D"/>
    <w:rsid w:val="00C611D4"/>
    <w:rsid w:val="00C625F2"/>
    <w:rsid w:val="00C66B59"/>
    <w:rsid w:val="00C702E2"/>
    <w:rsid w:val="00C73938"/>
    <w:rsid w:val="00C73CC3"/>
    <w:rsid w:val="00C76B5F"/>
    <w:rsid w:val="00C80419"/>
    <w:rsid w:val="00C80F0F"/>
    <w:rsid w:val="00C8285F"/>
    <w:rsid w:val="00C84EFD"/>
    <w:rsid w:val="00C942C9"/>
    <w:rsid w:val="00C94EE1"/>
    <w:rsid w:val="00CA2A15"/>
    <w:rsid w:val="00CA6990"/>
    <w:rsid w:val="00CB557E"/>
    <w:rsid w:val="00CD0596"/>
    <w:rsid w:val="00CD1663"/>
    <w:rsid w:val="00CD3C97"/>
    <w:rsid w:val="00CD5887"/>
    <w:rsid w:val="00CE0F6B"/>
    <w:rsid w:val="00CE6CCB"/>
    <w:rsid w:val="00CF1E7E"/>
    <w:rsid w:val="00CF28C5"/>
    <w:rsid w:val="00CF3F22"/>
    <w:rsid w:val="00CF7394"/>
    <w:rsid w:val="00D013A1"/>
    <w:rsid w:val="00D055B0"/>
    <w:rsid w:val="00D13C19"/>
    <w:rsid w:val="00D161E3"/>
    <w:rsid w:val="00D163A1"/>
    <w:rsid w:val="00D16545"/>
    <w:rsid w:val="00D23C0D"/>
    <w:rsid w:val="00D24CED"/>
    <w:rsid w:val="00D447F1"/>
    <w:rsid w:val="00D505E4"/>
    <w:rsid w:val="00D54039"/>
    <w:rsid w:val="00D5593E"/>
    <w:rsid w:val="00D63E38"/>
    <w:rsid w:val="00D672A6"/>
    <w:rsid w:val="00D675A2"/>
    <w:rsid w:val="00D92B54"/>
    <w:rsid w:val="00D9357A"/>
    <w:rsid w:val="00D94381"/>
    <w:rsid w:val="00D960E4"/>
    <w:rsid w:val="00DA231D"/>
    <w:rsid w:val="00DA3E53"/>
    <w:rsid w:val="00DA4E05"/>
    <w:rsid w:val="00DA7A2B"/>
    <w:rsid w:val="00DB3B78"/>
    <w:rsid w:val="00DD154C"/>
    <w:rsid w:val="00DE3CDD"/>
    <w:rsid w:val="00DF0C75"/>
    <w:rsid w:val="00DF1489"/>
    <w:rsid w:val="00DF19E9"/>
    <w:rsid w:val="00DF5C52"/>
    <w:rsid w:val="00DF78AC"/>
    <w:rsid w:val="00E0318E"/>
    <w:rsid w:val="00E11689"/>
    <w:rsid w:val="00E125E6"/>
    <w:rsid w:val="00E13ACF"/>
    <w:rsid w:val="00E178C1"/>
    <w:rsid w:val="00E24F62"/>
    <w:rsid w:val="00E257CA"/>
    <w:rsid w:val="00E3161D"/>
    <w:rsid w:val="00E41B4D"/>
    <w:rsid w:val="00E52A57"/>
    <w:rsid w:val="00E57672"/>
    <w:rsid w:val="00E614E9"/>
    <w:rsid w:val="00E6302F"/>
    <w:rsid w:val="00E6489D"/>
    <w:rsid w:val="00E6563E"/>
    <w:rsid w:val="00E67E10"/>
    <w:rsid w:val="00E74ADD"/>
    <w:rsid w:val="00E754CF"/>
    <w:rsid w:val="00E7637A"/>
    <w:rsid w:val="00E770BF"/>
    <w:rsid w:val="00E77FE6"/>
    <w:rsid w:val="00E84FFF"/>
    <w:rsid w:val="00E8536A"/>
    <w:rsid w:val="00E90F32"/>
    <w:rsid w:val="00E9369B"/>
    <w:rsid w:val="00E97EE1"/>
    <w:rsid w:val="00EB11CF"/>
    <w:rsid w:val="00EB1B2E"/>
    <w:rsid w:val="00EB4619"/>
    <w:rsid w:val="00EB7133"/>
    <w:rsid w:val="00EB7727"/>
    <w:rsid w:val="00EC1F6D"/>
    <w:rsid w:val="00EC208D"/>
    <w:rsid w:val="00EC5932"/>
    <w:rsid w:val="00ED052B"/>
    <w:rsid w:val="00ED0608"/>
    <w:rsid w:val="00ED0978"/>
    <w:rsid w:val="00ED336C"/>
    <w:rsid w:val="00EE21F8"/>
    <w:rsid w:val="00EF04B1"/>
    <w:rsid w:val="00EF3FE0"/>
    <w:rsid w:val="00F038F6"/>
    <w:rsid w:val="00F05DA0"/>
    <w:rsid w:val="00F12C6A"/>
    <w:rsid w:val="00F12FD1"/>
    <w:rsid w:val="00F141BB"/>
    <w:rsid w:val="00F15785"/>
    <w:rsid w:val="00F16C2D"/>
    <w:rsid w:val="00F22CFB"/>
    <w:rsid w:val="00F32610"/>
    <w:rsid w:val="00F526B0"/>
    <w:rsid w:val="00F53ABF"/>
    <w:rsid w:val="00F6538A"/>
    <w:rsid w:val="00F660DA"/>
    <w:rsid w:val="00F70D19"/>
    <w:rsid w:val="00F72D96"/>
    <w:rsid w:val="00F73F87"/>
    <w:rsid w:val="00F80A1C"/>
    <w:rsid w:val="00F87134"/>
    <w:rsid w:val="00F91EE9"/>
    <w:rsid w:val="00F940D7"/>
    <w:rsid w:val="00F9424B"/>
    <w:rsid w:val="00F9552C"/>
    <w:rsid w:val="00FA0A46"/>
    <w:rsid w:val="00FA4827"/>
    <w:rsid w:val="00FA4AC1"/>
    <w:rsid w:val="00FB23AE"/>
    <w:rsid w:val="00FB6C28"/>
    <w:rsid w:val="00FB6D72"/>
    <w:rsid w:val="00FC2ED4"/>
    <w:rsid w:val="00FC4636"/>
    <w:rsid w:val="00FC5EB4"/>
    <w:rsid w:val="00FC6C3B"/>
    <w:rsid w:val="00FD56A4"/>
    <w:rsid w:val="00FE46D5"/>
    <w:rsid w:val="00FE6436"/>
    <w:rsid w:val="00FF2294"/>
    <w:rsid w:val="00FF4227"/>
    <w:rsid w:val="00FF598A"/>
    <w:rsid w:val="00FF5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106F"/>
  <w15:chartTrackingRefBased/>
  <w15:docId w15:val="{BF64AD69-0C5D-42FA-A64F-C6DBEA24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53E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24AC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053EE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5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E1F"/>
    <w:rPr>
      <w:rFonts w:ascii="Segoe UI" w:hAnsi="Segoe UI" w:cs="Segoe UI"/>
      <w:sz w:val="18"/>
      <w:szCs w:val="18"/>
    </w:rPr>
  </w:style>
  <w:style w:type="character" w:styleId="LineNumber">
    <w:name w:val="line number"/>
    <w:basedOn w:val="DefaultParagraphFont"/>
    <w:uiPriority w:val="99"/>
    <w:semiHidden/>
    <w:unhideWhenUsed/>
    <w:rsid w:val="0045361B"/>
  </w:style>
  <w:style w:type="paragraph" w:customStyle="1" w:styleId="Default">
    <w:name w:val="Default"/>
    <w:rsid w:val="008206F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9143D"/>
    <w:rPr>
      <w:sz w:val="16"/>
      <w:szCs w:val="16"/>
    </w:rPr>
  </w:style>
  <w:style w:type="paragraph" w:styleId="CommentText">
    <w:name w:val="annotation text"/>
    <w:basedOn w:val="Normal"/>
    <w:link w:val="CommentTextChar"/>
    <w:uiPriority w:val="99"/>
    <w:unhideWhenUsed/>
    <w:rsid w:val="0039143D"/>
    <w:pPr>
      <w:spacing w:line="240" w:lineRule="auto"/>
    </w:pPr>
    <w:rPr>
      <w:sz w:val="20"/>
      <w:szCs w:val="20"/>
    </w:rPr>
  </w:style>
  <w:style w:type="character" w:customStyle="1" w:styleId="CommentTextChar">
    <w:name w:val="Comment Text Char"/>
    <w:basedOn w:val="DefaultParagraphFont"/>
    <w:link w:val="CommentText"/>
    <w:uiPriority w:val="99"/>
    <w:rsid w:val="0039143D"/>
    <w:rPr>
      <w:sz w:val="20"/>
      <w:szCs w:val="20"/>
    </w:rPr>
  </w:style>
  <w:style w:type="paragraph" w:styleId="CommentSubject">
    <w:name w:val="annotation subject"/>
    <w:basedOn w:val="CommentText"/>
    <w:next w:val="CommentText"/>
    <w:link w:val="CommentSubjectChar"/>
    <w:uiPriority w:val="99"/>
    <w:semiHidden/>
    <w:unhideWhenUsed/>
    <w:rsid w:val="0039143D"/>
    <w:rPr>
      <w:b/>
      <w:bCs/>
    </w:rPr>
  </w:style>
  <w:style w:type="character" w:customStyle="1" w:styleId="CommentSubjectChar">
    <w:name w:val="Comment Subject Char"/>
    <w:basedOn w:val="CommentTextChar"/>
    <w:link w:val="CommentSubject"/>
    <w:uiPriority w:val="99"/>
    <w:semiHidden/>
    <w:rsid w:val="0039143D"/>
    <w:rPr>
      <w:b/>
      <w:bCs/>
      <w:sz w:val="20"/>
      <w:szCs w:val="20"/>
    </w:rPr>
  </w:style>
  <w:style w:type="character" w:styleId="Hyperlink">
    <w:name w:val="Hyperlink"/>
    <w:basedOn w:val="DefaultParagraphFont"/>
    <w:uiPriority w:val="99"/>
    <w:unhideWhenUsed/>
    <w:rsid w:val="0039143D"/>
    <w:rPr>
      <w:color w:val="0563C1" w:themeColor="hyperlink"/>
      <w:u w:val="single"/>
    </w:rPr>
  </w:style>
  <w:style w:type="character" w:customStyle="1" w:styleId="UnresolvedMention">
    <w:name w:val="Unresolved Mention"/>
    <w:basedOn w:val="DefaultParagraphFont"/>
    <w:uiPriority w:val="99"/>
    <w:semiHidden/>
    <w:unhideWhenUsed/>
    <w:rsid w:val="0039143D"/>
    <w:rPr>
      <w:color w:val="605E5C"/>
      <w:shd w:val="clear" w:color="auto" w:fill="E1DFDD"/>
    </w:rPr>
  </w:style>
  <w:style w:type="paragraph" w:styleId="Bibliography">
    <w:name w:val="Bibliography"/>
    <w:basedOn w:val="Normal"/>
    <w:next w:val="Normal"/>
    <w:uiPriority w:val="37"/>
    <w:unhideWhenUsed/>
    <w:rsid w:val="0018418B"/>
    <w:pPr>
      <w:tabs>
        <w:tab w:val="left" w:pos="384"/>
      </w:tabs>
      <w:spacing w:after="240" w:line="240" w:lineRule="auto"/>
      <w:ind w:left="384" w:hanging="384"/>
    </w:pPr>
  </w:style>
  <w:style w:type="paragraph" w:styleId="HTMLPreformatted">
    <w:name w:val="HTML Preformatted"/>
    <w:basedOn w:val="Normal"/>
    <w:link w:val="HTMLPreformattedChar"/>
    <w:uiPriority w:val="99"/>
    <w:semiHidden/>
    <w:unhideWhenUsed/>
    <w:rsid w:val="00BF1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F12E3"/>
    <w:rPr>
      <w:rFonts w:ascii="Courier New" w:eastAsia="Times New Roman" w:hAnsi="Courier New" w:cs="Courier New"/>
      <w:sz w:val="20"/>
      <w:szCs w:val="20"/>
      <w:lang w:eastAsia="en-GB"/>
    </w:rPr>
  </w:style>
  <w:style w:type="character" w:customStyle="1" w:styleId="gnkrckgcgsb">
    <w:name w:val="gnkrckgcgsb"/>
    <w:basedOn w:val="DefaultParagraphFont"/>
    <w:rsid w:val="00BF12E3"/>
  </w:style>
  <w:style w:type="paragraph" w:customStyle="1" w:styleId="c-reading-companionreference-citation">
    <w:name w:val="c-reading-companion__reference-citation"/>
    <w:basedOn w:val="Normal"/>
    <w:rsid w:val="002D0B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reading-companionreference-links">
    <w:name w:val="c-reading-companion__reference-links"/>
    <w:basedOn w:val="Normal"/>
    <w:rsid w:val="002D0B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70C88"/>
    <w:rPr>
      <w:i/>
      <w:iCs/>
    </w:rPr>
  </w:style>
  <w:style w:type="character" w:styleId="FollowedHyperlink">
    <w:name w:val="FollowedHyperlink"/>
    <w:basedOn w:val="DefaultParagraphFont"/>
    <w:uiPriority w:val="99"/>
    <w:semiHidden/>
    <w:unhideWhenUsed/>
    <w:rsid w:val="002C2E9A"/>
    <w:rPr>
      <w:color w:val="954F72" w:themeColor="followedHyperlink"/>
      <w:u w:val="single"/>
    </w:rPr>
  </w:style>
  <w:style w:type="paragraph" w:styleId="z-TopofForm">
    <w:name w:val="HTML Top of Form"/>
    <w:basedOn w:val="Normal"/>
    <w:next w:val="Normal"/>
    <w:link w:val="z-TopofFormChar"/>
    <w:hidden/>
    <w:uiPriority w:val="99"/>
    <w:semiHidden/>
    <w:unhideWhenUsed/>
    <w:rsid w:val="008F0BC8"/>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8F0BC8"/>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8F0BC8"/>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8F0BC8"/>
    <w:rPr>
      <w:rFonts w:ascii="Arial" w:eastAsia="Times New Roman" w:hAnsi="Arial" w:cs="Arial"/>
      <w:vanish/>
      <w:sz w:val="16"/>
      <w:szCs w:val="16"/>
      <w:lang w:val="en-US"/>
    </w:rPr>
  </w:style>
  <w:style w:type="paragraph" w:styleId="Revision">
    <w:name w:val="Revision"/>
    <w:hidden/>
    <w:uiPriority w:val="99"/>
    <w:semiHidden/>
    <w:rsid w:val="00FB23AE"/>
    <w:pPr>
      <w:spacing w:after="0" w:line="240" w:lineRule="auto"/>
    </w:pPr>
  </w:style>
  <w:style w:type="table" w:styleId="PlainTable3">
    <w:name w:val="Plain Table 3"/>
    <w:basedOn w:val="TableNormal"/>
    <w:uiPriority w:val="43"/>
    <w:rsid w:val="004B31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E0F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CE0F6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FA4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3">
    <w:name w:val="List Table 2 Accent 3"/>
    <w:basedOn w:val="TableNormal"/>
    <w:uiPriority w:val="47"/>
    <w:rsid w:val="00D505E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B24AC1"/>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B24AC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24AC1"/>
    <w:rPr>
      <w:b/>
      <w:bCs/>
    </w:rPr>
  </w:style>
  <w:style w:type="paragraph" w:styleId="EndnoteText">
    <w:name w:val="endnote text"/>
    <w:basedOn w:val="Normal"/>
    <w:link w:val="EndnoteTextChar"/>
    <w:uiPriority w:val="99"/>
    <w:semiHidden/>
    <w:unhideWhenUsed/>
    <w:rsid w:val="001952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5217"/>
    <w:rPr>
      <w:sz w:val="20"/>
      <w:szCs w:val="20"/>
    </w:rPr>
  </w:style>
  <w:style w:type="character" w:styleId="EndnoteReference">
    <w:name w:val="endnote reference"/>
    <w:basedOn w:val="DefaultParagraphFont"/>
    <w:uiPriority w:val="99"/>
    <w:semiHidden/>
    <w:unhideWhenUsed/>
    <w:rsid w:val="00195217"/>
    <w:rPr>
      <w:vertAlign w:val="superscript"/>
    </w:rPr>
  </w:style>
  <w:style w:type="character" w:customStyle="1" w:styleId="Heading2Char">
    <w:name w:val="Heading 2 Char"/>
    <w:basedOn w:val="DefaultParagraphFont"/>
    <w:link w:val="Heading2"/>
    <w:uiPriority w:val="9"/>
    <w:semiHidden/>
    <w:rsid w:val="00053EE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053EE1"/>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E1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5E6"/>
  </w:style>
  <w:style w:type="paragraph" w:styleId="Footer">
    <w:name w:val="footer"/>
    <w:basedOn w:val="Normal"/>
    <w:link w:val="FooterChar"/>
    <w:uiPriority w:val="99"/>
    <w:unhideWhenUsed/>
    <w:rsid w:val="00E1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5E6"/>
  </w:style>
  <w:style w:type="paragraph" w:styleId="ListParagraph">
    <w:name w:val="List Paragraph"/>
    <w:basedOn w:val="Normal"/>
    <w:uiPriority w:val="34"/>
    <w:qFormat/>
    <w:rsid w:val="005F654D"/>
    <w:pPr>
      <w:ind w:left="720"/>
      <w:contextualSpacing/>
    </w:pPr>
  </w:style>
  <w:style w:type="paragraph" w:customStyle="1" w:styleId="affiliation">
    <w:name w:val="affiliation"/>
    <w:basedOn w:val="Normal"/>
    <w:rsid w:val="005F6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F955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1691">
      <w:bodyDiv w:val="1"/>
      <w:marLeft w:val="0"/>
      <w:marRight w:val="0"/>
      <w:marTop w:val="0"/>
      <w:marBottom w:val="0"/>
      <w:divBdr>
        <w:top w:val="none" w:sz="0" w:space="0" w:color="auto"/>
        <w:left w:val="none" w:sz="0" w:space="0" w:color="auto"/>
        <w:bottom w:val="none" w:sz="0" w:space="0" w:color="auto"/>
        <w:right w:val="none" w:sz="0" w:space="0" w:color="auto"/>
      </w:divBdr>
    </w:div>
    <w:div w:id="83111837">
      <w:bodyDiv w:val="1"/>
      <w:marLeft w:val="0"/>
      <w:marRight w:val="0"/>
      <w:marTop w:val="0"/>
      <w:marBottom w:val="0"/>
      <w:divBdr>
        <w:top w:val="none" w:sz="0" w:space="0" w:color="auto"/>
        <w:left w:val="none" w:sz="0" w:space="0" w:color="auto"/>
        <w:bottom w:val="none" w:sz="0" w:space="0" w:color="auto"/>
        <w:right w:val="none" w:sz="0" w:space="0" w:color="auto"/>
      </w:divBdr>
    </w:div>
    <w:div w:id="156727595">
      <w:bodyDiv w:val="1"/>
      <w:marLeft w:val="0"/>
      <w:marRight w:val="0"/>
      <w:marTop w:val="0"/>
      <w:marBottom w:val="0"/>
      <w:divBdr>
        <w:top w:val="none" w:sz="0" w:space="0" w:color="auto"/>
        <w:left w:val="none" w:sz="0" w:space="0" w:color="auto"/>
        <w:bottom w:val="none" w:sz="0" w:space="0" w:color="auto"/>
        <w:right w:val="none" w:sz="0" w:space="0" w:color="auto"/>
      </w:divBdr>
    </w:div>
    <w:div w:id="181287259">
      <w:bodyDiv w:val="1"/>
      <w:marLeft w:val="0"/>
      <w:marRight w:val="0"/>
      <w:marTop w:val="0"/>
      <w:marBottom w:val="0"/>
      <w:divBdr>
        <w:top w:val="none" w:sz="0" w:space="0" w:color="auto"/>
        <w:left w:val="none" w:sz="0" w:space="0" w:color="auto"/>
        <w:bottom w:val="none" w:sz="0" w:space="0" w:color="auto"/>
        <w:right w:val="none" w:sz="0" w:space="0" w:color="auto"/>
      </w:divBdr>
      <w:divsChild>
        <w:div w:id="697968432">
          <w:marLeft w:val="0"/>
          <w:marRight w:val="0"/>
          <w:marTop w:val="0"/>
          <w:marBottom w:val="0"/>
          <w:divBdr>
            <w:top w:val="single" w:sz="6" w:space="0" w:color="5B616B"/>
            <w:left w:val="single" w:sz="6" w:space="0" w:color="5B616B"/>
            <w:bottom w:val="single" w:sz="6" w:space="0" w:color="5B616B"/>
            <w:right w:val="single" w:sz="6" w:space="0" w:color="5B616B"/>
          </w:divBdr>
        </w:div>
        <w:div w:id="641736963">
          <w:marLeft w:val="0"/>
          <w:marRight w:val="0"/>
          <w:marTop w:val="0"/>
          <w:marBottom w:val="0"/>
          <w:divBdr>
            <w:top w:val="none" w:sz="0" w:space="0" w:color="auto"/>
            <w:left w:val="none" w:sz="0" w:space="0" w:color="auto"/>
            <w:bottom w:val="none" w:sz="0" w:space="0" w:color="auto"/>
            <w:right w:val="none" w:sz="0" w:space="0" w:color="auto"/>
          </w:divBdr>
          <w:divsChild>
            <w:div w:id="17762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2293">
      <w:bodyDiv w:val="1"/>
      <w:marLeft w:val="0"/>
      <w:marRight w:val="0"/>
      <w:marTop w:val="0"/>
      <w:marBottom w:val="0"/>
      <w:divBdr>
        <w:top w:val="none" w:sz="0" w:space="0" w:color="auto"/>
        <w:left w:val="none" w:sz="0" w:space="0" w:color="auto"/>
        <w:bottom w:val="none" w:sz="0" w:space="0" w:color="auto"/>
        <w:right w:val="none" w:sz="0" w:space="0" w:color="auto"/>
      </w:divBdr>
    </w:div>
    <w:div w:id="301275579">
      <w:bodyDiv w:val="1"/>
      <w:marLeft w:val="0"/>
      <w:marRight w:val="0"/>
      <w:marTop w:val="0"/>
      <w:marBottom w:val="0"/>
      <w:divBdr>
        <w:top w:val="none" w:sz="0" w:space="0" w:color="auto"/>
        <w:left w:val="none" w:sz="0" w:space="0" w:color="auto"/>
        <w:bottom w:val="none" w:sz="0" w:space="0" w:color="auto"/>
        <w:right w:val="none" w:sz="0" w:space="0" w:color="auto"/>
      </w:divBdr>
    </w:div>
    <w:div w:id="306203894">
      <w:bodyDiv w:val="1"/>
      <w:marLeft w:val="0"/>
      <w:marRight w:val="0"/>
      <w:marTop w:val="0"/>
      <w:marBottom w:val="0"/>
      <w:divBdr>
        <w:top w:val="none" w:sz="0" w:space="0" w:color="auto"/>
        <w:left w:val="none" w:sz="0" w:space="0" w:color="auto"/>
        <w:bottom w:val="none" w:sz="0" w:space="0" w:color="auto"/>
        <w:right w:val="none" w:sz="0" w:space="0" w:color="auto"/>
      </w:divBdr>
    </w:div>
    <w:div w:id="324088685">
      <w:bodyDiv w:val="1"/>
      <w:marLeft w:val="0"/>
      <w:marRight w:val="0"/>
      <w:marTop w:val="0"/>
      <w:marBottom w:val="0"/>
      <w:divBdr>
        <w:top w:val="none" w:sz="0" w:space="0" w:color="auto"/>
        <w:left w:val="none" w:sz="0" w:space="0" w:color="auto"/>
        <w:bottom w:val="none" w:sz="0" w:space="0" w:color="auto"/>
        <w:right w:val="none" w:sz="0" w:space="0" w:color="auto"/>
      </w:divBdr>
    </w:div>
    <w:div w:id="446462828">
      <w:bodyDiv w:val="1"/>
      <w:marLeft w:val="0"/>
      <w:marRight w:val="0"/>
      <w:marTop w:val="0"/>
      <w:marBottom w:val="0"/>
      <w:divBdr>
        <w:top w:val="none" w:sz="0" w:space="0" w:color="auto"/>
        <w:left w:val="none" w:sz="0" w:space="0" w:color="auto"/>
        <w:bottom w:val="none" w:sz="0" w:space="0" w:color="auto"/>
        <w:right w:val="none" w:sz="0" w:space="0" w:color="auto"/>
      </w:divBdr>
    </w:div>
    <w:div w:id="469518489">
      <w:bodyDiv w:val="1"/>
      <w:marLeft w:val="0"/>
      <w:marRight w:val="0"/>
      <w:marTop w:val="0"/>
      <w:marBottom w:val="0"/>
      <w:divBdr>
        <w:top w:val="none" w:sz="0" w:space="0" w:color="auto"/>
        <w:left w:val="none" w:sz="0" w:space="0" w:color="auto"/>
        <w:bottom w:val="none" w:sz="0" w:space="0" w:color="auto"/>
        <w:right w:val="none" w:sz="0" w:space="0" w:color="auto"/>
      </w:divBdr>
    </w:div>
    <w:div w:id="475680605">
      <w:bodyDiv w:val="1"/>
      <w:marLeft w:val="0"/>
      <w:marRight w:val="0"/>
      <w:marTop w:val="0"/>
      <w:marBottom w:val="0"/>
      <w:divBdr>
        <w:top w:val="none" w:sz="0" w:space="0" w:color="auto"/>
        <w:left w:val="none" w:sz="0" w:space="0" w:color="auto"/>
        <w:bottom w:val="none" w:sz="0" w:space="0" w:color="auto"/>
        <w:right w:val="none" w:sz="0" w:space="0" w:color="auto"/>
      </w:divBdr>
    </w:div>
    <w:div w:id="600994744">
      <w:bodyDiv w:val="1"/>
      <w:marLeft w:val="0"/>
      <w:marRight w:val="0"/>
      <w:marTop w:val="0"/>
      <w:marBottom w:val="0"/>
      <w:divBdr>
        <w:top w:val="none" w:sz="0" w:space="0" w:color="auto"/>
        <w:left w:val="none" w:sz="0" w:space="0" w:color="auto"/>
        <w:bottom w:val="none" w:sz="0" w:space="0" w:color="auto"/>
        <w:right w:val="none" w:sz="0" w:space="0" w:color="auto"/>
      </w:divBdr>
    </w:div>
    <w:div w:id="707529600">
      <w:bodyDiv w:val="1"/>
      <w:marLeft w:val="0"/>
      <w:marRight w:val="0"/>
      <w:marTop w:val="0"/>
      <w:marBottom w:val="0"/>
      <w:divBdr>
        <w:top w:val="none" w:sz="0" w:space="0" w:color="auto"/>
        <w:left w:val="none" w:sz="0" w:space="0" w:color="auto"/>
        <w:bottom w:val="none" w:sz="0" w:space="0" w:color="auto"/>
        <w:right w:val="none" w:sz="0" w:space="0" w:color="auto"/>
      </w:divBdr>
    </w:div>
    <w:div w:id="756366552">
      <w:bodyDiv w:val="1"/>
      <w:marLeft w:val="0"/>
      <w:marRight w:val="0"/>
      <w:marTop w:val="0"/>
      <w:marBottom w:val="0"/>
      <w:divBdr>
        <w:top w:val="none" w:sz="0" w:space="0" w:color="auto"/>
        <w:left w:val="none" w:sz="0" w:space="0" w:color="auto"/>
        <w:bottom w:val="none" w:sz="0" w:space="0" w:color="auto"/>
        <w:right w:val="none" w:sz="0" w:space="0" w:color="auto"/>
      </w:divBdr>
    </w:div>
    <w:div w:id="777144860">
      <w:bodyDiv w:val="1"/>
      <w:marLeft w:val="0"/>
      <w:marRight w:val="0"/>
      <w:marTop w:val="0"/>
      <w:marBottom w:val="0"/>
      <w:divBdr>
        <w:top w:val="none" w:sz="0" w:space="0" w:color="auto"/>
        <w:left w:val="none" w:sz="0" w:space="0" w:color="auto"/>
        <w:bottom w:val="none" w:sz="0" w:space="0" w:color="auto"/>
        <w:right w:val="none" w:sz="0" w:space="0" w:color="auto"/>
      </w:divBdr>
    </w:div>
    <w:div w:id="792863915">
      <w:bodyDiv w:val="1"/>
      <w:marLeft w:val="0"/>
      <w:marRight w:val="0"/>
      <w:marTop w:val="0"/>
      <w:marBottom w:val="0"/>
      <w:divBdr>
        <w:top w:val="none" w:sz="0" w:space="0" w:color="auto"/>
        <w:left w:val="none" w:sz="0" w:space="0" w:color="auto"/>
        <w:bottom w:val="none" w:sz="0" w:space="0" w:color="auto"/>
        <w:right w:val="none" w:sz="0" w:space="0" w:color="auto"/>
      </w:divBdr>
    </w:div>
    <w:div w:id="807237371">
      <w:bodyDiv w:val="1"/>
      <w:marLeft w:val="0"/>
      <w:marRight w:val="0"/>
      <w:marTop w:val="0"/>
      <w:marBottom w:val="0"/>
      <w:divBdr>
        <w:top w:val="none" w:sz="0" w:space="0" w:color="auto"/>
        <w:left w:val="none" w:sz="0" w:space="0" w:color="auto"/>
        <w:bottom w:val="none" w:sz="0" w:space="0" w:color="auto"/>
        <w:right w:val="none" w:sz="0" w:space="0" w:color="auto"/>
      </w:divBdr>
      <w:divsChild>
        <w:div w:id="1176074530">
          <w:marLeft w:val="0"/>
          <w:marRight w:val="0"/>
          <w:marTop w:val="0"/>
          <w:marBottom w:val="0"/>
          <w:divBdr>
            <w:top w:val="none" w:sz="0" w:space="0" w:color="auto"/>
            <w:left w:val="none" w:sz="0" w:space="0" w:color="auto"/>
            <w:bottom w:val="none" w:sz="0" w:space="0" w:color="auto"/>
            <w:right w:val="none" w:sz="0" w:space="0" w:color="auto"/>
          </w:divBdr>
        </w:div>
      </w:divsChild>
    </w:div>
    <w:div w:id="807479776">
      <w:bodyDiv w:val="1"/>
      <w:marLeft w:val="0"/>
      <w:marRight w:val="0"/>
      <w:marTop w:val="0"/>
      <w:marBottom w:val="0"/>
      <w:divBdr>
        <w:top w:val="none" w:sz="0" w:space="0" w:color="auto"/>
        <w:left w:val="none" w:sz="0" w:space="0" w:color="auto"/>
        <w:bottom w:val="none" w:sz="0" w:space="0" w:color="auto"/>
        <w:right w:val="none" w:sz="0" w:space="0" w:color="auto"/>
      </w:divBdr>
    </w:div>
    <w:div w:id="875584873">
      <w:bodyDiv w:val="1"/>
      <w:marLeft w:val="0"/>
      <w:marRight w:val="0"/>
      <w:marTop w:val="0"/>
      <w:marBottom w:val="0"/>
      <w:divBdr>
        <w:top w:val="none" w:sz="0" w:space="0" w:color="auto"/>
        <w:left w:val="none" w:sz="0" w:space="0" w:color="auto"/>
        <w:bottom w:val="none" w:sz="0" w:space="0" w:color="auto"/>
        <w:right w:val="none" w:sz="0" w:space="0" w:color="auto"/>
      </w:divBdr>
    </w:div>
    <w:div w:id="955793263">
      <w:bodyDiv w:val="1"/>
      <w:marLeft w:val="0"/>
      <w:marRight w:val="0"/>
      <w:marTop w:val="0"/>
      <w:marBottom w:val="0"/>
      <w:divBdr>
        <w:top w:val="none" w:sz="0" w:space="0" w:color="auto"/>
        <w:left w:val="none" w:sz="0" w:space="0" w:color="auto"/>
        <w:bottom w:val="none" w:sz="0" w:space="0" w:color="auto"/>
        <w:right w:val="none" w:sz="0" w:space="0" w:color="auto"/>
      </w:divBdr>
    </w:div>
    <w:div w:id="966356105">
      <w:bodyDiv w:val="1"/>
      <w:marLeft w:val="0"/>
      <w:marRight w:val="0"/>
      <w:marTop w:val="0"/>
      <w:marBottom w:val="0"/>
      <w:divBdr>
        <w:top w:val="none" w:sz="0" w:space="0" w:color="auto"/>
        <w:left w:val="none" w:sz="0" w:space="0" w:color="auto"/>
        <w:bottom w:val="none" w:sz="0" w:space="0" w:color="auto"/>
        <w:right w:val="none" w:sz="0" w:space="0" w:color="auto"/>
      </w:divBdr>
    </w:div>
    <w:div w:id="1021122825">
      <w:bodyDiv w:val="1"/>
      <w:marLeft w:val="0"/>
      <w:marRight w:val="0"/>
      <w:marTop w:val="0"/>
      <w:marBottom w:val="0"/>
      <w:divBdr>
        <w:top w:val="none" w:sz="0" w:space="0" w:color="auto"/>
        <w:left w:val="none" w:sz="0" w:space="0" w:color="auto"/>
        <w:bottom w:val="none" w:sz="0" w:space="0" w:color="auto"/>
        <w:right w:val="none" w:sz="0" w:space="0" w:color="auto"/>
      </w:divBdr>
    </w:div>
    <w:div w:id="1057166863">
      <w:bodyDiv w:val="1"/>
      <w:marLeft w:val="0"/>
      <w:marRight w:val="0"/>
      <w:marTop w:val="0"/>
      <w:marBottom w:val="0"/>
      <w:divBdr>
        <w:top w:val="none" w:sz="0" w:space="0" w:color="auto"/>
        <w:left w:val="none" w:sz="0" w:space="0" w:color="auto"/>
        <w:bottom w:val="none" w:sz="0" w:space="0" w:color="auto"/>
        <w:right w:val="none" w:sz="0" w:space="0" w:color="auto"/>
      </w:divBdr>
    </w:div>
    <w:div w:id="1060519281">
      <w:bodyDiv w:val="1"/>
      <w:marLeft w:val="0"/>
      <w:marRight w:val="0"/>
      <w:marTop w:val="0"/>
      <w:marBottom w:val="0"/>
      <w:divBdr>
        <w:top w:val="none" w:sz="0" w:space="0" w:color="auto"/>
        <w:left w:val="none" w:sz="0" w:space="0" w:color="auto"/>
        <w:bottom w:val="none" w:sz="0" w:space="0" w:color="auto"/>
        <w:right w:val="none" w:sz="0" w:space="0" w:color="auto"/>
      </w:divBdr>
      <w:divsChild>
        <w:div w:id="1131899399">
          <w:marLeft w:val="0"/>
          <w:marRight w:val="0"/>
          <w:marTop w:val="0"/>
          <w:marBottom w:val="0"/>
          <w:divBdr>
            <w:top w:val="none" w:sz="0" w:space="0" w:color="auto"/>
            <w:left w:val="none" w:sz="0" w:space="0" w:color="auto"/>
            <w:bottom w:val="none" w:sz="0" w:space="0" w:color="auto"/>
            <w:right w:val="none" w:sz="0" w:space="0" w:color="auto"/>
          </w:divBdr>
          <w:divsChild>
            <w:div w:id="2070759247">
              <w:marLeft w:val="0"/>
              <w:marRight w:val="0"/>
              <w:marTop w:val="0"/>
              <w:marBottom w:val="0"/>
              <w:divBdr>
                <w:top w:val="none" w:sz="0" w:space="0" w:color="auto"/>
                <w:left w:val="none" w:sz="0" w:space="0" w:color="auto"/>
                <w:bottom w:val="none" w:sz="0" w:space="0" w:color="auto"/>
                <w:right w:val="none" w:sz="0" w:space="0" w:color="auto"/>
              </w:divBdr>
              <w:divsChild>
                <w:div w:id="1540824182">
                  <w:marLeft w:val="0"/>
                  <w:marRight w:val="0"/>
                  <w:marTop w:val="0"/>
                  <w:marBottom w:val="0"/>
                  <w:divBdr>
                    <w:top w:val="none" w:sz="0" w:space="0" w:color="auto"/>
                    <w:left w:val="none" w:sz="0" w:space="0" w:color="auto"/>
                    <w:bottom w:val="none" w:sz="0" w:space="0" w:color="auto"/>
                    <w:right w:val="none" w:sz="0" w:space="0" w:color="auto"/>
                  </w:divBdr>
                  <w:divsChild>
                    <w:div w:id="2138527125">
                      <w:marLeft w:val="0"/>
                      <w:marRight w:val="0"/>
                      <w:marTop w:val="0"/>
                      <w:marBottom w:val="0"/>
                      <w:divBdr>
                        <w:top w:val="none" w:sz="0" w:space="0" w:color="auto"/>
                        <w:left w:val="none" w:sz="0" w:space="0" w:color="auto"/>
                        <w:bottom w:val="none" w:sz="0" w:space="0" w:color="auto"/>
                        <w:right w:val="none" w:sz="0" w:space="0" w:color="auto"/>
                      </w:divBdr>
                      <w:divsChild>
                        <w:div w:id="284238807">
                          <w:marLeft w:val="0"/>
                          <w:marRight w:val="0"/>
                          <w:marTop w:val="0"/>
                          <w:marBottom w:val="0"/>
                          <w:divBdr>
                            <w:top w:val="none" w:sz="0" w:space="0" w:color="auto"/>
                            <w:left w:val="none" w:sz="0" w:space="0" w:color="auto"/>
                            <w:bottom w:val="none" w:sz="0" w:space="0" w:color="auto"/>
                            <w:right w:val="none" w:sz="0" w:space="0" w:color="auto"/>
                          </w:divBdr>
                          <w:divsChild>
                            <w:div w:id="172479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398851">
      <w:bodyDiv w:val="1"/>
      <w:marLeft w:val="0"/>
      <w:marRight w:val="0"/>
      <w:marTop w:val="0"/>
      <w:marBottom w:val="0"/>
      <w:divBdr>
        <w:top w:val="none" w:sz="0" w:space="0" w:color="auto"/>
        <w:left w:val="none" w:sz="0" w:space="0" w:color="auto"/>
        <w:bottom w:val="none" w:sz="0" w:space="0" w:color="auto"/>
        <w:right w:val="none" w:sz="0" w:space="0" w:color="auto"/>
      </w:divBdr>
    </w:div>
    <w:div w:id="1170758575">
      <w:bodyDiv w:val="1"/>
      <w:marLeft w:val="0"/>
      <w:marRight w:val="0"/>
      <w:marTop w:val="0"/>
      <w:marBottom w:val="0"/>
      <w:divBdr>
        <w:top w:val="none" w:sz="0" w:space="0" w:color="auto"/>
        <w:left w:val="none" w:sz="0" w:space="0" w:color="auto"/>
        <w:bottom w:val="none" w:sz="0" w:space="0" w:color="auto"/>
        <w:right w:val="none" w:sz="0" w:space="0" w:color="auto"/>
      </w:divBdr>
    </w:div>
    <w:div w:id="1236234654">
      <w:bodyDiv w:val="1"/>
      <w:marLeft w:val="0"/>
      <w:marRight w:val="0"/>
      <w:marTop w:val="0"/>
      <w:marBottom w:val="0"/>
      <w:divBdr>
        <w:top w:val="none" w:sz="0" w:space="0" w:color="auto"/>
        <w:left w:val="none" w:sz="0" w:space="0" w:color="auto"/>
        <w:bottom w:val="none" w:sz="0" w:space="0" w:color="auto"/>
        <w:right w:val="none" w:sz="0" w:space="0" w:color="auto"/>
      </w:divBdr>
    </w:div>
    <w:div w:id="1256785784">
      <w:bodyDiv w:val="1"/>
      <w:marLeft w:val="0"/>
      <w:marRight w:val="0"/>
      <w:marTop w:val="0"/>
      <w:marBottom w:val="0"/>
      <w:divBdr>
        <w:top w:val="none" w:sz="0" w:space="0" w:color="auto"/>
        <w:left w:val="none" w:sz="0" w:space="0" w:color="auto"/>
        <w:bottom w:val="none" w:sz="0" w:space="0" w:color="auto"/>
        <w:right w:val="none" w:sz="0" w:space="0" w:color="auto"/>
      </w:divBdr>
      <w:divsChild>
        <w:div w:id="1858537498">
          <w:marLeft w:val="0"/>
          <w:marRight w:val="0"/>
          <w:marTop w:val="0"/>
          <w:marBottom w:val="0"/>
          <w:divBdr>
            <w:top w:val="none" w:sz="0" w:space="0" w:color="auto"/>
            <w:left w:val="none" w:sz="0" w:space="0" w:color="auto"/>
            <w:bottom w:val="none" w:sz="0" w:space="0" w:color="auto"/>
            <w:right w:val="none" w:sz="0" w:space="0" w:color="auto"/>
          </w:divBdr>
        </w:div>
      </w:divsChild>
    </w:div>
    <w:div w:id="1325276855">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6178083">
      <w:bodyDiv w:val="1"/>
      <w:marLeft w:val="0"/>
      <w:marRight w:val="0"/>
      <w:marTop w:val="0"/>
      <w:marBottom w:val="0"/>
      <w:divBdr>
        <w:top w:val="none" w:sz="0" w:space="0" w:color="auto"/>
        <w:left w:val="none" w:sz="0" w:space="0" w:color="auto"/>
        <w:bottom w:val="none" w:sz="0" w:space="0" w:color="auto"/>
        <w:right w:val="none" w:sz="0" w:space="0" w:color="auto"/>
      </w:divBdr>
    </w:div>
    <w:div w:id="1377392042">
      <w:bodyDiv w:val="1"/>
      <w:marLeft w:val="0"/>
      <w:marRight w:val="0"/>
      <w:marTop w:val="0"/>
      <w:marBottom w:val="0"/>
      <w:divBdr>
        <w:top w:val="none" w:sz="0" w:space="0" w:color="auto"/>
        <w:left w:val="none" w:sz="0" w:space="0" w:color="auto"/>
        <w:bottom w:val="none" w:sz="0" w:space="0" w:color="auto"/>
        <w:right w:val="none" w:sz="0" w:space="0" w:color="auto"/>
      </w:divBdr>
    </w:div>
    <w:div w:id="1429232041">
      <w:bodyDiv w:val="1"/>
      <w:marLeft w:val="0"/>
      <w:marRight w:val="0"/>
      <w:marTop w:val="0"/>
      <w:marBottom w:val="0"/>
      <w:divBdr>
        <w:top w:val="none" w:sz="0" w:space="0" w:color="auto"/>
        <w:left w:val="none" w:sz="0" w:space="0" w:color="auto"/>
        <w:bottom w:val="none" w:sz="0" w:space="0" w:color="auto"/>
        <w:right w:val="none" w:sz="0" w:space="0" w:color="auto"/>
      </w:divBdr>
    </w:div>
    <w:div w:id="1555116552">
      <w:bodyDiv w:val="1"/>
      <w:marLeft w:val="0"/>
      <w:marRight w:val="0"/>
      <w:marTop w:val="0"/>
      <w:marBottom w:val="0"/>
      <w:divBdr>
        <w:top w:val="none" w:sz="0" w:space="0" w:color="auto"/>
        <w:left w:val="none" w:sz="0" w:space="0" w:color="auto"/>
        <w:bottom w:val="none" w:sz="0" w:space="0" w:color="auto"/>
        <w:right w:val="none" w:sz="0" w:space="0" w:color="auto"/>
      </w:divBdr>
    </w:div>
    <w:div w:id="1579097202">
      <w:bodyDiv w:val="1"/>
      <w:marLeft w:val="0"/>
      <w:marRight w:val="0"/>
      <w:marTop w:val="0"/>
      <w:marBottom w:val="0"/>
      <w:divBdr>
        <w:top w:val="none" w:sz="0" w:space="0" w:color="auto"/>
        <w:left w:val="none" w:sz="0" w:space="0" w:color="auto"/>
        <w:bottom w:val="none" w:sz="0" w:space="0" w:color="auto"/>
        <w:right w:val="none" w:sz="0" w:space="0" w:color="auto"/>
      </w:divBdr>
    </w:div>
    <w:div w:id="1608662047">
      <w:bodyDiv w:val="1"/>
      <w:marLeft w:val="0"/>
      <w:marRight w:val="0"/>
      <w:marTop w:val="0"/>
      <w:marBottom w:val="0"/>
      <w:divBdr>
        <w:top w:val="none" w:sz="0" w:space="0" w:color="auto"/>
        <w:left w:val="none" w:sz="0" w:space="0" w:color="auto"/>
        <w:bottom w:val="none" w:sz="0" w:space="0" w:color="auto"/>
        <w:right w:val="none" w:sz="0" w:space="0" w:color="auto"/>
      </w:divBdr>
    </w:div>
    <w:div w:id="1616205163">
      <w:bodyDiv w:val="1"/>
      <w:marLeft w:val="0"/>
      <w:marRight w:val="0"/>
      <w:marTop w:val="0"/>
      <w:marBottom w:val="0"/>
      <w:divBdr>
        <w:top w:val="none" w:sz="0" w:space="0" w:color="auto"/>
        <w:left w:val="none" w:sz="0" w:space="0" w:color="auto"/>
        <w:bottom w:val="none" w:sz="0" w:space="0" w:color="auto"/>
        <w:right w:val="none" w:sz="0" w:space="0" w:color="auto"/>
      </w:divBdr>
      <w:divsChild>
        <w:div w:id="1301350797">
          <w:marLeft w:val="0"/>
          <w:marRight w:val="0"/>
          <w:marTop w:val="0"/>
          <w:marBottom w:val="0"/>
          <w:divBdr>
            <w:top w:val="none" w:sz="0" w:space="0" w:color="auto"/>
            <w:left w:val="none" w:sz="0" w:space="0" w:color="auto"/>
            <w:bottom w:val="none" w:sz="0" w:space="0" w:color="auto"/>
            <w:right w:val="none" w:sz="0" w:space="0" w:color="auto"/>
          </w:divBdr>
          <w:divsChild>
            <w:div w:id="18361663">
              <w:marLeft w:val="0"/>
              <w:marRight w:val="0"/>
              <w:marTop w:val="0"/>
              <w:marBottom w:val="0"/>
              <w:divBdr>
                <w:top w:val="none" w:sz="0" w:space="0" w:color="auto"/>
                <w:left w:val="none" w:sz="0" w:space="0" w:color="auto"/>
                <w:bottom w:val="none" w:sz="0" w:space="0" w:color="auto"/>
                <w:right w:val="none" w:sz="0" w:space="0" w:color="auto"/>
              </w:divBdr>
              <w:divsChild>
                <w:div w:id="409545064">
                  <w:marLeft w:val="0"/>
                  <w:marRight w:val="0"/>
                  <w:marTop w:val="0"/>
                  <w:marBottom w:val="0"/>
                  <w:divBdr>
                    <w:top w:val="none" w:sz="0" w:space="0" w:color="auto"/>
                    <w:left w:val="none" w:sz="0" w:space="0" w:color="auto"/>
                    <w:bottom w:val="none" w:sz="0" w:space="0" w:color="auto"/>
                    <w:right w:val="none" w:sz="0" w:space="0" w:color="auto"/>
                  </w:divBdr>
                  <w:divsChild>
                    <w:div w:id="1116874749">
                      <w:marLeft w:val="0"/>
                      <w:marRight w:val="0"/>
                      <w:marTop w:val="0"/>
                      <w:marBottom w:val="0"/>
                      <w:divBdr>
                        <w:top w:val="none" w:sz="0" w:space="0" w:color="auto"/>
                        <w:left w:val="none" w:sz="0" w:space="0" w:color="auto"/>
                        <w:bottom w:val="none" w:sz="0" w:space="0" w:color="auto"/>
                        <w:right w:val="none" w:sz="0" w:space="0" w:color="auto"/>
                      </w:divBdr>
                      <w:divsChild>
                        <w:div w:id="151408230">
                          <w:marLeft w:val="0"/>
                          <w:marRight w:val="0"/>
                          <w:marTop w:val="0"/>
                          <w:marBottom w:val="0"/>
                          <w:divBdr>
                            <w:top w:val="none" w:sz="0" w:space="0" w:color="auto"/>
                            <w:left w:val="none" w:sz="0" w:space="0" w:color="auto"/>
                            <w:bottom w:val="none" w:sz="0" w:space="0" w:color="auto"/>
                            <w:right w:val="none" w:sz="0" w:space="0" w:color="auto"/>
                          </w:divBdr>
                          <w:divsChild>
                            <w:div w:id="9406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848161">
      <w:bodyDiv w:val="1"/>
      <w:marLeft w:val="0"/>
      <w:marRight w:val="0"/>
      <w:marTop w:val="0"/>
      <w:marBottom w:val="0"/>
      <w:divBdr>
        <w:top w:val="none" w:sz="0" w:space="0" w:color="auto"/>
        <w:left w:val="none" w:sz="0" w:space="0" w:color="auto"/>
        <w:bottom w:val="none" w:sz="0" w:space="0" w:color="auto"/>
        <w:right w:val="none" w:sz="0" w:space="0" w:color="auto"/>
      </w:divBdr>
    </w:div>
    <w:div w:id="1737703035">
      <w:bodyDiv w:val="1"/>
      <w:marLeft w:val="0"/>
      <w:marRight w:val="0"/>
      <w:marTop w:val="0"/>
      <w:marBottom w:val="0"/>
      <w:divBdr>
        <w:top w:val="none" w:sz="0" w:space="0" w:color="auto"/>
        <w:left w:val="none" w:sz="0" w:space="0" w:color="auto"/>
        <w:bottom w:val="none" w:sz="0" w:space="0" w:color="auto"/>
        <w:right w:val="none" w:sz="0" w:space="0" w:color="auto"/>
      </w:divBdr>
    </w:div>
    <w:div w:id="1744794703">
      <w:bodyDiv w:val="1"/>
      <w:marLeft w:val="0"/>
      <w:marRight w:val="0"/>
      <w:marTop w:val="0"/>
      <w:marBottom w:val="0"/>
      <w:divBdr>
        <w:top w:val="none" w:sz="0" w:space="0" w:color="auto"/>
        <w:left w:val="none" w:sz="0" w:space="0" w:color="auto"/>
        <w:bottom w:val="none" w:sz="0" w:space="0" w:color="auto"/>
        <w:right w:val="none" w:sz="0" w:space="0" w:color="auto"/>
      </w:divBdr>
    </w:div>
    <w:div w:id="1794789238">
      <w:bodyDiv w:val="1"/>
      <w:marLeft w:val="0"/>
      <w:marRight w:val="0"/>
      <w:marTop w:val="0"/>
      <w:marBottom w:val="0"/>
      <w:divBdr>
        <w:top w:val="none" w:sz="0" w:space="0" w:color="auto"/>
        <w:left w:val="none" w:sz="0" w:space="0" w:color="auto"/>
        <w:bottom w:val="none" w:sz="0" w:space="0" w:color="auto"/>
        <w:right w:val="none" w:sz="0" w:space="0" w:color="auto"/>
      </w:divBdr>
    </w:div>
    <w:div w:id="1889417355">
      <w:bodyDiv w:val="1"/>
      <w:marLeft w:val="0"/>
      <w:marRight w:val="0"/>
      <w:marTop w:val="0"/>
      <w:marBottom w:val="0"/>
      <w:divBdr>
        <w:top w:val="none" w:sz="0" w:space="0" w:color="auto"/>
        <w:left w:val="none" w:sz="0" w:space="0" w:color="auto"/>
        <w:bottom w:val="none" w:sz="0" w:space="0" w:color="auto"/>
        <w:right w:val="none" w:sz="0" w:space="0" w:color="auto"/>
      </w:divBdr>
      <w:divsChild>
        <w:div w:id="1400712680">
          <w:marLeft w:val="0"/>
          <w:marRight w:val="0"/>
          <w:marTop w:val="0"/>
          <w:marBottom w:val="0"/>
          <w:divBdr>
            <w:top w:val="single" w:sz="6" w:space="0" w:color="5B616B"/>
            <w:left w:val="single" w:sz="6" w:space="0" w:color="5B616B"/>
            <w:bottom w:val="single" w:sz="6" w:space="0" w:color="5B616B"/>
            <w:right w:val="single" w:sz="6" w:space="0" w:color="5B616B"/>
          </w:divBdr>
        </w:div>
        <w:div w:id="2017725791">
          <w:marLeft w:val="0"/>
          <w:marRight w:val="0"/>
          <w:marTop w:val="0"/>
          <w:marBottom w:val="0"/>
          <w:divBdr>
            <w:top w:val="none" w:sz="0" w:space="0" w:color="auto"/>
            <w:left w:val="none" w:sz="0" w:space="0" w:color="auto"/>
            <w:bottom w:val="none" w:sz="0" w:space="0" w:color="auto"/>
            <w:right w:val="none" w:sz="0" w:space="0" w:color="auto"/>
          </w:divBdr>
          <w:divsChild>
            <w:div w:id="91304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70264">
      <w:bodyDiv w:val="1"/>
      <w:marLeft w:val="0"/>
      <w:marRight w:val="0"/>
      <w:marTop w:val="0"/>
      <w:marBottom w:val="0"/>
      <w:divBdr>
        <w:top w:val="none" w:sz="0" w:space="0" w:color="auto"/>
        <w:left w:val="none" w:sz="0" w:space="0" w:color="auto"/>
        <w:bottom w:val="none" w:sz="0" w:space="0" w:color="auto"/>
        <w:right w:val="none" w:sz="0" w:space="0" w:color="auto"/>
      </w:divBdr>
    </w:div>
    <w:div w:id="1961380693">
      <w:bodyDiv w:val="1"/>
      <w:marLeft w:val="0"/>
      <w:marRight w:val="0"/>
      <w:marTop w:val="0"/>
      <w:marBottom w:val="0"/>
      <w:divBdr>
        <w:top w:val="none" w:sz="0" w:space="0" w:color="auto"/>
        <w:left w:val="none" w:sz="0" w:space="0" w:color="auto"/>
        <w:bottom w:val="none" w:sz="0" w:space="0" w:color="auto"/>
        <w:right w:val="none" w:sz="0" w:space="0" w:color="auto"/>
      </w:divBdr>
    </w:div>
    <w:div w:id="1968508232">
      <w:bodyDiv w:val="1"/>
      <w:marLeft w:val="0"/>
      <w:marRight w:val="0"/>
      <w:marTop w:val="0"/>
      <w:marBottom w:val="0"/>
      <w:divBdr>
        <w:top w:val="none" w:sz="0" w:space="0" w:color="auto"/>
        <w:left w:val="none" w:sz="0" w:space="0" w:color="auto"/>
        <w:bottom w:val="none" w:sz="0" w:space="0" w:color="auto"/>
        <w:right w:val="none" w:sz="0" w:space="0" w:color="auto"/>
      </w:divBdr>
    </w:div>
    <w:div w:id="2121096574">
      <w:bodyDiv w:val="1"/>
      <w:marLeft w:val="0"/>
      <w:marRight w:val="0"/>
      <w:marTop w:val="0"/>
      <w:marBottom w:val="0"/>
      <w:divBdr>
        <w:top w:val="none" w:sz="0" w:space="0" w:color="auto"/>
        <w:left w:val="none" w:sz="0" w:space="0" w:color="auto"/>
        <w:bottom w:val="none" w:sz="0" w:space="0" w:color="auto"/>
        <w:right w:val="none" w:sz="0" w:space="0" w:color="auto"/>
      </w:divBdr>
    </w:div>
    <w:div w:id="214435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57A7C-C0EC-435C-B9F6-C5668BF0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7815</Words>
  <Characters>44550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Slater, Hannah</dc:creator>
  <cp:keywords/>
  <dc:description/>
  <cp:lastModifiedBy>Radha S</cp:lastModifiedBy>
  <cp:revision>2</cp:revision>
  <cp:lastPrinted>2021-03-31T19:20:00Z</cp:lastPrinted>
  <dcterms:created xsi:type="dcterms:W3CDTF">2021-12-31T13:30:00Z</dcterms:created>
  <dcterms:modified xsi:type="dcterms:W3CDTF">2021-12-31T13:30:00Z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id="AvMJNGSQ"/&gt;&lt;style id="http://www.zotero.org/styles/vancouver" locale="en-US" hasBibliography="1" bibliographyStyleHasBeenSet="1"/&gt;&lt;prefs&gt;&lt;pref name="fieldType" value="Field"/&gt;&lt;/prefs&gt;&lt;/data&gt;</vt:lpwstr>
  </property>
</Properties>
</file>