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F89DF" w14:textId="083A584B" w:rsidR="00F57216" w:rsidRPr="005F25C8" w:rsidRDefault="00F57216" w:rsidP="00F57216">
      <w:pPr>
        <w:spacing w:after="160" w:line="480" w:lineRule="auto"/>
        <w:rPr>
          <w:rFonts w:ascii="Times New Roman" w:eastAsia="Calibri" w:hAnsi="Times New Roman"/>
          <w:b/>
          <w:sz w:val="24"/>
        </w:rPr>
      </w:pPr>
      <w:bookmarkStart w:id="0" w:name="_GoBack"/>
      <w:bookmarkEnd w:id="0"/>
      <w:r w:rsidRPr="005F25C8">
        <w:rPr>
          <w:rFonts w:ascii="Times New Roman" w:eastAsia="Calibri" w:hAnsi="Times New Roman"/>
          <w:b/>
          <w:sz w:val="24"/>
        </w:rPr>
        <w:t xml:space="preserve">Table </w:t>
      </w:r>
      <w:r w:rsidR="005F25C8" w:rsidRPr="005F25C8">
        <w:rPr>
          <w:rFonts w:ascii="Times New Roman" w:eastAsia="Calibri" w:hAnsi="Times New Roman"/>
          <w:b/>
          <w:sz w:val="24"/>
        </w:rPr>
        <w:t>S</w:t>
      </w:r>
      <w:r w:rsidR="005F25C8">
        <w:rPr>
          <w:rFonts w:ascii="Times New Roman" w:eastAsia="Calibri" w:hAnsi="Times New Roman"/>
          <w:b/>
          <w:sz w:val="24"/>
        </w:rPr>
        <w:t>4</w:t>
      </w:r>
      <w:r w:rsidRPr="005F25C8">
        <w:rPr>
          <w:rFonts w:ascii="Times New Roman" w:eastAsia="Calibri" w:hAnsi="Times New Roman"/>
          <w:b/>
          <w:sz w:val="24"/>
        </w:rPr>
        <w:t xml:space="preserve">. </w:t>
      </w:r>
      <w:r w:rsidRPr="005F25C8">
        <w:rPr>
          <w:rFonts w:ascii="Times New Roman" w:eastAsia="Calibri" w:hAnsi="Times New Roman"/>
          <w:bCs/>
          <w:sz w:val="24"/>
        </w:rPr>
        <w:t xml:space="preserve">Readmission rates of patients with </w:t>
      </w:r>
      <w:r w:rsidRPr="005F25C8">
        <w:rPr>
          <w:rFonts w:ascii="Times New Roman" w:eastAsia="Calibri" w:hAnsi="Times New Roman"/>
          <w:bCs/>
          <w:i/>
          <w:sz w:val="24"/>
        </w:rPr>
        <w:t>Acinetobacter baumannii</w:t>
      </w:r>
      <w:r w:rsidRPr="005F25C8">
        <w:rPr>
          <w:rFonts w:ascii="Times New Roman" w:eastAsia="Calibri" w:hAnsi="Times New Roman"/>
          <w:bCs/>
          <w:sz w:val="24"/>
        </w:rPr>
        <w:t xml:space="preserve"> infections for survivors of index hospitali</w:t>
      </w:r>
      <w:r w:rsidR="008F5BC9" w:rsidRPr="005F25C8">
        <w:rPr>
          <w:rFonts w:ascii="Times New Roman" w:eastAsia="Calibri" w:hAnsi="Times New Roman"/>
          <w:bCs/>
          <w:sz w:val="24"/>
        </w:rPr>
        <w:t>z</w:t>
      </w:r>
      <w:r w:rsidRPr="005F25C8">
        <w:rPr>
          <w:rFonts w:ascii="Times New Roman" w:eastAsia="Calibri" w:hAnsi="Times New Roman"/>
          <w:bCs/>
          <w:sz w:val="24"/>
        </w:rPr>
        <w:t>ation, stratified by carbapenem susceptibility status, discharge location, and infectious agent</w:t>
      </w:r>
    </w:p>
    <w:tbl>
      <w:tblPr>
        <w:tblStyle w:val="TableGrid"/>
        <w:tblpPr w:leftFromText="181" w:rightFromText="181" w:topFromText="261" w:vertAnchor="text" w:horzAnchor="page" w:tblpX="749" w:tblpY="285"/>
        <w:tblW w:w="1560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305"/>
        <w:gridCol w:w="1538"/>
        <w:gridCol w:w="1415"/>
        <w:gridCol w:w="1583"/>
        <w:gridCol w:w="1112"/>
        <w:gridCol w:w="1440"/>
        <w:gridCol w:w="1415"/>
        <w:gridCol w:w="1415"/>
        <w:gridCol w:w="1564"/>
        <w:gridCol w:w="1148"/>
      </w:tblGrid>
      <w:tr w:rsidR="00F57216" w:rsidRPr="002E500B" w14:paraId="3738C228" w14:textId="77777777" w:rsidTr="00F57216">
        <w:trPr>
          <w:trHeight w:val="283"/>
        </w:trPr>
        <w:tc>
          <w:tcPr>
            <w:tcW w:w="1667" w:type="dxa"/>
            <w:vMerge w:val="restart"/>
          </w:tcPr>
          <w:p w14:paraId="319903D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  <w:p w14:paraId="5635CC3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Readmission</w:t>
            </w:r>
          </w:p>
        </w:tc>
        <w:tc>
          <w:tcPr>
            <w:tcW w:w="6953" w:type="dxa"/>
            <w:gridSpan w:val="5"/>
          </w:tcPr>
          <w:p w14:paraId="68E823C8" w14:textId="25698C24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resistant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1711</w:t>
            </w:r>
          </w:p>
        </w:tc>
        <w:tc>
          <w:tcPr>
            <w:tcW w:w="6982" w:type="dxa"/>
            <w:gridSpan w:val="5"/>
          </w:tcPr>
          <w:p w14:paraId="2CB1ACA3" w14:textId="1E8F6F56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susceptible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3129</w:t>
            </w:r>
          </w:p>
        </w:tc>
      </w:tr>
      <w:tr w:rsidR="00F57216" w:rsidRPr="002E500B" w14:paraId="0107BAD5" w14:textId="77777777" w:rsidTr="00F57216">
        <w:trPr>
          <w:trHeight w:val="498"/>
        </w:trPr>
        <w:tc>
          <w:tcPr>
            <w:tcW w:w="1667" w:type="dxa"/>
            <w:vMerge/>
          </w:tcPr>
          <w:p w14:paraId="177D435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305" w:type="dxa"/>
          </w:tcPr>
          <w:p w14:paraId="3B8C122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  <w:p w14:paraId="07A23872" w14:textId="3E2BD1D6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1711</w:t>
            </w:r>
          </w:p>
        </w:tc>
        <w:tc>
          <w:tcPr>
            <w:tcW w:w="1538" w:type="dxa"/>
          </w:tcPr>
          <w:p w14:paraId="755C16B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Discharged to hospice</w:t>
            </w:r>
          </w:p>
          <w:p w14:paraId="68DFAE16" w14:textId="321DDBCE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98</w:t>
            </w:r>
          </w:p>
        </w:tc>
        <w:tc>
          <w:tcPr>
            <w:tcW w:w="1415" w:type="dxa"/>
          </w:tcPr>
          <w:p w14:paraId="682672E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Discharged to home</w:t>
            </w:r>
          </w:p>
          <w:p w14:paraId="26132438" w14:textId="3E86383D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332</w:t>
            </w:r>
          </w:p>
        </w:tc>
        <w:tc>
          <w:tcPr>
            <w:tcW w:w="1583" w:type="dxa"/>
          </w:tcPr>
          <w:p w14:paraId="47614E7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Transferred to other facility</w:t>
            </w:r>
          </w:p>
          <w:p w14:paraId="7B0AED36" w14:textId="3E28642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1267</w:t>
            </w:r>
          </w:p>
        </w:tc>
        <w:tc>
          <w:tcPr>
            <w:tcW w:w="1112" w:type="dxa"/>
          </w:tcPr>
          <w:p w14:paraId="6D3B183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Other</w:t>
            </w:r>
          </w:p>
          <w:p w14:paraId="0F1DE475" w14:textId="2E97573B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14</w:t>
            </w:r>
          </w:p>
        </w:tc>
        <w:tc>
          <w:tcPr>
            <w:tcW w:w="1440" w:type="dxa"/>
          </w:tcPr>
          <w:p w14:paraId="08D21F9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  <w:p w14:paraId="0011C6F6" w14:textId="7EFA4035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3129</w:t>
            </w:r>
          </w:p>
        </w:tc>
        <w:tc>
          <w:tcPr>
            <w:tcW w:w="1415" w:type="dxa"/>
          </w:tcPr>
          <w:p w14:paraId="450A713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Discharged to hospice</w:t>
            </w:r>
          </w:p>
          <w:p w14:paraId="3CA5CDAE" w14:textId="617E1FEC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138</w:t>
            </w:r>
          </w:p>
        </w:tc>
        <w:tc>
          <w:tcPr>
            <w:tcW w:w="1415" w:type="dxa"/>
          </w:tcPr>
          <w:p w14:paraId="3FD0620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Discharged to home</w:t>
            </w:r>
          </w:p>
          <w:p w14:paraId="384C9961" w14:textId="3E9B858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1660</w:t>
            </w:r>
          </w:p>
        </w:tc>
        <w:tc>
          <w:tcPr>
            <w:tcW w:w="1564" w:type="dxa"/>
          </w:tcPr>
          <w:p w14:paraId="6DA4EFF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Transferred to other facility</w:t>
            </w:r>
          </w:p>
          <w:p w14:paraId="6B9776E7" w14:textId="325EE0A1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1253</w:t>
            </w:r>
          </w:p>
        </w:tc>
        <w:tc>
          <w:tcPr>
            <w:tcW w:w="1148" w:type="dxa"/>
          </w:tcPr>
          <w:p w14:paraId="2CB96C8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Other</w:t>
            </w:r>
          </w:p>
          <w:p w14:paraId="60859DE8" w14:textId="7E3BB55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br/>
            </w:r>
            <w:r w:rsidRPr="002E500B">
              <w:rPr>
                <w:rFonts w:ascii="Times New Roman" w:eastAsia="Calibri" w:hAnsi="Times New Roman"/>
                <w:bCs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bCs/>
                <w:sz w:val="24"/>
              </w:rPr>
              <w:t xml:space="preserve"> = 78</w:t>
            </w:r>
          </w:p>
        </w:tc>
      </w:tr>
      <w:tr w:rsidR="00F57216" w:rsidRPr="002E500B" w14:paraId="60B07075" w14:textId="77777777" w:rsidTr="00F57216">
        <w:trPr>
          <w:trHeight w:val="283"/>
        </w:trPr>
        <w:tc>
          <w:tcPr>
            <w:tcW w:w="15602" w:type="dxa"/>
            <w:gridSpan w:val="11"/>
          </w:tcPr>
          <w:p w14:paraId="20971FEC" w14:textId="31721AAE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Readmission due to any cause, n (%)</w:t>
            </w:r>
            <w:r w:rsidR="00ED5811" w:rsidRPr="002E500B">
              <w:rPr>
                <w:rFonts w:ascii="Times New Roman" w:eastAsia="Calibri" w:hAnsi="Times New Roman"/>
                <w:bCs/>
                <w:sz w:val="24"/>
                <w:vertAlign w:val="superscript"/>
              </w:rPr>
              <w:t>*</w:t>
            </w:r>
          </w:p>
        </w:tc>
      </w:tr>
      <w:tr w:rsidR="00F57216" w:rsidRPr="002E500B" w14:paraId="12713D48" w14:textId="77777777" w:rsidTr="00F57216">
        <w:trPr>
          <w:trHeight w:val="283"/>
        </w:trPr>
        <w:tc>
          <w:tcPr>
            <w:tcW w:w="1667" w:type="dxa"/>
          </w:tcPr>
          <w:p w14:paraId="6BD7280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</w:tc>
        <w:tc>
          <w:tcPr>
            <w:tcW w:w="1305" w:type="dxa"/>
          </w:tcPr>
          <w:p w14:paraId="3827B63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999 (58.4)</w:t>
            </w:r>
          </w:p>
        </w:tc>
        <w:tc>
          <w:tcPr>
            <w:tcW w:w="1538" w:type="dxa"/>
          </w:tcPr>
          <w:p w14:paraId="66871B6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24 (24.5)</w:t>
            </w:r>
          </w:p>
        </w:tc>
        <w:tc>
          <w:tcPr>
            <w:tcW w:w="1415" w:type="dxa"/>
          </w:tcPr>
          <w:p w14:paraId="6832FEB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237 (71.4)</w:t>
            </w:r>
          </w:p>
        </w:tc>
        <w:tc>
          <w:tcPr>
            <w:tcW w:w="1583" w:type="dxa"/>
          </w:tcPr>
          <w:p w14:paraId="076239C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729 (57.5)</w:t>
            </w:r>
          </w:p>
        </w:tc>
        <w:tc>
          <w:tcPr>
            <w:tcW w:w="1112" w:type="dxa"/>
          </w:tcPr>
          <w:p w14:paraId="5E4E45F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9 (64.3)</w:t>
            </w:r>
          </w:p>
        </w:tc>
        <w:tc>
          <w:tcPr>
            <w:tcW w:w="1440" w:type="dxa"/>
          </w:tcPr>
          <w:p w14:paraId="7BDF6FBE" w14:textId="7732398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1778 (56.8)</w:t>
            </w:r>
          </w:p>
        </w:tc>
        <w:tc>
          <w:tcPr>
            <w:tcW w:w="1415" w:type="dxa"/>
          </w:tcPr>
          <w:p w14:paraId="45CEC9C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30 (21.7)</w:t>
            </w:r>
          </w:p>
        </w:tc>
        <w:tc>
          <w:tcPr>
            <w:tcW w:w="1415" w:type="dxa"/>
          </w:tcPr>
          <w:p w14:paraId="291EC329" w14:textId="1260C166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1028 (61.9)</w:t>
            </w:r>
          </w:p>
        </w:tc>
        <w:tc>
          <w:tcPr>
            <w:tcW w:w="1564" w:type="dxa"/>
          </w:tcPr>
          <w:p w14:paraId="1C31D1C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671 (53.6)</w:t>
            </w:r>
          </w:p>
        </w:tc>
        <w:tc>
          <w:tcPr>
            <w:tcW w:w="1148" w:type="dxa"/>
          </w:tcPr>
          <w:p w14:paraId="3E4905D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49 (62.8)</w:t>
            </w:r>
          </w:p>
        </w:tc>
      </w:tr>
      <w:tr w:rsidR="00F57216" w:rsidRPr="002E500B" w14:paraId="74982E2B" w14:textId="77777777" w:rsidTr="00F57216">
        <w:trPr>
          <w:trHeight w:val="283"/>
        </w:trPr>
        <w:tc>
          <w:tcPr>
            <w:tcW w:w="1667" w:type="dxa"/>
          </w:tcPr>
          <w:p w14:paraId="1D48AD8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305" w:type="dxa"/>
          </w:tcPr>
          <w:p w14:paraId="0835DAA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432 (25.3)</w:t>
            </w:r>
          </w:p>
        </w:tc>
        <w:tc>
          <w:tcPr>
            <w:tcW w:w="1538" w:type="dxa"/>
          </w:tcPr>
          <w:p w14:paraId="15110A0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22 (22.5)</w:t>
            </w:r>
          </w:p>
        </w:tc>
        <w:tc>
          <w:tcPr>
            <w:tcW w:w="1415" w:type="dxa"/>
          </w:tcPr>
          <w:p w14:paraId="49B9DF6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105 (31.6)</w:t>
            </w:r>
          </w:p>
        </w:tc>
        <w:tc>
          <w:tcPr>
            <w:tcW w:w="1583" w:type="dxa"/>
          </w:tcPr>
          <w:p w14:paraId="7ABCECE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299 (23.6)</w:t>
            </w:r>
          </w:p>
        </w:tc>
        <w:tc>
          <w:tcPr>
            <w:tcW w:w="1112" w:type="dxa"/>
          </w:tcPr>
          <w:p w14:paraId="3CD93C6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(42.9)</w:t>
            </w:r>
          </w:p>
        </w:tc>
        <w:tc>
          <w:tcPr>
            <w:tcW w:w="1440" w:type="dxa"/>
          </w:tcPr>
          <w:p w14:paraId="74EDFC6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703 (22.5)</w:t>
            </w:r>
          </w:p>
        </w:tc>
        <w:tc>
          <w:tcPr>
            <w:tcW w:w="1415" w:type="dxa"/>
          </w:tcPr>
          <w:p w14:paraId="68F9BB5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27 (19.6)</w:t>
            </w:r>
          </w:p>
        </w:tc>
        <w:tc>
          <w:tcPr>
            <w:tcW w:w="1415" w:type="dxa"/>
          </w:tcPr>
          <w:p w14:paraId="4F95A9A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386 (23.3)</w:t>
            </w:r>
          </w:p>
        </w:tc>
        <w:tc>
          <w:tcPr>
            <w:tcW w:w="1564" w:type="dxa"/>
          </w:tcPr>
          <w:p w14:paraId="3B99BDA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265 (21.2)</w:t>
            </w:r>
          </w:p>
        </w:tc>
        <w:tc>
          <w:tcPr>
            <w:tcW w:w="1148" w:type="dxa"/>
          </w:tcPr>
          <w:p w14:paraId="140DE85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25 (32.1)</w:t>
            </w:r>
          </w:p>
        </w:tc>
      </w:tr>
      <w:tr w:rsidR="00F57216" w:rsidRPr="002E500B" w14:paraId="7B9CD052" w14:textId="77777777" w:rsidTr="00F57216">
        <w:tc>
          <w:tcPr>
            <w:tcW w:w="1667" w:type="dxa"/>
          </w:tcPr>
          <w:p w14:paraId="0D302787" w14:textId="4E2AEBC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>ation to first readmission, median (Q1–Q3)</w:t>
            </w:r>
          </w:p>
        </w:tc>
        <w:tc>
          <w:tcPr>
            <w:tcW w:w="1305" w:type="dxa"/>
          </w:tcPr>
          <w:p w14:paraId="0B691BE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(12.0–105.0)</w:t>
            </w:r>
          </w:p>
        </w:tc>
        <w:tc>
          <w:tcPr>
            <w:tcW w:w="1538" w:type="dxa"/>
          </w:tcPr>
          <w:p w14:paraId="5A60D0D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(0.0–2.0)</w:t>
            </w:r>
          </w:p>
        </w:tc>
        <w:tc>
          <w:tcPr>
            <w:tcW w:w="1415" w:type="dxa"/>
          </w:tcPr>
          <w:p w14:paraId="4F3903C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40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(14.0–116.0)</w:t>
            </w:r>
          </w:p>
        </w:tc>
        <w:tc>
          <w:tcPr>
            <w:tcW w:w="1583" w:type="dxa"/>
          </w:tcPr>
          <w:p w14:paraId="5953A9A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(13.0–106.0)</w:t>
            </w:r>
          </w:p>
        </w:tc>
        <w:tc>
          <w:tcPr>
            <w:tcW w:w="1112" w:type="dxa"/>
          </w:tcPr>
          <w:p w14:paraId="79A1931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(3.0–161.0)</w:t>
            </w:r>
          </w:p>
        </w:tc>
        <w:tc>
          <w:tcPr>
            <w:tcW w:w="1440" w:type="dxa"/>
          </w:tcPr>
          <w:p w14:paraId="46949E2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(13.0–163.0)</w:t>
            </w:r>
          </w:p>
        </w:tc>
        <w:tc>
          <w:tcPr>
            <w:tcW w:w="1415" w:type="dxa"/>
          </w:tcPr>
          <w:p w14:paraId="4E839B5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(0.0–0.0)</w:t>
            </w:r>
          </w:p>
        </w:tc>
        <w:tc>
          <w:tcPr>
            <w:tcW w:w="1415" w:type="dxa"/>
          </w:tcPr>
          <w:p w14:paraId="29EAAD9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(16.0–174.50)</w:t>
            </w:r>
          </w:p>
        </w:tc>
        <w:tc>
          <w:tcPr>
            <w:tcW w:w="1564" w:type="dxa"/>
          </w:tcPr>
          <w:p w14:paraId="2B12966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52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(11.0–161.0)</w:t>
            </w:r>
          </w:p>
        </w:tc>
        <w:tc>
          <w:tcPr>
            <w:tcW w:w="1148" w:type="dxa"/>
          </w:tcPr>
          <w:p w14:paraId="031FF23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(12.0–146.0)</w:t>
            </w:r>
          </w:p>
        </w:tc>
      </w:tr>
      <w:tr w:rsidR="00F57216" w:rsidRPr="002E500B" w14:paraId="34641681" w14:textId="77777777" w:rsidTr="00F57216">
        <w:trPr>
          <w:trHeight w:val="283"/>
        </w:trPr>
        <w:tc>
          <w:tcPr>
            <w:tcW w:w="15602" w:type="dxa"/>
            <w:gridSpan w:val="11"/>
          </w:tcPr>
          <w:p w14:paraId="49F0C28A" w14:textId="5CC8427B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Readmission with any Gram-negative organism isolated, n (%)</w:t>
            </w:r>
            <w:r w:rsidR="00ED5811" w:rsidRPr="002E500B">
              <w:rPr>
                <w:rFonts w:ascii="Times New Roman" w:eastAsia="Calibri" w:hAnsi="Times New Roman"/>
                <w:sz w:val="24"/>
                <w:vertAlign w:val="superscript"/>
              </w:rPr>
              <w:t>*,</w:t>
            </w:r>
            <w:r w:rsidR="00ED5811" w:rsidRPr="002E500B">
              <w:rPr>
                <w:rFonts w:eastAsia="Calibri" w:cs="Arial"/>
                <w:sz w:val="24"/>
                <w:vertAlign w:val="superscript"/>
              </w:rPr>
              <w:t>†</w:t>
            </w:r>
          </w:p>
        </w:tc>
      </w:tr>
      <w:tr w:rsidR="00F57216" w:rsidRPr="002E500B" w14:paraId="1899D7B8" w14:textId="77777777" w:rsidTr="00F57216">
        <w:trPr>
          <w:trHeight w:val="283"/>
        </w:trPr>
        <w:tc>
          <w:tcPr>
            <w:tcW w:w="1667" w:type="dxa"/>
          </w:tcPr>
          <w:p w14:paraId="7EC01BB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</w:tc>
        <w:tc>
          <w:tcPr>
            <w:tcW w:w="1305" w:type="dxa"/>
          </w:tcPr>
          <w:p w14:paraId="2AF3446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623 (36.4)</w:t>
            </w:r>
          </w:p>
        </w:tc>
        <w:tc>
          <w:tcPr>
            <w:tcW w:w="1538" w:type="dxa"/>
          </w:tcPr>
          <w:p w14:paraId="5194A51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5 (5.1)</w:t>
            </w:r>
          </w:p>
        </w:tc>
        <w:tc>
          <w:tcPr>
            <w:tcW w:w="1415" w:type="dxa"/>
          </w:tcPr>
          <w:p w14:paraId="4E8E7CF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145 (43.7)</w:t>
            </w:r>
          </w:p>
        </w:tc>
        <w:tc>
          <w:tcPr>
            <w:tcW w:w="1583" w:type="dxa"/>
          </w:tcPr>
          <w:p w14:paraId="4B5CAAC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468 (36.9)</w:t>
            </w:r>
          </w:p>
        </w:tc>
        <w:tc>
          <w:tcPr>
            <w:tcW w:w="1112" w:type="dxa"/>
          </w:tcPr>
          <w:p w14:paraId="3D10841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5 (35.7)</w:t>
            </w:r>
          </w:p>
        </w:tc>
        <w:tc>
          <w:tcPr>
            <w:tcW w:w="1440" w:type="dxa"/>
          </w:tcPr>
          <w:p w14:paraId="3DA81A2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694 (22.2)</w:t>
            </w:r>
          </w:p>
        </w:tc>
        <w:tc>
          <w:tcPr>
            <w:tcW w:w="1415" w:type="dxa"/>
          </w:tcPr>
          <w:p w14:paraId="74FF518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 (2.9)</w:t>
            </w:r>
          </w:p>
        </w:tc>
        <w:tc>
          <w:tcPr>
            <w:tcW w:w="1415" w:type="dxa"/>
          </w:tcPr>
          <w:p w14:paraId="01E7BDA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393 (23.7)</w:t>
            </w:r>
          </w:p>
        </w:tc>
        <w:tc>
          <w:tcPr>
            <w:tcW w:w="1564" w:type="dxa"/>
          </w:tcPr>
          <w:p w14:paraId="326465A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281 (22.4)</w:t>
            </w:r>
          </w:p>
        </w:tc>
        <w:tc>
          <w:tcPr>
            <w:tcW w:w="1148" w:type="dxa"/>
          </w:tcPr>
          <w:p w14:paraId="509C55F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16 (20.5)</w:t>
            </w:r>
          </w:p>
        </w:tc>
      </w:tr>
      <w:tr w:rsidR="00F57216" w:rsidRPr="002E500B" w14:paraId="16D03AF4" w14:textId="77777777" w:rsidTr="00F57216">
        <w:trPr>
          <w:trHeight w:val="283"/>
        </w:trPr>
        <w:tc>
          <w:tcPr>
            <w:tcW w:w="1667" w:type="dxa"/>
          </w:tcPr>
          <w:p w14:paraId="60F567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305" w:type="dxa"/>
          </w:tcPr>
          <w:p w14:paraId="41838E6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197 (11.5)</w:t>
            </w:r>
          </w:p>
        </w:tc>
        <w:tc>
          <w:tcPr>
            <w:tcW w:w="1538" w:type="dxa"/>
          </w:tcPr>
          <w:p w14:paraId="6EF9C3B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(4.1)</w:t>
            </w:r>
          </w:p>
        </w:tc>
        <w:tc>
          <w:tcPr>
            <w:tcW w:w="1415" w:type="dxa"/>
          </w:tcPr>
          <w:p w14:paraId="7ED6A20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45 (13.6)</w:t>
            </w:r>
          </w:p>
        </w:tc>
        <w:tc>
          <w:tcPr>
            <w:tcW w:w="1583" w:type="dxa"/>
          </w:tcPr>
          <w:p w14:paraId="0B125F9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145 (11.4)</w:t>
            </w:r>
          </w:p>
        </w:tc>
        <w:tc>
          <w:tcPr>
            <w:tcW w:w="1112" w:type="dxa"/>
          </w:tcPr>
          <w:p w14:paraId="5AE9687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 (21.4)</w:t>
            </w:r>
          </w:p>
        </w:tc>
        <w:tc>
          <w:tcPr>
            <w:tcW w:w="1440" w:type="dxa"/>
          </w:tcPr>
          <w:p w14:paraId="475868F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176 (5.6)</w:t>
            </w:r>
          </w:p>
        </w:tc>
        <w:tc>
          <w:tcPr>
            <w:tcW w:w="1415" w:type="dxa"/>
          </w:tcPr>
          <w:p w14:paraId="25BF316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(0.7)</w:t>
            </w:r>
          </w:p>
        </w:tc>
        <w:tc>
          <w:tcPr>
            <w:tcW w:w="1415" w:type="dxa"/>
          </w:tcPr>
          <w:p w14:paraId="32D82C2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95 (5.7)</w:t>
            </w:r>
          </w:p>
        </w:tc>
        <w:tc>
          <w:tcPr>
            <w:tcW w:w="1564" w:type="dxa"/>
          </w:tcPr>
          <w:p w14:paraId="2A2333F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71 (5.7)</w:t>
            </w:r>
          </w:p>
        </w:tc>
        <w:tc>
          <w:tcPr>
            <w:tcW w:w="1148" w:type="dxa"/>
          </w:tcPr>
          <w:p w14:paraId="238DED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(11.5)</w:t>
            </w:r>
          </w:p>
        </w:tc>
      </w:tr>
      <w:tr w:rsidR="00F57216" w:rsidRPr="002E500B" w14:paraId="3EFA9A63" w14:textId="77777777" w:rsidTr="00F57216">
        <w:tc>
          <w:tcPr>
            <w:tcW w:w="1667" w:type="dxa"/>
          </w:tcPr>
          <w:p w14:paraId="4D725C2F" w14:textId="5FA2FD04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>ation to first readmission, median (Q1–Q3)</w:t>
            </w:r>
          </w:p>
        </w:tc>
        <w:tc>
          <w:tcPr>
            <w:tcW w:w="1305" w:type="dxa"/>
          </w:tcPr>
          <w:p w14:paraId="3747641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58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(23.0–151.0)</w:t>
            </w:r>
          </w:p>
        </w:tc>
        <w:tc>
          <w:tcPr>
            <w:tcW w:w="1538" w:type="dxa"/>
          </w:tcPr>
          <w:p w14:paraId="48D7D19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(5.0–24.0)</w:t>
            </w:r>
          </w:p>
        </w:tc>
        <w:tc>
          <w:tcPr>
            <w:tcW w:w="1415" w:type="dxa"/>
          </w:tcPr>
          <w:p w14:paraId="1A8FBA9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(23.0–156.0)</w:t>
            </w:r>
          </w:p>
        </w:tc>
        <w:tc>
          <w:tcPr>
            <w:tcW w:w="1583" w:type="dxa"/>
          </w:tcPr>
          <w:p w14:paraId="16F6D41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62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(23.0–151.5)</w:t>
            </w:r>
          </w:p>
        </w:tc>
        <w:tc>
          <w:tcPr>
            <w:tcW w:w="1112" w:type="dxa"/>
          </w:tcPr>
          <w:p w14:paraId="1632E23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(20.0–34.0)</w:t>
            </w:r>
          </w:p>
        </w:tc>
        <w:tc>
          <w:tcPr>
            <w:tcW w:w="1440" w:type="dxa"/>
          </w:tcPr>
          <w:p w14:paraId="391C9DB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(30.0–246.0)</w:t>
            </w:r>
          </w:p>
        </w:tc>
        <w:tc>
          <w:tcPr>
            <w:tcW w:w="1415" w:type="dxa"/>
          </w:tcPr>
          <w:p w14:paraId="19DA36A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62.5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(43.5–677.5)</w:t>
            </w:r>
          </w:p>
        </w:tc>
        <w:tc>
          <w:tcPr>
            <w:tcW w:w="1415" w:type="dxa"/>
          </w:tcPr>
          <w:p w14:paraId="636EF2E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96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(31.0–261.0)</w:t>
            </w:r>
          </w:p>
        </w:tc>
        <w:tc>
          <w:tcPr>
            <w:tcW w:w="1564" w:type="dxa"/>
          </w:tcPr>
          <w:p w14:paraId="3269E3D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(30.0–227.0)</w:t>
            </w:r>
          </w:p>
        </w:tc>
        <w:tc>
          <w:tcPr>
            <w:tcW w:w="1148" w:type="dxa"/>
          </w:tcPr>
          <w:p w14:paraId="235640A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24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(15.0–121.0)</w:t>
            </w:r>
          </w:p>
        </w:tc>
      </w:tr>
      <w:tr w:rsidR="00F57216" w:rsidRPr="002E500B" w14:paraId="6AA6A4A8" w14:textId="77777777" w:rsidTr="00F57216">
        <w:trPr>
          <w:trHeight w:val="283"/>
        </w:trPr>
        <w:tc>
          <w:tcPr>
            <w:tcW w:w="15602" w:type="dxa"/>
            <w:gridSpan w:val="11"/>
          </w:tcPr>
          <w:p w14:paraId="2F019465" w14:textId="099B5676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Readmission with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A. baumannii</w:t>
            </w:r>
            <w:r w:rsidRPr="002E500B">
              <w:rPr>
                <w:rFonts w:ascii="Times New Roman" w:eastAsia="Calibri" w:hAnsi="Times New Roman"/>
                <w:sz w:val="24"/>
              </w:rPr>
              <w:t>, n (%)</w:t>
            </w:r>
            <w:r w:rsidR="00ED5811" w:rsidRPr="002E500B">
              <w:rPr>
                <w:rFonts w:ascii="Times New Roman" w:eastAsia="Calibri" w:hAnsi="Times New Roman"/>
                <w:sz w:val="24"/>
                <w:vertAlign w:val="superscript"/>
              </w:rPr>
              <w:t>*</w:t>
            </w:r>
          </w:p>
        </w:tc>
      </w:tr>
      <w:tr w:rsidR="00F57216" w:rsidRPr="002E500B" w14:paraId="5D9481B8" w14:textId="77777777" w:rsidTr="00F57216">
        <w:trPr>
          <w:trHeight w:val="283"/>
        </w:trPr>
        <w:tc>
          <w:tcPr>
            <w:tcW w:w="1667" w:type="dxa"/>
          </w:tcPr>
          <w:p w14:paraId="1607A33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Overall</w:t>
            </w:r>
          </w:p>
        </w:tc>
        <w:tc>
          <w:tcPr>
            <w:tcW w:w="1305" w:type="dxa"/>
          </w:tcPr>
          <w:p w14:paraId="3E0C405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305 (17.8)</w:t>
            </w:r>
          </w:p>
        </w:tc>
        <w:tc>
          <w:tcPr>
            <w:tcW w:w="1538" w:type="dxa"/>
          </w:tcPr>
          <w:p w14:paraId="770CB2D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 (4.1)</w:t>
            </w:r>
          </w:p>
        </w:tc>
        <w:tc>
          <w:tcPr>
            <w:tcW w:w="1415" w:type="dxa"/>
          </w:tcPr>
          <w:p w14:paraId="3D3540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71 (21.4)</w:t>
            </w:r>
          </w:p>
        </w:tc>
        <w:tc>
          <w:tcPr>
            <w:tcW w:w="1583" w:type="dxa"/>
          </w:tcPr>
          <w:p w14:paraId="3EF6D9C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228 (18.0)</w:t>
            </w:r>
          </w:p>
        </w:tc>
        <w:tc>
          <w:tcPr>
            <w:tcW w:w="1112" w:type="dxa"/>
          </w:tcPr>
          <w:p w14:paraId="1F0DFBF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2 (14.3)</w:t>
            </w:r>
          </w:p>
        </w:tc>
        <w:tc>
          <w:tcPr>
            <w:tcW w:w="1440" w:type="dxa"/>
          </w:tcPr>
          <w:p w14:paraId="7687130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125 (4.0)</w:t>
            </w:r>
          </w:p>
        </w:tc>
        <w:tc>
          <w:tcPr>
            <w:tcW w:w="1415" w:type="dxa"/>
          </w:tcPr>
          <w:p w14:paraId="36F2FD5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0</w:t>
            </w:r>
          </w:p>
        </w:tc>
        <w:tc>
          <w:tcPr>
            <w:tcW w:w="1415" w:type="dxa"/>
          </w:tcPr>
          <w:p w14:paraId="22EECD9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72 (4.3)</w:t>
            </w:r>
          </w:p>
        </w:tc>
        <w:tc>
          <w:tcPr>
            <w:tcW w:w="1564" w:type="dxa"/>
          </w:tcPr>
          <w:p w14:paraId="3E52473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48 (3.8)</w:t>
            </w:r>
          </w:p>
        </w:tc>
        <w:tc>
          <w:tcPr>
            <w:tcW w:w="1148" w:type="dxa"/>
          </w:tcPr>
          <w:p w14:paraId="7583D52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bCs/>
                <w:sz w:val="24"/>
              </w:rPr>
            </w:pPr>
            <w:r w:rsidRPr="002E500B">
              <w:rPr>
                <w:rFonts w:ascii="Times New Roman" w:eastAsia="Calibri" w:hAnsi="Times New Roman"/>
                <w:bCs/>
                <w:sz w:val="24"/>
              </w:rPr>
              <w:t>5 (6.4)</w:t>
            </w:r>
          </w:p>
        </w:tc>
      </w:tr>
      <w:tr w:rsidR="00F57216" w:rsidRPr="002E500B" w14:paraId="6F1BD1D2" w14:textId="77777777" w:rsidTr="00F57216">
        <w:trPr>
          <w:trHeight w:val="283"/>
        </w:trPr>
        <w:tc>
          <w:tcPr>
            <w:tcW w:w="1667" w:type="dxa"/>
          </w:tcPr>
          <w:p w14:paraId="254160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Within 30 days</w:t>
            </w:r>
          </w:p>
        </w:tc>
        <w:tc>
          <w:tcPr>
            <w:tcW w:w="1305" w:type="dxa"/>
          </w:tcPr>
          <w:p w14:paraId="5812E97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106 (6.2)</w:t>
            </w:r>
          </w:p>
        </w:tc>
        <w:tc>
          <w:tcPr>
            <w:tcW w:w="1538" w:type="dxa"/>
          </w:tcPr>
          <w:p w14:paraId="6892B17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(4.1)</w:t>
            </w:r>
          </w:p>
        </w:tc>
        <w:tc>
          <w:tcPr>
            <w:tcW w:w="1415" w:type="dxa"/>
          </w:tcPr>
          <w:p w14:paraId="5EAF60D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23 (6.9)</w:t>
            </w:r>
          </w:p>
        </w:tc>
        <w:tc>
          <w:tcPr>
            <w:tcW w:w="1583" w:type="dxa"/>
          </w:tcPr>
          <w:p w14:paraId="0923424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78 (6.2)</w:t>
            </w:r>
          </w:p>
        </w:tc>
        <w:tc>
          <w:tcPr>
            <w:tcW w:w="1112" w:type="dxa"/>
          </w:tcPr>
          <w:p w14:paraId="28B217F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(7.1)</w:t>
            </w:r>
          </w:p>
        </w:tc>
        <w:tc>
          <w:tcPr>
            <w:tcW w:w="1440" w:type="dxa"/>
          </w:tcPr>
          <w:p w14:paraId="534D98A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41 (1.3)</w:t>
            </w:r>
          </w:p>
        </w:tc>
        <w:tc>
          <w:tcPr>
            <w:tcW w:w="1415" w:type="dxa"/>
          </w:tcPr>
          <w:p w14:paraId="62E6DEB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415" w:type="dxa"/>
          </w:tcPr>
          <w:p w14:paraId="4DFA0ED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22 (1.3)</w:t>
            </w:r>
          </w:p>
        </w:tc>
        <w:tc>
          <w:tcPr>
            <w:tcW w:w="1564" w:type="dxa"/>
          </w:tcPr>
          <w:p w14:paraId="0D17D5C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 (1.2)</w:t>
            </w:r>
          </w:p>
        </w:tc>
        <w:tc>
          <w:tcPr>
            <w:tcW w:w="1148" w:type="dxa"/>
          </w:tcPr>
          <w:p w14:paraId="666FEE7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(5.1)</w:t>
            </w:r>
          </w:p>
        </w:tc>
      </w:tr>
      <w:tr w:rsidR="00F57216" w:rsidRPr="002E500B" w14:paraId="5E2409F0" w14:textId="77777777" w:rsidTr="00F57216">
        <w:tc>
          <w:tcPr>
            <w:tcW w:w="1667" w:type="dxa"/>
          </w:tcPr>
          <w:p w14:paraId="194D64E5" w14:textId="0AD15B3F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Days between discharge from index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>ation to first readmission, median (Q1–Q3)</w:t>
            </w:r>
          </w:p>
        </w:tc>
        <w:tc>
          <w:tcPr>
            <w:tcW w:w="1305" w:type="dxa"/>
          </w:tcPr>
          <w:p w14:paraId="4924658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(20.0–122.0)</w:t>
            </w:r>
          </w:p>
        </w:tc>
        <w:tc>
          <w:tcPr>
            <w:tcW w:w="1538" w:type="dxa"/>
          </w:tcPr>
          <w:p w14:paraId="1458D38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8.5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(4.0–18.0)</w:t>
            </w:r>
          </w:p>
        </w:tc>
        <w:tc>
          <w:tcPr>
            <w:tcW w:w="1415" w:type="dxa"/>
          </w:tcPr>
          <w:p w14:paraId="2EB88F5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(20.0–137.0)</w:t>
            </w:r>
          </w:p>
        </w:tc>
        <w:tc>
          <w:tcPr>
            <w:tcW w:w="1583" w:type="dxa"/>
          </w:tcPr>
          <w:p w14:paraId="795F71D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(21.5–122.5)</w:t>
            </w:r>
          </w:p>
        </w:tc>
        <w:tc>
          <w:tcPr>
            <w:tcW w:w="1112" w:type="dxa"/>
          </w:tcPr>
          <w:p w14:paraId="5D9E32C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40.5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(3.0–78.0)</w:t>
            </w:r>
          </w:p>
        </w:tc>
        <w:tc>
          <w:tcPr>
            <w:tcW w:w="1440" w:type="dxa"/>
          </w:tcPr>
          <w:p w14:paraId="190E934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79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(18.0–185.0)</w:t>
            </w:r>
          </w:p>
        </w:tc>
        <w:tc>
          <w:tcPr>
            <w:tcW w:w="1415" w:type="dxa"/>
          </w:tcPr>
          <w:p w14:paraId="5F359B6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–</w:t>
            </w:r>
          </w:p>
        </w:tc>
        <w:tc>
          <w:tcPr>
            <w:tcW w:w="1415" w:type="dxa"/>
          </w:tcPr>
          <w:p w14:paraId="2696D11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(23.0–227.0)</w:t>
            </w:r>
          </w:p>
        </w:tc>
        <w:tc>
          <w:tcPr>
            <w:tcW w:w="1564" w:type="dxa"/>
          </w:tcPr>
          <w:p w14:paraId="02E0856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68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(19.5–155.0)</w:t>
            </w:r>
          </w:p>
        </w:tc>
        <w:tc>
          <w:tcPr>
            <w:tcW w:w="1148" w:type="dxa"/>
          </w:tcPr>
          <w:p w14:paraId="7A6A614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</w:t>
            </w:r>
            <w:r w:rsidRPr="002E500B">
              <w:rPr>
                <w:rFonts w:ascii="Times New Roman" w:eastAsia="Calibri" w:hAnsi="Times New Roman"/>
                <w:sz w:val="24"/>
              </w:rPr>
              <w:br/>
              <w:t>(12.0–20.0)</w:t>
            </w:r>
          </w:p>
        </w:tc>
      </w:tr>
    </w:tbl>
    <w:p w14:paraId="279E1EDF" w14:textId="5DC8C6A7" w:rsidR="00F57216" w:rsidRPr="002E500B" w:rsidRDefault="00ED5811" w:rsidP="00F57216">
      <w:pPr>
        <w:spacing w:after="160" w:line="480" w:lineRule="auto"/>
        <w:rPr>
          <w:rFonts w:ascii="Times New Roman" w:eastAsia="Calibri" w:hAnsi="Times New Roman"/>
          <w:sz w:val="24"/>
        </w:rPr>
      </w:pPr>
      <w:r w:rsidRPr="002E500B">
        <w:rPr>
          <w:rFonts w:ascii="Times New Roman" w:eastAsia="Calibri" w:hAnsi="Times New Roman"/>
          <w:sz w:val="24"/>
          <w:vertAlign w:val="superscript"/>
        </w:rPr>
        <w:t>*</w:t>
      </w:r>
      <w:r w:rsidR="00F57216" w:rsidRPr="002E500B">
        <w:rPr>
          <w:rFonts w:ascii="Times New Roman" w:eastAsia="Calibri" w:hAnsi="Times New Roman"/>
          <w:sz w:val="24"/>
        </w:rPr>
        <w:t xml:space="preserve">Unless otherwise specified. </w:t>
      </w:r>
    </w:p>
    <w:p w14:paraId="78130CF4" w14:textId="5CE87B23" w:rsidR="00F57216" w:rsidRPr="002E500B" w:rsidRDefault="00ED5811" w:rsidP="00F57216">
      <w:pPr>
        <w:spacing w:after="160" w:line="480" w:lineRule="auto"/>
        <w:rPr>
          <w:rFonts w:ascii="Times New Roman" w:eastAsia="Calibri" w:hAnsi="Times New Roman"/>
          <w:sz w:val="24"/>
        </w:rPr>
      </w:pPr>
      <w:r w:rsidRPr="002E500B">
        <w:rPr>
          <w:rFonts w:eastAsia="Calibri" w:cs="Arial"/>
          <w:sz w:val="24"/>
          <w:vertAlign w:val="superscript"/>
        </w:rPr>
        <w:t>†</w:t>
      </w:r>
      <w:r w:rsidR="00F57216" w:rsidRPr="002E500B">
        <w:rPr>
          <w:rFonts w:ascii="Times New Roman" w:eastAsia="Calibri" w:hAnsi="Times New Roman"/>
          <w:sz w:val="24"/>
        </w:rPr>
        <w:t xml:space="preserve">Most commonly isolated Gram-negative organisms included </w:t>
      </w:r>
      <w:r w:rsidR="00F57216" w:rsidRPr="002E500B">
        <w:rPr>
          <w:rFonts w:ascii="Times New Roman" w:eastAsia="Calibri" w:hAnsi="Times New Roman"/>
          <w:i/>
          <w:iCs/>
          <w:sz w:val="24"/>
        </w:rPr>
        <w:t>Escherichia coli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Enterobacter cloacae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Klebsiella aerogenes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Klebsiella oxytoca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Klebsiella pneumoniae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Morganella morganii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Proteus mirabilis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Serratia marcescens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Acinetobacter baumannii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Pseudomonas aeruginosa</w:t>
      </w:r>
      <w:r w:rsidR="00F57216" w:rsidRPr="002E500B">
        <w:rPr>
          <w:rFonts w:ascii="Times New Roman" w:eastAsia="Calibri" w:hAnsi="Times New Roman"/>
          <w:sz w:val="24"/>
        </w:rPr>
        <w:t xml:space="preserve">, </w:t>
      </w:r>
      <w:r w:rsidR="00F57216" w:rsidRPr="002E500B">
        <w:rPr>
          <w:rFonts w:ascii="Times New Roman" w:eastAsia="Calibri" w:hAnsi="Times New Roman"/>
          <w:i/>
          <w:iCs/>
          <w:sz w:val="24"/>
        </w:rPr>
        <w:t>Stenotrophomonas maltophilia</w:t>
      </w:r>
      <w:r w:rsidR="00F57216" w:rsidRPr="002E500B">
        <w:rPr>
          <w:rFonts w:ascii="Times New Roman" w:eastAsia="Calibri" w:hAnsi="Times New Roman"/>
          <w:sz w:val="24"/>
        </w:rPr>
        <w:t xml:space="preserve">.  </w:t>
      </w:r>
    </w:p>
    <w:p w14:paraId="355250E0" w14:textId="72F4F5A0" w:rsidR="00F57216" w:rsidRPr="002E500B" w:rsidRDefault="00F57216">
      <w:pPr>
        <w:spacing w:after="160" w:line="259" w:lineRule="auto"/>
        <w:rPr>
          <w:rFonts w:ascii="Times New Roman" w:eastAsia="Calibri" w:hAnsi="Times New Roman"/>
          <w:sz w:val="24"/>
        </w:rPr>
      </w:pPr>
    </w:p>
    <w:sectPr w:rsidR="00F57216" w:rsidRPr="002E500B" w:rsidSect="00985B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17AC5" w14:textId="77777777" w:rsidR="00A416D6" w:rsidRDefault="00A416D6" w:rsidP="00593667">
      <w:r>
        <w:separator/>
      </w:r>
    </w:p>
  </w:endnote>
  <w:endnote w:type="continuationSeparator" w:id="0">
    <w:p w14:paraId="10262048" w14:textId="77777777" w:rsidR="00A416D6" w:rsidRDefault="00A416D6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8D3B4" w14:textId="77777777" w:rsidR="00A416D6" w:rsidRDefault="00A416D6" w:rsidP="00593667">
      <w:r>
        <w:separator/>
      </w:r>
    </w:p>
  </w:footnote>
  <w:footnote w:type="continuationSeparator" w:id="0">
    <w:p w14:paraId="0E874CF5" w14:textId="77777777" w:rsidR="00A416D6" w:rsidRDefault="00A416D6" w:rsidP="00593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0F65"/>
    <w:rsid w:val="000D39C0"/>
    <w:rsid w:val="000E01E4"/>
    <w:rsid w:val="000E1DA1"/>
    <w:rsid w:val="000E20CB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3F89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416D6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3874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9EE3A-FFF4-401D-96C5-577E14C26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2</cp:revision>
  <cp:lastPrinted>2021-03-08T17:13:00Z</cp:lastPrinted>
  <dcterms:created xsi:type="dcterms:W3CDTF">2021-12-31T11:44:00Z</dcterms:created>
  <dcterms:modified xsi:type="dcterms:W3CDTF">2021-12-31T11:44:00Z</dcterms:modified>
</cp:coreProperties>
</file>