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AF344" w14:textId="77777777" w:rsidR="00832B78" w:rsidRPr="000F5EEC" w:rsidRDefault="00832B78" w:rsidP="00832B78">
      <w:pPr>
        <w:rPr>
          <w:sz w:val="32"/>
          <w:szCs w:val="32"/>
        </w:rPr>
      </w:pPr>
      <w:bookmarkStart w:id="0" w:name="_Hlk69994156"/>
      <w:r w:rsidRPr="000F5EEC">
        <w:rPr>
          <w:sz w:val="32"/>
          <w:szCs w:val="32"/>
        </w:rPr>
        <w:t>Supplementary files</w:t>
      </w:r>
    </w:p>
    <w:p w14:paraId="56A37E93" w14:textId="77777777" w:rsidR="00832B78" w:rsidRDefault="00832B78" w:rsidP="00832B78"/>
    <w:p w14:paraId="593BA571" w14:textId="37970F21" w:rsidR="00832B78" w:rsidRDefault="00832B78" w:rsidP="00832B78">
      <w:r>
        <w:t>Fig</w:t>
      </w:r>
      <w:r w:rsidR="005B2B60">
        <w:t>.</w:t>
      </w:r>
      <w:r>
        <w:t xml:space="preserve"> S1 Heatmap of leprosy cases in Pamekasan and Pasuruan.</w:t>
      </w:r>
    </w:p>
    <w:p w14:paraId="6046CA4C" w14:textId="373DDF8E" w:rsidR="00832B78" w:rsidRDefault="00832B78" w:rsidP="00832B78">
      <w:r>
        <w:t>Fig</w:t>
      </w:r>
      <w:r w:rsidR="005B2B60">
        <w:t>.</w:t>
      </w:r>
      <w:r>
        <w:t xml:space="preserve"> S2 </w:t>
      </w:r>
      <w:r w:rsidRPr="008A13A8">
        <w:t>Cluster maps of leprosy cases registered from 2014 to 2016 of Pamekasan and Pasuruan</w:t>
      </w:r>
      <w:r>
        <w:t>.</w:t>
      </w:r>
    </w:p>
    <w:p w14:paraId="16CBB52E" w14:textId="35B8DFAA" w:rsidR="00832B78" w:rsidRDefault="00832B78" w:rsidP="00832B78">
      <w:r w:rsidRPr="002C00FB">
        <w:t>Fi</w:t>
      </w:r>
      <w:r>
        <w:t>le S3</w:t>
      </w:r>
      <w:r w:rsidRPr="002C00FB">
        <w:t xml:space="preserve"> </w:t>
      </w:r>
      <w:r w:rsidR="00897A18">
        <w:t>H</w:t>
      </w:r>
      <w:r>
        <w:t xml:space="preserve">ow a </w:t>
      </w:r>
      <w:r w:rsidRPr="002C00FB">
        <w:t xml:space="preserve">guideline </w:t>
      </w:r>
      <w:r>
        <w:t xml:space="preserve">can be set up </w:t>
      </w:r>
      <w:r w:rsidRPr="002C00FB">
        <w:t xml:space="preserve">to select the heatmap radius and cluster </w:t>
      </w:r>
      <w:r>
        <w:t>density.</w:t>
      </w:r>
    </w:p>
    <w:p w14:paraId="04F821BD" w14:textId="77777777" w:rsidR="005B2B60" w:rsidRDefault="005B2B60" w:rsidP="00832B78"/>
    <w:bookmarkEnd w:id="0"/>
    <w:p w14:paraId="1FF26AF2" w14:textId="7E2AF5D7" w:rsidR="00832B78" w:rsidRDefault="00BD7045" w:rsidP="00832B78">
      <w:r>
        <w:rPr>
          <w:noProof/>
        </w:rPr>
        <w:drawing>
          <wp:inline distT="0" distB="0" distL="0" distR="0" wp14:anchorId="51263DF4" wp14:editId="7FD03313">
            <wp:extent cx="5980814" cy="2857500"/>
            <wp:effectExtent l="0" t="0" r="127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5">
                      <a:extLst>
                        <a:ext uri="{28A0092B-C50C-407E-A947-70E740481C1C}">
                          <a14:useLocalDpi xmlns:a14="http://schemas.microsoft.com/office/drawing/2010/main" val="0"/>
                        </a:ext>
                      </a:extLst>
                    </a:blip>
                    <a:srcRect l="10526" t="11623" r="3358" b="15234"/>
                    <a:stretch/>
                  </pic:blipFill>
                  <pic:spPr bwMode="auto">
                    <a:xfrm>
                      <a:off x="0" y="0"/>
                      <a:ext cx="5983967" cy="2859007"/>
                    </a:xfrm>
                    <a:prstGeom prst="rect">
                      <a:avLst/>
                    </a:prstGeom>
                    <a:ln>
                      <a:noFill/>
                    </a:ln>
                    <a:extLst>
                      <a:ext uri="{53640926-AAD7-44D8-BBD7-CCE9431645EC}">
                        <a14:shadowObscured xmlns:a14="http://schemas.microsoft.com/office/drawing/2010/main"/>
                      </a:ext>
                    </a:extLst>
                  </pic:spPr>
                </pic:pic>
              </a:graphicData>
            </a:graphic>
          </wp:inline>
        </w:drawing>
      </w:r>
    </w:p>
    <w:p w14:paraId="31FD9976" w14:textId="77777777" w:rsidR="00832B78" w:rsidRDefault="00832B78" w:rsidP="00832B78"/>
    <w:p w14:paraId="3B1AA28A" w14:textId="5CD0D083" w:rsidR="00832B78" w:rsidRPr="008A13A8" w:rsidRDefault="00832B78" w:rsidP="00832B78">
      <w:pPr>
        <w:pStyle w:val="Caption"/>
        <w:rPr>
          <w:b/>
          <w:bCs/>
          <w:i w:val="0"/>
          <w:iCs w:val="0"/>
          <w:color w:val="auto"/>
          <w:sz w:val="22"/>
          <w:szCs w:val="22"/>
        </w:rPr>
      </w:pPr>
      <w:r w:rsidRPr="008A13A8">
        <w:rPr>
          <w:b/>
          <w:bCs/>
          <w:i w:val="0"/>
          <w:iCs w:val="0"/>
          <w:color w:val="auto"/>
          <w:sz w:val="22"/>
          <w:szCs w:val="22"/>
        </w:rPr>
        <w:t>Fig</w:t>
      </w:r>
      <w:r w:rsidR="005B2B60">
        <w:rPr>
          <w:b/>
          <w:bCs/>
          <w:i w:val="0"/>
          <w:iCs w:val="0"/>
          <w:color w:val="auto"/>
          <w:sz w:val="22"/>
          <w:szCs w:val="22"/>
        </w:rPr>
        <w:t>.</w:t>
      </w:r>
      <w:r w:rsidRPr="008A13A8">
        <w:rPr>
          <w:b/>
          <w:bCs/>
          <w:i w:val="0"/>
          <w:iCs w:val="0"/>
          <w:color w:val="auto"/>
          <w:sz w:val="22"/>
          <w:szCs w:val="22"/>
        </w:rPr>
        <w:t xml:space="preserve"> S1 Heatmap of leprosy cases using a 1500 m radius </w:t>
      </w:r>
      <w:r>
        <w:rPr>
          <w:b/>
          <w:bCs/>
          <w:i w:val="0"/>
          <w:iCs w:val="0"/>
          <w:color w:val="auto"/>
          <w:sz w:val="22"/>
          <w:szCs w:val="22"/>
        </w:rPr>
        <w:t xml:space="preserve">and singleband pseudocolor yellow to brown </w:t>
      </w:r>
      <w:r w:rsidRPr="008A13A8">
        <w:rPr>
          <w:b/>
          <w:bCs/>
          <w:i w:val="0"/>
          <w:iCs w:val="0"/>
          <w:color w:val="auto"/>
          <w:sz w:val="22"/>
          <w:szCs w:val="22"/>
        </w:rPr>
        <w:t xml:space="preserve">for Pamekasan (left) and Pasuruan (right). A darker </w:t>
      </w:r>
      <w:r>
        <w:rPr>
          <w:b/>
          <w:bCs/>
          <w:i w:val="0"/>
          <w:iCs w:val="0"/>
          <w:color w:val="auto"/>
          <w:sz w:val="22"/>
          <w:szCs w:val="22"/>
        </w:rPr>
        <w:t>colour</w:t>
      </w:r>
      <w:r w:rsidRPr="008A13A8">
        <w:rPr>
          <w:b/>
          <w:bCs/>
          <w:i w:val="0"/>
          <w:iCs w:val="0"/>
          <w:color w:val="auto"/>
          <w:sz w:val="22"/>
          <w:szCs w:val="22"/>
        </w:rPr>
        <w:t xml:space="preserve"> indicates higher </w:t>
      </w:r>
      <w:r>
        <w:rPr>
          <w:b/>
          <w:bCs/>
          <w:i w:val="0"/>
          <w:iCs w:val="0"/>
          <w:color w:val="auto"/>
          <w:sz w:val="22"/>
          <w:szCs w:val="22"/>
        </w:rPr>
        <w:t xml:space="preserve">density and </w:t>
      </w:r>
      <w:r w:rsidRPr="008A13A8">
        <w:rPr>
          <w:b/>
          <w:bCs/>
          <w:i w:val="0"/>
          <w:iCs w:val="0"/>
          <w:color w:val="auto"/>
          <w:sz w:val="22"/>
          <w:szCs w:val="22"/>
        </w:rPr>
        <w:t>value.</w:t>
      </w:r>
    </w:p>
    <w:p w14:paraId="07DA651F" w14:textId="77777777" w:rsidR="00832B78" w:rsidRDefault="00832B78" w:rsidP="00832B78">
      <w:r>
        <w:br w:type="page"/>
      </w:r>
    </w:p>
    <w:p w14:paraId="7C5A1212" w14:textId="77777777" w:rsidR="008D1EE0" w:rsidRDefault="008D1EE0" w:rsidP="00832B78">
      <w:pPr>
        <w:rPr>
          <w:b/>
          <w:bCs/>
        </w:rPr>
      </w:pPr>
      <w:r>
        <w:rPr>
          <w:b/>
          <w:bCs/>
          <w:noProof/>
        </w:rPr>
        <w:lastRenderedPageBreak/>
        <w:drawing>
          <wp:inline distT="0" distB="0" distL="0" distR="0" wp14:anchorId="1798B162" wp14:editId="69B236A2">
            <wp:extent cx="4819650" cy="7305040"/>
            <wp:effectExtent l="0" t="0" r="0" b="0"/>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pic:nvPicPr>
                  <pic:blipFill rotWithShape="1">
                    <a:blip r:embed="rId6">
                      <a:extLst>
                        <a:ext uri="{28A0092B-C50C-407E-A947-70E740481C1C}">
                          <a14:useLocalDpi xmlns:a14="http://schemas.microsoft.com/office/drawing/2010/main" val="0"/>
                        </a:ext>
                      </a:extLst>
                    </a:blip>
                    <a:srcRect l="3523" t="2756" r="8877" b="5322"/>
                    <a:stretch/>
                  </pic:blipFill>
                  <pic:spPr bwMode="auto">
                    <a:xfrm>
                      <a:off x="0" y="0"/>
                      <a:ext cx="4819650" cy="7305040"/>
                    </a:xfrm>
                    <a:prstGeom prst="rect">
                      <a:avLst/>
                    </a:prstGeom>
                    <a:ln>
                      <a:noFill/>
                    </a:ln>
                    <a:extLst>
                      <a:ext uri="{53640926-AAD7-44D8-BBD7-CCE9431645EC}">
                        <a14:shadowObscured xmlns:a14="http://schemas.microsoft.com/office/drawing/2010/main"/>
                      </a:ext>
                    </a:extLst>
                  </pic:spPr>
                </pic:pic>
              </a:graphicData>
            </a:graphic>
          </wp:inline>
        </w:drawing>
      </w:r>
    </w:p>
    <w:p w14:paraId="00A44CE0" w14:textId="0EBC60EB" w:rsidR="00832B78" w:rsidRDefault="00832B78" w:rsidP="00832B78">
      <w:pPr>
        <w:rPr>
          <w:b/>
          <w:bCs/>
        </w:rPr>
      </w:pPr>
      <w:r w:rsidRPr="0090157E">
        <w:rPr>
          <w:b/>
          <w:bCs/>
        </w:rPr>
        <w:t>Fig S2</w:t>
      </w:r>
      <w:r w:rsidR="005B2B60">
        <w:rPr>
          <w:b/>
          <w:bCs/>
        </w:rPr>
        <w:t xml:space="preserve"> </w:t>
      </w:r>
      <w:r w:rsidRPr="0090157E">
        <w:rPr>
          <w:b/>
          <w:bCs/>
        </w:rPr>
        <w:t xml:space="preserve">Cluster maps of leprosy cases registered from 2014 to 2016 of Pamekasan (left) and Pasuruan (right) by heatmap radius and cluster density. Heatmap radius varies from 500 meter (top row) to 2500 meter (bottom row). The blue </w:t>
      </w:r>
      <w:r>
        <w:rPr>
          <w:b/>
          <w:bCs/>
        </w:rPr>
        <w:t>colour</w:t>
      </w:r>
      <w:r w:rsidRPr="0090157E">
        <w:rPr>
          <w:b/>
          <w:bCs/>
        </w:rPr>
        <w:t xml:space="preserve"> represents low density clusters, the orange </w:t>
      </w:r>
      <w:r>
        <w:rPr>
          <w:b/>
          <w:bCs/>
        </w:rPr>
        <w:t>colour</w:t>
      </w:r>
      <w:r w:rsidRPr="0090157E">
        <w:rPr>
          <w:b/>
          <w:bCs/>
        </w:rPr>
        <w:t xml:space="preserve"> represents moderate density clusters, and the green </w:t>
      </w:r>
      <w:r>
        <w:rPr>
          <w:b/>
          <w:bCs/>
        </w:rPr>
        <w:t>colour</w:t>
      </w:r>
      <w:r w:rsidRPr="0090157E">
        <w:rPr>
          <w:b/>
          <w:bCs/>
        </w:rPr>
        <w:t xml:space="preserve"> represents high density clusters</w:t>
      </w:r>
      <w:r>
        <w:rPr>
          <w:b/>
          <w:bCs/>
        </w:rPr>
        <w:t>.</w:t>
      </w:r>
      <w:r>
        <w:rPr>
          <w:b/>
          <w:bCs/>
        </w:rPr>
        <w:br w:type="page"/>
      </w:r>
    </w:p>
    <w:p w14:paraId="3A25E007" w14:textId="1A165821" w:rsidR="00832B78" w:rsidRPr="00BB445B" w:rsidRDefault="00832B78" w:rsidP="00832B78">
      <w:pPr>
        <w:rPr>
          <w:b/>
          <w:bCs/>
          <w:sz w:val="24"/>
          <w:szCs w:val="24"/>
        </w:rPr>
      </w:pPr>
      <w:r w:rsidRPr="00BB445B">
        <w:rPr>
          <w:b/>
          <w:bCs/>
          <w:sz w:val="24"/>
          <w:szCs w:val="24"/>
        </w:rPr>
        <w:lastRenderedPageBreak/>
        <w:t xml:space="preserve">File S3 </w:t>
      </w:r>
      <w:r w:rsidR="00897A18">
        <w:rPr>
          <w:b/>
          <w:bCs/>
          <w:sz w:val="24"/>
          <w:szCs w:val="24"/>
        </w:rPr>
        <w:t>H</w:t>
      </w:r>
      <w:r w:rsidRPr="00BB445B">
        <w:rPr>
          <w:b/>
          <w:bCs/>
          <w:sz w:val="24"/>
          <w:szCs w:val="24"/>
        </w:rPr>
        <w:t>ow a guideline can be set up to select the heatmap radius and cluster density.</w:t>
      </w:r>
    </w:p>
    <w:p w14:paraId="5A103E4A" w14:textId="77777777" w:rsidR="00832B78" w:rsidRDefault="00832B78" w:rsidP="00832B78">
      <w:pPr>
        <w:pStyle w:val="Caption"/>
        <w:rPr>
          <w:b/>
          <w:i w:val="0"/>
          <w:iCs w:val="0"/>
          <w:color w:val="auto"/>
          <w:sz w:val="22"/>
          <w:szCs w:val="22"/>
        </w:rPr>
      </w:pPr>
    </w:p>
    <w:p w14:paraId="3C3288B5" w14:textId="77777777" w:rsidR="00832B78" w:rsidRPr="0090157E" w:rsidRDefault="00832B78" w:rsidP="00832B78">
      <w:pPr>
        <w:pStyle w:val="Caption"/>
        <w:rPr>
          <w:b/>
          <w:sz w:val="22"/>
          <w:szCs w:val="22"/>
        </w:rPr>
      </w:pPr>
      <w:r w:rsidRPr="0090157E">
        <w:rPr>
          <w:b/>
          <w:i w:val="0"/>
          <w:iCs w:val="0"/>
          <w:color w:val="auto"/>
          <w:sz w:val="22"/>
          <w:szCs w:val="22"/>
        </w:rPr>
        <w:t>Steps</w:t>
      </w:r>
    </w:p>
    <w:p w14:paraId="79B349D6" w14:textId="77777777" w:rsidR="00832B78" w:rsidRPr="0090157E" w:rsidRDefault="00832B78" w:rsidP="00832B78">
      <w:pPr>
        <w:pStyle w:val="ListParagraph"/>
        <w:numPr>
          <w:ilvl w:val="0"/>
          <w:numId w:val="1"/>
        </w:numPr>
        <w:spacing w:line="480" w:lineRule="auto"/>
        <w:rPr>
          <w:bCs/>
        </w:rPr>
      </w:pPr>
      <w:r w:rsidRPr="0090157E">
        <w:rPr>
          <w:bCs/>
        </w:rPr>
        <w:t xml:space="preserve">Define the project area (e.g., country, state, province, district), the period (years) of leprosy cases to be collected and analyzed, and the level of data (e.g., household, village). </w:t>
      </w:r>
    </w:p>
    <w:p w14:paraId="6E249EE2" w14:textId="77777777" w:rsidR="00832B78" w:rsidRPr="0090157E" w:rsidRDefault="00832B78" w:rsidP="00832B78">
      <w:pPr>
        <w:pStyle w:val="ListParagraph"/>
        <w:numPr>
          <w:ilvl w:val="0"/>
          <w:numId w:val="1"/>
        </w:numPr>
        <w:spacing w:line="480" w:lineRule="auto"/>
        <w:rPr>
          <w:bCs/>
        </w:rPr>
      </w:pPr>
      <w:r w:rsidRPr="0090157E">
        <w:rPr>
          <w:bCs/>
        </w:rPr>
        <w:t xml:space="preserve">Upload all data points, project area boundaries and population data in QGIS. </w:t>
      </w:r>
    </w:p>
    <w:p w14:paraId="0DF045F5" w14:textId="77777777" w:rsidR="00832B78" w:rsidRPr="0090157E" w:rsidRDefault="00832B78" w:rsidP="00832B78">
      <w:pPr>
        <w:pStyle w:val="ListParagraph"/>
        <w:numPr>
          <w:ilvl w:val="0"/>
          <w:numId w:val="1"/>
        </w:numPr>
        <w:spacing w:line="480" w:lineRule="auto"/>
        <w:rPr>
          <w:bCs/>
        </w:rPr>
      </w:pPr>
      <w:r w:rsidRPr="0090157E">
        <w:rPr>
          <w:bCs/>
        </w:rPr>
        <w:t>Calculate the NCDR per subunit (e.g., village, neighbo</w:t>
      </w:r>
      <w:r>
        <w:rPr>
          <w:bCs/>
        </w:rPr>
        <w:t>u</w:t>
      </w:r>
      <w:r w:rsidRPr="0090157E">
        <w:rPr>
          <w:bCs/>
        </w:rPr>
        <w:t>rhood, subdistrict)</w:t>
      </w:r>
      <w:r>
        <w:rPr>
          <w:bCs/>
        </w:rPr>
        <w:t xml:space="preserve"> per 1,000,000 population</w:t>
      </w:r>
      <w:r w:rsidRPr="0090157E">
        <w:rPr>
          <w:bCs/>
        </w:rPr>
        <w:t>.</w:t>
      </w:r>
    </w:p>
    <w:p w14:paraId="55B8733D" w14:textId="77777777" w:rsidR="00832B78" w:rsidRPr="0090157E" w:rsidRDefault="00832B78" w:rsidP="00832B78">
      <w:pPr>
        <w:pStyle w:val="ListParagraph"/>
        <w:numPr>
          <w:ilvl w:val="0"/>
          <w:numId w:val="1"/>
        </w:numPr>
        <w:spacing w:line="480" w:lineRule="auto"/>
        <w:rPr>
          <w:bCs/>
        </w:rPr>
      </w:pPr>
      <w:r w:rsidRPr="0090157E">
        <w:rPr>
          <w:bCs/>
          <w:noProof/>
        </w:rPr>
        <mc:AlternateContent>
          <mc:Choice Requires="wps">
            <w:drawing>
              <wp:anchor distT="0" distB="0" distL="114300" distR="114300" simplePos="0" relativeHeight="251665408" behindDoc="1" locked="0" layoutInCell="1" allowOverlap="1" wp14:anchorId="4C50B3EE" wp14:editId="4F1391F8">
                <wp:simplePos x="0" y="0"/>
                <wp:positionH relativeFrom="column">
                  <wp:posOffset>2900679</wp:posOffset>
                </wp:positionH>
                <wp:positionV relativeFrom="paragraph">
                  <wp:posOffset>343535</wp:posOffset>
                </wp:positionV>
                <wp:extent cx="1152525" cy="180000"/>
                <wp:effectExtent l="0" t="0" r="9525" b="0"/>
                <wp:wrapNone/>
                <wp:docPr id="18" name="Rectangle: Rounded Corners 18"/>
                <wp:cNvGraphicFramePr/>
                <a:graphic xmlns:a="http://schemas.openxmlformats.org/drawingml/2006/main">
                  <a:graphicData uri="http://schemas.microsoft.com/office/word/2010/wordprocessingShape">
                    <wps:wsp>
                      <wps:cNvSpPr/>
                      <wps:spPr>
                        <a:xfrm>
                          <a:off x="0" y="0"/>
                          <a:ext cx="1152525" cy="180000"/>
                        </a:xfrm>
                        <a:prstGeom prst="roundRect">
                          <a:avLst/>
                        </a:prstGeom>
                        <a:solidFill>
                          <a:srgbClr val="F8AD9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3F279F" id="Rectangle: Rounded Corners 18" o:spid="_x0000_s1026" style="position:absolute;margin-left:228.4pt;margin-top:27.05pt;width:90.75pt;height:1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" fillcolor="#f8ad96" stroked="f" strokeweight="1pt">
                <v:stroke joinstyle="miter"/>
              </v:roundrect>
            </w:pict>
          </mc:Fallback>
        </mc:AlternateContent>
      </w:r>
      <w:r w:rsidRPr="0090157E">
        <w:rPr>
          <w:bCs/>
        </w:rPr>
        <w:t xml:space="preserve">Calculate the Moran’s I value </w:t>
      </w:r>
      <w:r>
        <w:t>in ClusterSeer</w:t>
      </w:r>
      <w:r w:rsidRPr="0090157E">
        <w:rPr>
          <w:bCs/>
        </w:rPr>
        <w:t xml:space="preserve"> using the tool ‘Univariate Moran’s I’.</w:t>
      </w:r>
    </w:p>
    <w:p w14:paraId="2029BD95" w14:textId="77777777" w:rsidR="00832B78" w:rsidRPr="0090157E" w:rsidRDefault="00832B78" w:rsidP="00832B78">
      <w:pPr>
        <w:pStyle w:val="ListParagraph"/>
        <w:numPr>
          <w:ilvl w:val="0"/>
          <w:numId w:val="1"/>
        </w:numPr>
        <w:spacing w:line="480" w:lineRule="auto"/>
        <w:rPr>
          <w:bCs/>
        </w:rPr>
      </w:pPr>
      <w:r w:rsidRPr="0090157E">
        <w:rPr>
          <w:bCs/>
        </w:rPr>
        <w:t>Start at the left side of the diagram. Define</w:t>
      </w:r>
      <w:r w:rsidRPr="00A63259">
        <w:rPr>
          <w:bCs/>
        </w:rPr>
        <w:t xml:space="preserve"> </w:t>
      </w:r>
      <w:r w:rsidRPr="0090157E">
        <w:rPr>
          <w:bCs/>
        </w:rPr>
        <w:t xml:space="preserve">the distribution of cases using the Moran’s I value. With a positive value of </w:t>
      </w:r>
      <w:r>
        <w:rPr>
          <w:bCs/>
        </w:rPr>
        <w:t>0</w:t>
      </w:r>
      <w:r w:rsidRPr="0090157E">
        <w:rPr>
          <w:bCs/>
        </w:rPr>
        <w:t>.</w:t>
      </w:r>
      <w:r>
        <w:rPr>
          <w:bCs/>
        </w:rPr>
        <w:t>4</w:t>
      </w:r>
      <w:r w:rsidRPr="0090157E">
        <w:rPr>
          <w:bCs/>
        </w:rPr>
        <w:t xml:space="preserve"> and above select ‘focused’, with a value below 0.4 select ‘</w:t>
      </w:r>
      <w:r>
        <w:rPr>
          <w:bCs/>
        </w:rPr>
        <w:t>diffused</w:t>
      </w:r>
      <w:r w:rsidRPr="0090157E">
        <w:rPr>
          <w:bCs/>
        </w:rPr>
        <w:t>’.</w:t>
      </w:r>
    </w:p>
    <w:p w14:paraId="7C5ACF79" w14:textId="77777777" w:rsidR="00832B78" w:rsidRPr="000761B6" w:rsidRDefault="00832B78" w:rsidP="00832B78">
      <w:pPr>
        <w:pStyle w:val="ListParagraph"/>
        <w:numPr>
          <w:ilvl w:val="0"/>
          <w:numId w:val="1"/>
        </w:numPr>
        <w:spacing w:line="480" w:lineRule="auto"/>
        <w:rPr>
          <w:bCs/>
        </w:rPr>
      </w:pPr>
      <w:r w:rsidRPr="0090157E">
        <w:rPr>
          <w:bCs/>
          <w:noProof/>
        </w:rPr>
        <mc:AlternateContent>
          <mc:Choice Requires="wps">
            <w:drawing>
              <wp:anchor distT="0" distB="0" distL="114300" distR="114300" simplePos="0" relativeHeight="251667456" behindDoc="1" locked="0" layoutInCell="1" allowOverlap="1" wp14:anchorId="3CD3AF23" wp14:editId="1FF2959A">
                <wp:simplePos x="0" y="0"/>
                <wp:positionH relativeFrom="column">
                  <wp:posOffset>805180</wp:posOffset>
                </wp:positionH>
                <wp:positionV relativeFrom="paragraph">
                  <wp:posOffset>5715</wp:posOffset>
                </wp:positionV>
                <wp:extent cx="2505075" cy="179705"/>
                <wp:effectExtent l="0" t="0" r="9525" b="0"/>
                <wp:wrapNone/>
                <wp:docPr id="10" name="Rectangle: Rounded Corners 21"/>
                <wp:cNvGraphicFramePr/>
                <a:graphic xmlns:a="http://schemas.openxmlformats.org/drawingml/2006/main">
                  <a:graphicData uri="http://schemas.microsoft.com/office/word/2010/wordprocessingShape">
                    <wps:wsp>
                      <wps:cNvSpPr/>
                      <wps:spPr>
                        <a:xfrm>
                          <a:off x="0" y="0"/>
                          <a:ext cx="2505075" cy="179705"/>
                        </a:xfrm>
                        <a:prstGeom prst="roundRect">
                          <a:avLst/>
                        </a:prstGeom>
                        <a:solidFill>
                          <a:srgbClr val="FFF1A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574EE9" id="Rectangle: Rounded Corners 21" o:spid="_x0000_s1026" style="position:absolute;margin-left:63.4pt;margin-top:.45pt;width:197.25pt;height:14.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" fillcolor="#fff1aa" stroked="f" strokeweight="1pt">
                <v:stroke joinstyle="miter"/>
              </v:roundrect>
            </w:pict>
          </mc:Fallback>
        </mc:AlternateContent>
      </w:r>
      <w:r w:rsidRPr="000761B6">
        <w:rPr>
          <w:bCs/>
          <w:noProof/>
        </w:rPr>
        <w:t xml:space="preserve">Select the </w:t>
      </w:r>
      <w:r w:rsidRPr="000761B6">
        <w:rPr>
          <w:bCs/>
        </w:rPr>
        <w:t>proportion of total leprosy cases in clusters whose contacts</w:t>
      </w:r>
      <w:r>
        <w:rPr>
          <w:bCs/>
        </w:rPr>
        <w:t xml:space="preserve"> you wish to target for PEP</w:t>
      </w:r>
      <w:r w:rsidRPr="000761B6">
        <w:rPr>
          <w:bCs/>
        </w:rPr>
        <w:t xml:space="preserve">: ‘&lt; 25%’, ‘25-50%’, ‘50-75%’, or ‘&gt; 75%’. </w:t>
      </w:r>
    </w:p>
    <w:p w14:paraId="42D646B3" w14:textId="77777777" w:rsidR="00832B78" w:rsidRPr="008B02AE" w:rsidRDefault="00832B78" w:rsidP="00832B78">
      <w:pPr>
        <w:pStyle w:val="ListParagraph"/>
        <w:numPr>
          <w:ilvl w:val="0"/>
          <w:numId w:val="1"/>
        </w:numPr>
        <w:spacing w:line="480" w:lineRule="auto"/>
        <w:rPr>
          <w:bCs/>
        </w:rPr>
      </w:pPr>
      <w:r w:rsidRPr="0090157E">
        <w:rPr>
          <w:bCs/>
          <w:noProof/>
        </w:rPr>
        <mc:AlternateContent>
          <mc:Choice Requires="wps">
            <w:drawing>
              <wp:anchor distT="0" distB="0" distL="114300" distR="114300" simplePos="0" relativeHeight="251666432" behindDoc="1" locked="0" layoutInCell="1" allowOverlap="1" wp14:anchorId="3861FE27" wp14:editId="225FE367">
                <wp:simplePos x="0" y="0"/>
                <wp:positionH relativeFrom="column">
                  <wp:posOffset>696595</wp:posOffset>
                </wp:positionH>
                <wp:positionV relativeFrom="paragraph">
                  <wp:posOffset>11430</wp:posOffset>
                </wp:positionV>
                <wp:extent cx="1728000" cy="179705"/>
                <wp:effectExtent l="0" t="0" r="5715" b="0"/>
                <wp:wrapNone/>
                <wp:docPr id="23" name="Rectangle: Rounded Corners 23"/>
                <wp:cNvGraphicFramePr/>
                <a:graphic xmlns:a="http://schemas.openxmlformats.org/drawingml/2006/main">
                  <a:graphicData uri="http://schemas.microsoft.com/office/word/2010/wordprocessingShape">
                    <wps:wsp>
                      <wps:cNvSpPr/>
                      <wps:spPr>
                        <a:xfrm>
                          <a:off x="0" y="0"/>
                          <a:ext cx="1728000" cy="179705"/>
                        </a:xfrm>
                        <a:prstGeom prst="roundRect">
                          <a:avLst/>
                        </a:prstGeom>
                        <a:solidFill>
                          <a:srgbClr val="B8DE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1CD245" id="Rectangle: Rounded Corners 23" o:spid="_x0000_s1026" style="position:absolute;margin-left:54.85pt;margin-top:.9pt;width:136.05pt;height:14.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" fillcolor="#b8decd" stroked="f" strokeweight="1pt">
                <v:stroke joinstyle="miter"/>
              </v:roundrect>
            </w:pict>
          </mc:Fallback>
        </mc:AlternateContent>
      </w:r>
      <w:r w:rsidRPr="008B02AE">
        <w:rPr>
          <w:bCs/>
        </w:rPr>
        <w:t>Use the cluster settings recommended in the hotspot analysis to identify the clusters targeted for</w:t>
      </w:r>
      <w:r>
        <w:rPr>
          <w:bCs/>
        </w:rPr>
        <w:t xml:space="preserve"> each </w:t>
      </w:r>
      <w:r w:rsidRPr="008B02AE">
        <w:rPr>
          <w:bCs/>
        </w:rPr>
        <w:t>PEP</w:t>
      </w:r>
      <w:r>
        <w:rPr>
          <w:bCs/>
        </w:rPr>
        <w:t xml:space="preserve"> strategy</w:t>
      </w:r>
      <w:r w:rsidRPr="008B02AE">
        <w:rPr>
          <w:bCs/>
        </w:rPr>
        <w:t xml:space="preserve">. </w:t>
      </w:r>
    </w:p>
    <w:p w14:paraId="316310AD" w14:textId="77777777" w:rsidR="00832B78" w:rsidRPr="0079261A" w:rsidRDefault="00832B78" w:rsidP="00832B78">
      <w:pPr>
        <w:pStyle w:val="ListParagraph"/>
        <w:numPr>
          <w:ilvl w:val="0"/>
          <w:numId w:val="1"/>
        </w:numPr>
        <w:spacing w:line="480" w:lineRule="auto"/>
        <w:rPr>
          <w:bCs/>
          <w:sz w:val="20"/>
          <w:szCs w:val="20"/>
        </w:rPr>
      </w:pPr>
      <w:r w:rsidRPr="00950BF2">
        <w:rPr>
          <w:bCs/>
        </w:rPr>
        <w:t xml:space="preserve">Calculate the number of individuals targeted for PEP </w:t>
      </w:r>
      <w:r w:rsidRPr="0079261A">
        <w:rPr>
          <w:bCs/>
        </w:rPr>
        <w:t>for</w:t>
      </w:r>
      <w:r>
        <w:rPr>
          <w:bCs/>
        </w:rPr>
        <w:t xml:space="preserve"> each</w:t>
      </w:r>
      <w:r w:rsidRPr="00950BF2">
        <w:rPr>
          <w:bCs/>
        </w:rPr>
        <w:t xml:space="preserve"> strategy</w:t>
      </w:r>
      <w:r>
        <w:rPr>
          <w:bCs/>
        </w:rPr>
        <w:t>:</w:t>
      </w:r>
      <w:r w:rsidRPr="00950BF2">
        <w:rPr>
          <w:bCs/>
        </w:rPr>
        <w:t xml:space="preserve"> </w:t>
      </w:r>
    </w:p>
    <w:p w14:paraId="408399E9" w14:textId="77777777" w:rsidR="00832B78" w:rsidRPr="0079261A" w:rsidRDefault="00832B78" w:rsidP="00832B78">
      <w:pPr>
        <w:pStyle w:val="ListParagraph"/>
        <w:numPr>
          <w:ilvl w:val="0"/>
          <w:numId w:val="2"/>
        </w:numPr>
        <w:spacing w:line="480" w:lineRule="auto"/>
        <w:rPr>
          <w:bCs/>
          <w:sz w:val="20"/>
          <w:szCs w:val="20"/>
        </w:rPr>
      </w:pPr>
      <w:r w:rsidRPr="00950BF2">
        <w:rPr>
          <w:bCs/>
        </w:rPr>
        <w:t>20 contacts</w:t>
      </w:r>
      <w:r>
        <w:rPr>
          <w:bCs/>
        </w:rPr>
        <w:t xml:space="preserve">: multiply </w:t>
      </w:r>
      <w:r w:rsidRPr="00950BF2">
        <w:rPr>
          <w:bCs/>
        </w:rPr>
        <w:t>total number of cases in clusters by 20</w:t>
      </w:r>
    </w:p>
    <w:p w14:paraId="13B44A0D" w14:textId="77777777" w:rsidR="00832B78" w:rsidRPr="0079261A" w:rsidRDefault="00832B78" w:rsidP="00832B78">
      <w:pPr>
        <w:pStyle w:val="ListParagraph"/>
        <w:numPr>
          <w:ilvl w:val="0"/>
          <w:numId w:val="2"/>
        </w:numPr>
        <w:spacing w:line="480" w:lineRule="auto"/>
        <w:rPr>
          <w:bCs/>
          <w:sz w:val="20"/>
          <w:szCs w:val="20"/>
        </w:rPr>
      </w:pPr>
      <w:r w:rsidRPr="00950BF2">
        <w:rPr>
          <w:bCs/>
        </w:rPr>
        <w:t>100 individuals: multiply total number of cases in clusters by 100</w:t>
      </w:r>
      <w:r w:rsidRPr="0079261A">
        <w:rPr>
          <w:bCs/>
        </w:rPr>
        <w:t xml:space="preserve"> </w:t>
      </w:r>
    </w:p>
    <w:p w14:paraId="0689965D" w14:textId="77777777" w:rsidR="00832B78" w:rsidRPr="007B73A8" w:rsidRDefault="00832B78" w:rsidP="00832B78">
      <w:pPr>
        <w:pStyle w:val="ListParagraph"/>
        <w:numPr>
          <w:ilvl w:val="0"/>
          <w:numId w:val="2"/>
        </w:numPr>
        <w:spacing w:line="480" w:lineRule="auto"/>
        <w:rPr>
          <w:bCs/>
          <w:sz w:val="20"/>
          <w:szCs w:val="20"/>
        </w:rPr>
      </w:pPr>
      <w:r>
        <w:rPr>
          <w:bCs/>
        </w:rPr>
        <w:t xml:space="preserve">population-wide: </w:t>
      </w:r>
      <w:r w:rsidRPr="0079261A">
        <w:rPr>
          <w:bCs/>
        </w:rPr>
        <w:t>multiply the cluster area (km</w:t>
      </w:r>
      <w:r w:rsidRPr="0079261A">
        <w:rPr>
          <w:bCs/>
          <w:vertAlign w:val="superscript"/>
        </w:rPr>
        <w:t>2</w:t>
      </w:r>
      <w:r w:rsidRPr="0079261A">
        <w:rPr>
          <w:bCs/>
        </w:rPr>
        <w:t xml:space="preserve">) by population density </w:t>
      </w:r>
    </w:p>
    <w:p w14:paraId="675A25C1" w14:textId="77777777" w:rsidR="00832B78" w:rsidRPr="007B73A8" w:rsidRDefault="00832B78" w:rsidP="00832B78">
      <w:pPr>
        <w:pStyle w:val="ListParagraph"/>
        <w:numPr>
          <w:ilvl w:val="0"/>
          <w:numId w:val="1"/>
        </w:numPr>
        <w:spacing w:line="480" w:lineRule="auto"/>
        <w:rPr>
          <w:bCs/>
        </w:rPr>
      </w:pPr>
      <w:r>
        <w:rPr>
          <w:bCs/>
        </w:rPr>
        <w:t>Select</w:t>
      </w:r>
      <w:r w:rsidRPr="0090157E">
        <w:rPr>
          <w:bCs/>
        </w:rPr>
        <w:t xml:space="preserve"> </w:t>
      </w:r>
      <w:r>
        <w:rPr>
          <w:bCs/>
        </w:rPr>
        <w:t xml:space="preserve">the final cluster setting and </w:t>
      </w:r>
      <w:r w:rsidRPr="0090157E">
        <w:rPr>
          <w:bCs/>
        </w:rPr>
        <w:t>PEP strategy based on available resources</w:t>
      </w:r>
      <w:r>
        <w:rPr>
          <w:bCs/>
        </w:rPr>
        <w:t>.</w:t>
      </w:r>
    </w:p>
    <w:p w14:paraId="08675141" w14:textId="77777777" w:rsidR="00832B78" w:rsidRDefault="00832B78" w:rsidP="00832B78">
      <w:pPr>
        <w:rPr>
          <w:b/>
          <w:bCs/>
        </w:rPr>
        <w:sectPr w:rsidR="00832B78" w:rsidSect="00D35D73">
          <w:pgSz w:w="12240" w:h="15840"/>
          <w:pgMar w:top="1417" w:right="1417" w:bottom="1417" w:left="1417" w:header="708" w:footer="708" w:gutter="0"/>
          <w:cols w:space="708"/>
          <w:docGrid w:linePitch="360"/>
        </w:sectPr>
      </w:pPr>
    </w:p>
    <w:p w14:paraId="7EA4F2EA" w14:textId="77777777" w:rsidR="00832B78" w:rsidRDefault="00832B78" w:rsidP="00832B78">
      <w:pPr>
        <w:pStyle w:val="Caption"/>
        <w:rPr>
          <w:b/>
          <w:bCs/>
          <w:i w:val="0"/>
          <w:iCs w:val="0"/>
          <w:color w:val="auto"/>
          <w:sz w:val="22"/>
          <w:szCs w:val="22"/>
        </w:rPr>
      </w:pPr>
      <w:r w:rsidRPr="00FE0AFF">
        <w:rPr>
          <w:b/>
          <w:bCs/>
          <w:i w:val="0"/>
          <w:iCs w:val="0"/>
          <w:color w:val="auto"/>
          <w:sz w:val="22"/>
          <w:szCs w:val="22"/>
        </w:rPr>
        <w:lastRenderedPageBreak/>
        <w:t xml:space="preserve">An example of a </w:t>
      </w:r>
      <w:r>
        <w:rPr>
          <w:b/>
          <w:bCs/>
          <w:i w:val="0"/>
          <w:iCs w:val="0"/>
          <w:color w:val="auto"/>
          <w:sz w:val="22"/>
          <w:szCs w:val="22"/>
        </w:rPr>
        <w:t>diagram</w:t>
      </w:r>
      <w:r w:rsidRPr="00FE0AFF">
        <w:rPr>
          <w:b/>
          <w:bCs/>
          <w:i w:val="0"/>
          <w:iCs w:val="0"/>
          <w:color w:val="auto"/>
          <w:sz w:val="22"/>
          <w:szCs w:val="22"/>
        </w:rPr>
        <w:t xml:space="preserve"> to select the heatmap radius and cluster density (green) in three steps: distribution of cases in the area based on Moran’s I value (orange), the preferred proportion of total</w:t>
      </w:r>
      <w:r>
        <w:rPr>
          <w:b/>
          <w:bCs/>
          <w:i w:val="0"/>
          <w:iCs w:val="0"/>
          <w:color w:val="auto"/>
          <w:sz w:val="22"/>
          <w:szCs w:val="22"/>
        </w:rPr>
        <w:t xml:space="preserve"> leprosy</w:t>
      </w:r>
      <w:r w:rsidRPr="00FE0AFF">
        <w:rPr>
          <w:b/>
          <w:bCs/>
          <w:i w:val="0"/>
          <w:iCs w:val="0"/>
          <w:color w:val="auto"/>
          <w:sz w:val="22"/>
          <w:szCs w:val="22"/>
        </w:rPr>
        <w:t xml:space="preserve"> cases in clusters (yellow) and the PEP strategy either 20 contacts, 100 individuals or population-wide (green: left, middle and right column respectively). The presented cluster setting recommendations are selected using three criteria: i) proportion of cases in clusters, ii) total population to target, and iii) size of cluster area. We selected the cluster settings with the highest as possible proportion of cases within that specific range first (Table 1 of main manuscript). Then, in case of 2 of more settings with similar proportions, we selected the setting with the largest proportion of population living in clusters that would be targeted for PEP and smallest cluster area</w:t>
      </w:r>
      <w:r>
        <w:rPr>
          <w:b/>
          <w:bCs/>
          <w:i w:val="0"/>
          <w:iCs w:val="0"/>
          <w:color w:val="auto"/>
          <w:sz w:val="22"/>
          <w:szCs w:val="22"/>
        </w:rPr>
        <w:t>.</w:t>
      </w:r>
    </w:p>
    <w:p w14:paraId="19080614" w14:textId="77777777" w:rsidR="00832B78" w:rsidRPr="00FE0AFF" w:rsidRDefault="00832B78" w:rsidP="00832B78">
      <w:pPr>
        <w:pStyle w:val="Caption"/>
        <w:rPr>
          <w:b/>
          <w:bCs/>
          <w:i w:val="0"/>
          <w:iCs w:val="0"/>
          <w:color w:val="auto"/>
          <w:sz w:val="22"/>
          <w:szCs w:val="22"/>
        </w:rPr>
      </w:pPr>
      <w:r>
        <w:rPr>
          <w:noProof/>
        </w:rPr>
        <w:drawing>
          <wp:inline distT="0" distB="0" distL="0" distR="0" wp14:anchorId="53A3B9F6" wp14:editId="4B220083">
            <wp:extent cx="8877300" cy="5568295"/>
            <wp:effectExtent l="0" t="0" r="0" b="0"/>
            <wp:docPr id="43" name="Picture 4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05904" cy="5586237"/>
                    </a:xfrm>
                    <a:prstGeom prst="rect">
                      <a:avLst/>
                    </a:prstGeom>
                  </pic:spPr>
                </pic:pic>
              </a:graphicData>
            </a:graphic>
          </wp:inline>
        </w:drawing>
      </w:r>
    </w:p>
    <w:p w14:paraId="63DDE589" w14:textId="77777777" w:rsidR="00832B78" w:rsidRDefault="00832B78" w:rsidP="00832B78">
      <w:pPr>
        <w:rPr>
          <w:b/>
        </w:rPr>
        <w:sectPr w:rsidR="00832B78" w:rsidSect="00FE0AFF">
          <w:pgSz w:w="15840" w:h="12240" w:orient="landscape"/>
          <w:pgMar w:top="720" w:right="720" w:bottom="720" w:left="720" w:header="708" w:footer="708" w:gutter="0"/>
          <w:cols w:space="708"/>
          <w:docGrid w:linePitch="360"/>
        </w:sectPr>
      </w:pPr>
    </w:p>
    <w:p w14:paraId="52BBA26B" w14:textId="77777777" w:rsidR="00832B78" w:rsidRDefault="00832B78" w:rsidP="00832B78">
      <w:pPr>
        <w:spacing w:line="240" w:lineRule="auto"/>
        <w:contextualSpacing/>
      </w:pPr>
      <w:r>
        <w:rPr>
          <w:noProof/>
        </w:rPr>
        <w:lastRenderedPageBreak/>
        <mc:AlternateContent>
          <mc:Choice Requires="wps">
            <w:drawing>
              <wp:anchor distT="45720" distB="45720" distL="114300" distR="114300" simplePos="0" relativeHeight="251664384" behindDoc="0" locked="0" layoutInCell="1" allowOverlap="1" wp14:anchorId="727A7BE0" wp14:editId="5FEF3BDB">
                <wp:simplePos x="0" y="0"/>
                <wp:positionH relativeFrom="column">
                  <wp:posOffset>62230</wp:posOffset>
                </wp:positionH>
                <wp:positionV relativeFrom="paragraph">
                  <wp:posOffset>0</wp:posOffset>
                </wp:positionV>
                <wp:extent cx="5648325" cy="7372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7372350"/>
                        </a:xfrm>
                        <a:prstGeom prst="rect">
                          <a:avLst/>
                        </a:prstGeom>
                        <a:noFill/>
                        <a:ln w="9525">
                          <a:solidFill>
                            <a:srgbClr val="000000"/>
                          </a:solidFill>
                          <a:miter lim="800000"/>
                          <a:headEnd/>
                          <a:tailEnd/>
                        </a:ln>
                      </wps:spPr>
                      <wps:txbx>
                        <w:txbxContent>
                          <w:p w14:paraId="6CB99743" w14:textId="77777777" w:rsidR="00832B78" w:rsidRDefault="00832B78" w:rsidP="00832B78">
                            <w:pPr>
                              <w:spacing w:line="480" w:lineRule="auto"/>
                              <w:contextualSpacing/>
                            </w:pPr>
                            <w:r>
                              <w:t>Practical example of using the proposed guideline</w:t>
                            </w:r>
                          </w:p>
                          <w:p w14:paraId="26ECE53F" w14:textId="77777777" w:rsidR="00832B78" w:rsidRDefault="00832B78" w:rsidP="00832B78">
                            <w:pPr>
                              <w:spacing w:line="480" w:lineRule="auto"/>
                              <w:contextualSpacing/>
                            </w:pPr>
                          </w:p>
                          <w:p w14:paraId="692357C2" w14:textId="77777777" w:rsidR="00832B78" w:rsidRDefault="00832B78" w:rsidP="00832B78">
                            <w:pPr>
                              <w:spacing w:line="480" w:lineRule="auto"/>
                            </w:pPr>
                            <w:r>
                              <w:t xml:space="preserve">A leprosy programme manager (LPM) would like to use the guideline to implement targeted PEP interventions in all the subdistricts in Pamekasan because all sub-districts are endemic for leprosy. </w:t>
                            </w:r>
                          </w:p>
                          <w:p w14:paraId="0BEA9E52" w14:textId="77777777" w:rsidR="00832B78" w:rsidRDefault="00832B78" w:rsidP="00832B78">
                            <w:pPr>
                              <w:spacing w:line="480" w:lineRule="auto"/>
                            </w:pPr>
                            <w:r>
                              <w:t xml:space="preserve">Local staff have collected the GPS coordinates of all leprosy patients and the programme manager or GIS specialist performed the Moran’s I in ClusterSeer resulting in a value of 0.3. Based on this result the LPM should select the ‘diffused’ arm in the orange column. </w:t>
                            </w:r>
                          </w:p>
                          <w:p w14:paraId="42C87865" w14:textId="77777777" w:rsidR="00832B78" w:rsidRDefault="00832B78" w:rsidP="00832B78">
                            <w:pPr>
                              <w:spacing w:line="480" w:lineRule="auto"/>
                            </w:pPr>
                            <w:r>
                              <w:t>The LPM decides that a maximum of 70% of the leprosy cases should be in a cluster and thus targeted for extensive preventive intervention. Based on this decision, the 50-75% arm is selected in the yellow column.</w:t>
                            </w:r>
                          </w:p>
                          <w:p w14:paraId="1FBF94E8" w14:textId="77777777" w:rsidR="00832B78" w:rsidRDefault="00832B78" w:rsidP="00832B78">
                            <w:pPr>
                              <w:spacing w:line="480" w:lineRule="auto"/>
                              <w:rPr>
                                <w:bCs/>
                              </w:rPr>
                            </w:pPr>
                            <w:r>
                              <w:t xml:space="preserve">The LPM or GIS specialist will </w:t>
                            </w:r>
                            <w:r w:rsidRPr="0090157E">
                              <w:rPr>
                                <w:bCs/>
                              </w:rPr>
                              <w:t xml:space="preserve">identify the clusters </w:t>
                            </w:r>
                            <w:r>
                              <w:rPr>
                                <w:bCs/>
                              </w:rPr>
                              <w:t xml:space="preserve">based on the cluster setting recommendation of each strategy (20 contacts: 500 m and low density; 100 individuals and population-wide: 1500 m and moderate density), and then calculate the number of people </w:t>
                            </w:r>
                            <w:r w:rsidRPr="0090157E">
                              <w:rPr>
                                <w:bCs/>
                              </w:rPr>
                              <w:t xml:space="preserve">targeted </w:t>
                            </w:r>
                            <w:r>
                              <w:rPr>
                                <w:bCs/>
                              </w:rPr>
                              <w:t>with</w:t>
                            </w:r>
                            <w:r w:rsidRPr="0090157E">
                              <w:rPr>
                                <w:bCs/>
                              </w:rPr>
                              <w:t xml:space="preserve"> PEP</w:t>
                            </w:r>
                            <w:r>
                              <w:rPr>
                                <w:bCs/>
                              </w:rPr>
                              <w:t xml:space="preserve"> for all three strategies</w:t>
                            </w:r>
                            <w:r w:rsidRPr="0090157E">
                              <w:rPr>
                                <w:bCs/>
                              </w:rPr>
                              <w:t>.</w:t>
                            </w:r>
                            <w:r>
                              <w:rPr>
                                <w:bCs/>
                              </w:rPr>
                              <w:t xml:space="preserve"> This would result in 12,880 individuals, if 20 contacts are targeted</w:t>
                            </w:r>
                            <w:r w:rsidRPr="00044B04">
                              <w:rPr>
                                <w:bCs/>
                              </w:rPr>
                              <w:t xml:space="preserve">, </w:t>
                            </w:r>
                            <w:r>
                              <w:rPr>
                                <w:bCs/>
                              </w:rPr>
                              <w:t>75,800 individuals, if 100 individuals are targeted, and 187,031 individuals, if whole cluster (population-wide) is targeted.</w:t>
                            </w:r>
                          </w:p>
                          <w:p w14:paraId="13C0566F" w14:textId="77777777" w:rsidR="00832B78" w:rsidRDefault="00832B78" w:rsidP="00832B78">
                            <w:pPr>
                              <w:spacing w:line="480" w:lineRule="auto"/>
                            </w:pPr>
                            <w:r>
                              <w:t>The LMP indicates that resources only allow targeting around 15,000 people. Based on the calculations, the strategy targeting 20 contacts is recommended using a cluster setting 500 m and low density.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7A7BE0" id="_x0000_t202" coordsize="21600,21600" o:spt="202" path="m,l,21600r21600,l21600,xe">
                <v:stroke joinstyle="miter"/>
                <v:path gradientshapeok="t" o:connecttype="rect"/>
              </v:shapetype>
              <v:shape id="Text Box 2" o:spid="_x0000_s1026" type="#_x0000_t202" style="position:absolute;margin-left:4.9pt;margin-top:0;width:444.75pt;height:580.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" filled="f">
                <v:textbox>
                  <w:txbxContent>
                    <w:p w14:paraId="6CB99743" w14:textId="77777777" w:rsidR="00832B78" w:rsidRDefault="00832B78" w:rsidP="00832B78">
                      <w:pPr>
                        <w:spacing w:line="480" w:lineRule="auto"/>
                        <w:contextualSpacing/>
                      </w:pPr>
                      <w:r>
                        <w:t>Practical example of using the proposed guideline</w:t>
                      </w:r>
                    </w:p>
                    <w:p w14:paraId="26ECE53F" w14:textId="77777777" w:rsidR="00832B78" w:rsidRDefault="00832B78" w:rsidP="00832B78">
                      <w:pPr>
                        <w:spacing w:line="480" w:lineRule="auto"/>
                        <w:contextualSpacing/>
                      </w:pPr>
                    </w:p>
                    <w:p w14:paraId="692357C2" w14:textId="77777777" w:rsidR="00832B78" w:rsidRDefault="00832B78" w:rsidP="00832B78">
                      <w:pPr>
                        <w:spacing w:line="480" w:lineRule="auto"/>
                      </w:pPr>
                      <w:r>
                        <w:t xml:space="preserve">A leprosy programme manager (LPM) would like to use the guideline to implement targeted PEP interventions in all the subdistricts in Pamekasan because all sub-districts are endemic for leprosy. </w:t>
                      </w:r>
                    </w:p>
                    <w:p w14:paraId="0BEA9E52" w14:textId="77777777" w:rsidR="00832B78" w:rsidRDefault="00832B78" w:rsidP="00832B78">
                      <w:pPr>
                        <w:spacing w:line="480" w:lineRule="auto"/>
                      </w:pPr>
                      <w:r>
                        <w:t xml:space="preserve">Local staff have collected the GPS coordinates of all leprosy patients and the programme manager or GIS specialist performed the Moran’s I in ClusterSeer resulting in a value of 0.3. Based on this result the LPM should select the ‘diffused’ arm in the orange column. </w:t>
                      </w:r>
                    </w:p>
                    <w:p w14:paraId="42C87865" w14:textId="77777777" w:rsidR="00832B78" w:rsidRDefault="00832B78" w:rsidP="00832B78">
                      <w:pPr>
                        <w:spacing w:line="480" w:lineRule="auto"/>
                      </w:pPr>
                      <w:r>
                        <w:t>The LPM decides that a maximum of 70% of the leprosy cases should be in a cluster and thus targeted for extensive preventive intervention. Based on this decision, the 50-75% arm is selected in the yellow column.</w:t>
                      </w:r>
                    </w:p>
                    <w:p w14:paraId="1FBF94E8" w14:textId="77777777" w:rsidR="00832B78" w:rsidRDefault="00832B78" w:rsidP="00832B78">
                      <w:pPr>
                        <w:spacing w:line="480" w:lineRule="auto"/>
                        <w:rPr>
                          <w:bCs/>
                        </w:rPr>
                      </w:pPr>
                      <w:r>
                        <w:t xml:space="preserve">The LPM or GIS specialist will </w:t>
                      </w:r>
                      <w:r w:rsidRPr="0090157E">
                        <w:rPr>
                          <w:bCs/>
                        </w:rPr>
                        <w:t xml:space="preserve">identify the clusters </w:t>
                      </w:r>
                      <w:r>
                        <w:rPr>
                          <w:bCs/>
                        </w:rPr>
                        <w:t xml:space="preserve">based on the cluster setting recommendation of each strategy (20 contacts: 500 m and low density; 100 individuals and population-wide: 1500 m and moderate density), and then calculate the number of people </w:t>
                      </w:r>
                      <w:r w:rsidRPr="0090157E">
                        <w:rPr>
                          <w:bCs/>
                        </w:rPr>
                        <w:t xml:space="preserve">targeted </w:t>
                      </w:r>
                      <w:r>
                        <w:rPr>
                          <w:bCs/>
                        </w:rPr>
                        <w:t>with</w:t>
                      </w:r>
                      <w:r w:rsidRPr="0090157E">
                        <w:rPr>
                          <w:bCs/>
                        </w:rPr>
                        <w:t xml:space="preserve"> PEP</w:t>
                      </w:r>
                      <w:r>
                        <w:rPr>
                          <w:bCs/>
                        </w:rPr>
                        <w:t xml:space="preserve"> for all three strategies</w:t>
                      </w:r>
                      <w:r w:rsidRPr="0090157E">
                        <w:rPr>
                          <w:bCs/>
                        </w:rPr>
                        <w:t>.</w:t>
                      </w:r>
                      <w:r>
                        <w:rPr>
                          <w:bCs/>
                        </w:rPr>
                        <w:t xml:space="preserve"> This would result in 12,880 individuals, if 20 contacts are targeted</w:t>
                      </w:r>
                      <w:r w:rsidRPr="00044B04">
                        <w:rPr>
                          <w:bCs/>
                        </w:rPr>
                        <w:t xml:space="preserve">, </w:t>
                      </w:r>
                      <w:r>
                        <w:rPr>
                          <w:bCs/>
                        </w:rPr>
                        <w:t>75,800 individuals, if 100 individuals are targeted, and 187,031 individuals, if whole cluster (population-wide) is targeted.</w:t>
                      </w:r>
                    </w:p>
                    <w:p w14:paraId="13C0566F" w14:textId="77777777" w:rsidR="00832B78" w:rsidRDefault="00832B78" w:rsidP="00832B78">
                      <w:pPr>
                        <w:spacing w:line="480" w:lineRule="auto"/>
                      </w:pPr>
                      <w:r>
                        <w:t>The LMP indicates that resources only allow targeting around 15,000 people. Based on the calculations, the strategy targeting 20 contacts is recommended using a cluster setting 500 m and low density.</w:t>
                      </w:r>
                    </w:p>
                  </w:txbxContent>
                </v:textbox>
                <w10:wrap type="square"/>
              </v:shape>
            </w:pict>
          </mc:Fallback>
        </mc:AlternateContent>
      </w:r>
    </w:p>
    <w:p w14:paraId="7A493716" w14:textId="77777777" w:rsidR="004A15BC" w:rsidRDefault="004A15BC"/>
    <w:sectPr w:rsidR="004A15BC" w:rsidSect="00A1749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C47B7"/>
    <w:multiLevelType w:val="hybridMultilevel"/>
    <w:tmpl w:val="1376FD76"/>
    <w:lvl w:ilvl="0" w:tplc="EE3AC62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6F7BA0"/>
    <w:multiLevelType w:val="hybridMultilevel"/>
    <w:tmpl w:val="A8ECEB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U3MTA0MrMwM7awNDVR0lEKTi0uzszPAykwrAUAMHXcwCwAAAA="/>
  </w:docVars>
  <w:rsids>
    <w:rsidRoot w:val="00832B78"/>
    <w:rsid w:val="004A15BC"/>
    <w:rsid w:val="005B2B60"/>
    <w:rsid w:val="00832B78"/>
    <w:rsid w:val="00897A18"/>
    <w:rsid w:val="008D1EE0"/>
    <w:rsid w:val="00A17490"/>
    <w:rsid w:val="00BD70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CE0C2"/>
  <w15:chartTrackingRefBased/>
  <w15:docId w15:val="{C2AD49AB-D70B-40C6-8EFA-E2750BF5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32B78"/>
    <w:pPr>
      <w:spacing w:after="200" w:line="240" w:lineRule="auto"/>
    </w:pPr>
    <w:rPr>
      <w:i/>
      <w:iCs/>
      <w:color w:val="44546A" w:themeColor="text2"/>
      <w:sz w:val="18"/>
      <w:szCs w:val="18"/>
    </w:rPr>
  </w:style>
  <w:style w:type="paragraph" w:styleId="ListParagraph">
    <w:name w:val="List Paragraph"/>
    <w:basedOn w:val="Normal"/>
    <w:uiPriority w:val="34"/>
    <w:qFormat/>
    <w:rsid w:val="00832B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5" Type="http://schemas.openxmlformats.org/officeDocument/2006/relationships/image" Target="media/image1.t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Anneke Taal</dc:creator>
  <cp:keywords/>
  <dc:description/>
  <cp:lastModifiedBy>Anneke Taal</cp:lastModifiedBy>
  <cp:revision>4</cp:revision>
  <dcterms:created xsi:type="dcterms:W3CDTF">2021-09-10T11:14:00Z</dcterms:created>
  <dcterms:modified xsi:type="dcterms:W3CDTF">2021-09-16T11:25:00Z</dcterms:modified>
</cp:coreProperties>
</file>