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1C1" w:rsidRPr="009321C1" w:rsidRDefault="009321C1" w:rsidP="009321C1">
      <w:pPr>
        <w:autoSpaceDE w:val="0"/>
        <w:autoSpaceDN w:val="0"/>
        <w:adjustRightInd w:val="0"/>
        <w:spacing w:after="0" w:line="240" w:lineRule="auto"/>
        <w:rPr>
          <w:lang w:val="en-GB"/>
        </w:rPr>
      </w:pPr>
      <w:bookmarkStart w:id="0" w:name="_GoBack"/>
      <w:bookmarkEnd w:id="0"/>
      <w:r w:rsidRPr="009321C1">
        <w:rPr>
          <w:rFonts w:cstheme="minorHAnsi"/>
          <w:b/>
          <w:color w:val="231F20"/>
          <w:szCs w:val="20"/>
          <w:lang w:val="en-GB"/>
        </w:rPr>
        <w:t>Appendix</w:t>
      </w:r>
    </w:p>
    <w:p w:rsidR="009321C1" w:rsidRDefault="009321C1" w:rsidP="009321C1">
      <w:pPr>
        <w:rPr>
          <w:lang w:val="en-GB"/>
        </w:rPr>
      </w:pPr>
    </w:p>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4294"/>
        <w:gridCol w:w="2050"/>
        <w:gridCol w:w="2756"/>
        <w:gridCol w:w="2918"/>
      </w:tblGrid>
      <w:tr w:rsidR="009321C1" w:rsidRPr="009321C1" w:rsidTr="005E384D">
        <w:tc>
          <w:tcPr>
            <w:tcW w:w="5000" w:type="pct"/>
            <w:gridSpan w:val="5"/>
            <w:tcBorders>
              <w:bottom w:val="single" w:sz="4" w:space="0" w:color="auto"/>
            </w:tcBorders>
          </w:tcPr>
          <w:p w:rsidR="009321C1" w:rsidRPr="00621D22" w:rsidRDefault="009321C1" w:rsidP="005E384D">
            <w:pPr>
              <w:rPr>
                <w:b/>
                <w:sz w:val="20"/>
                <w:szCs w:val="20"/>
                <w:lang w:val="en-GB"/>
              </w:rPr>
            </w:pPr>
            <w:r w:rsidRPr="000B4AF4">
              <w:rPr>
                <w:b/>
                <w:sz w:val="20"/>
                <w:szCs w:val="20"/>
                <w:u w:val="single"/>
                <w:lang w:val="en-GB"/>
              </w:rPr>
              <w:t>Table A1.</w:t>
            </w:r>
            <w:r w:rsidRPr="00621D22">
              <w:rPr>
                <w:b/>
                <w:sz w:val="20"/>
                <w:szCs w:val="20"/>
                <w:lang w:val="en-GB"/>
              </w:rPr>
              <w:t xml:space="preserve"> Presentation of the selected articles </w:t>
            </w:r>
          </w:p>
        </w:tc>
      </w:tr>
      <w:tr w:rsidR="009321C1" w:rsidRPr="00621D22" w:rsidTr="005E384D">
        <w:tc>
          <w:tcPr>
            <w:tcW w:w="709" w:type="pct"/>
            <w:tcBorders>
              <w:top w:val="single" w:sz="4" w:space="0" w:color="auto"/>
              <w:bottom w:val="single" w:sz="4" w:space="0" w:color="auto"/>
            </w:tcBorders>
          </w:tcPr>
          <w:p w:rsidR="009321C1" w:rsidRPr="00621D22" w:rsidRDefault="009321C1" w:rsidP="005E384D">
            <w:pPr>
              <w:rPr>
                <w:sz w:val="20"/>
                <w:szCs w:val="20"/>
                <w:lang w:val="en-GB"/>
              </w:rPr>
            </w:pPr>
            <w:r w:rsidRPr="00621D22">
              <w:rPr>
                <w:sz w:val="20"/>
                <w:szCs w:val="20"/>
                <w:lang w:val="en-GB"/>
              </w:rPr>
              <w:t xml:space="preserve">Articles </w:t>
            </w:r>
          </w:p>
        </w:tc>
        <w:tc>
          <w:tcPr>
            <w:tcW w:w="1533" w:type="pct"/>
            <w:tcBorders>
              <w:top w:val="single" w:sz="4" w:space="0" w:color="auto"/>
              <w:bottom w:val="single" w:sz="4" w:space="0" w:color="auto"/>
            </w:tcBorders>
          </w:tcPr>
          <w:p w:rsidR="009321C1" w:rsidRPr="00621D22" w:rsidRDefault="009321C1" w:rsidP="005E384D">
            <w:pPr>
              <w:rPr>
                <w:sz w:val="20"/>
                <w:szCs w:val="20"/>
                <w:lang w:val="en-GB"/>
              </w:rPr>
            </w:pPr>
            <w:r w:rsidRPr="00621D22">
              <w:rPr>
                <w:sz w:val="20"/>
                <w:szCs w:val="20"/>
                <w:lang w:val="en-GB"/>
              </w:rPr>
              <w:t xml:space="preserve">Predictors </w:t>
            </w:r>
          </w:p>
        </w:tc>
        <w:tc>
          <w:tcPr>
            <w:tcW w:w="732" w:type="pct"/>
            <w:tcBorders>
              <w:top w:val="single" w:sz="4" w:space="0" w:color="auto"/>
              <w:bottom w:val="single" w:sz="4" w:space="0" w:color="auto"/>
            </w:tcBorders>
          </w:tcPr>
          <w:p w:rsidR="009321C1" w:rsidRPr="00621D22" w:rsidRDefault="009321C1" w:rsidP="005E384D">
            <w:pPr>
              <w:rPr>
                <w:sz w:val="20"/>
                <w:szCs w:val="20"/>
                <w:lang w:val="en-GB"/>
              </w:rPr>
            </w:pPr>
            <w:r w:rsidRPr="00621D22">
              <w:rPr>
                <w:sz w:val="20"/>
                <w:szCs w:val="20"/>
                <w:lang w:val="en-GB"/>
              </w:rPr>
              <w:t xml:space="preserve">Modelling </w:t>
            </w:r>
          </w:p>
        </w:tc>
        <w:tc>
          <w:tcPr>
            <w:tcW w:w="984" w:type="pct"/>
            <w:tcBorders>
              <w:top w:val="single" w:sz="4" w:space="0" w:color="auto"/>
              <w:bottom w:val="single" w:sz="4" w:space="0" w:color="auto"/>
            </w:tcBorders>
          </w:tcPr>
          <w:p w:rsidR="009321C1" w:rsidRPr="00621D22" w:rsidRDefault="009321C1" w:rsidP="005E384D">
            <w:pPr>
              <w:rPr>
                <w:sz w:val="20"/>
                <w:szCs w:val="20"/>
                <w:lang w:val="en-GB"/>
              </w:rPr>
            </w:pPr>
            <w:r w:rsidRPr="00621D22">
              <w:rPr>
                <w:sz w:val="20"/>
                <w:szCs w:val="20"/>
                <w:lang w:val="en-GB"/>
              </w:rPr>
              <w:t xml:space="preserve">Missing predictor </w:t>
            </w:r>
          </w:p>
        </w:tc>
        <w:tc>
          <w:tcPr>
            <w:tcW w:w="1042" w:type="pct"/>
            <w:tcBorders>
              <w:top w:val="single" w:sz="4" w:space="0" w:color="auto"/>
              <w:bottom w:val="single" w:sz="4" w:space="0" w:color="auto"/>
            </w:tcBorders>
          </w:tcPr>
          <w:p w:rsidR="009321C1" w:rsidRPr="00621D22" w:rsidRDefault="009321C1" w:rsidP="005E384D">
            <w:pPr>
              <w:rPr>
                <w:sz w:val="20"/>
                <w:szCs w:val="20"/>
                <w:lang w:val="en-GB"/>
              </w:rPr>
            </w:pPr>
            <w:r w:rsidRPr="00621D22">
              <w:rPr>
                <w:sz w:val="20"/>
                <w:szCs w:val="20"/>
                <w:lang w:val="en-GB"/>
              </w:rPr>
              <w:t xml:space="preserve">Available calculations </w:t>
            </w:r>
          </w:p>
        </w:tc>
      </w:tr>
      <w:tr w:rsidR="009321C1" w:rsidRPr="009321C1" w:rsidTr="005E384D">
        <w:tc>
          <w:tcPr>
            <w:tcW w:w="709" w:type="pct"/>
            <w:tcBorders>
              <w:top w:val="single" w:sz="4" w:space="0" w:color="auto"/>
              <w:bottom w:val="nil"/>
            </w:tcBorders>
          </w:tcPr>
          <w:p w:rsidR="009321C1" w:rsidRPr="00621D22" w:rsidRDefault="009321C1" w:rsidP="005E384D">
            <w:pPr>
              <w:rPr>
                <w:sz w:val="20"/>
                <w:szCs w:val="20"/>
                <w:lang w:val="en-GB"/>
              </w:rPr>
            </w:pPr>
            <w:r>
              <w:rPr>
                <w:sz w:val="20"/>
                <w:szCs w:val="20"/>
                <w:lang w:val="en-GB"/>
              </w:rPr>
              <w:t xml:space="preserve">Vieceli et al </w:t>
            </w:r>
            <w:r w:rsidRPr="00621D22">
              <w:rPr>
                <w:sz w:val="20"/>
                <w:szCs w:val="20"/>
                <w:lang w:val="en-GB"/>
              </w:rPr>
              <w:fldChar w:fldCharType="begin" w:fldLock="1"/>
            </w:r>
            <w:r>
              <w:rPr>
                <w:sz w:val="20"/>
                <w:szCs w:val="20"/>
                <w:lang w:val="en-GB"/>
              </w:rPr>
              <w:instrText>ADDIN CSL_CITATION {"citationItems":[{"id":"ITEM-1","itemData":{"DOI":"10.1016/j.bjid.2020.06.009","ISSN":"16784391","PMID":"32721387","abstract":"Objectives: Differential diagnosis of COVID-19 includes a broad range of conditions. Prioritizing containment efforts, protective personal equipment and testing can be challenging. Our aim was to develop a tool to identify patients with higher probability of COVID-19 diagnosis at admission. Methods: This cross-sectional study analyzed data from 100 patients admitted with suspected COVID-19. Predictive models of COVID-19 diagnosis were performed based on radiology, clinical and laboratory findings; bootstrapping was performed in order to account for overfitting. Results: A total of 29% of patients tested positive for SARS-CoV-2. Variables associated with COVID-19 diagnosis in multivariate analysis were leukocyte count ≤7.7 × 103 mm–3, LDH &gt;273 U/L, and chest radiographic abnormality. A predictive score was built for COVID-19 diagnosis, with an area under ROC curve of 0.847 (95% CI 0.77–0.92), 96% sensitivity and 73.5% specificity. After bootstrapping, the corrected AUC for this model was 0.827 (95% CI 0.75–0.90). Conclusions: Considering unavailability of RT-PCR at some centers, as well as its questionable early sensitivity, other tools might be used in order to identify patients who should be prioritized for testing, re-testing and admission to isolated wards. We propose a predictive score that can be easily applied in clinical practice. This score is yet to be validated in larger populations.","author":[{"dropping-particle":"","family":"Vieceli","given":"Tarsila","non-dropping-particle":"","parse-names":false,"suffix":""},{"dropping-particle":"de","family":"Oliveira Filho","given":"Cilomar Martins","non-dropping-particle":"","parse-names":false,"suffix":""},{"dropping-particle":"","family":"Berger","given":"Mariana","non-dropping-particle":"","parse-names":false,"suffix":""},{"dropping-particle":"","family":"Saadi","given":"Marina Petersen","non-dropping-particle":"","parse-names":false,"suffix":""},{"dropping-particle":"","family":"Salvador","given":"Pedro Antonio","non-dropping-particle":"","parse-names":false,"suffix":""},{"dropping-particle":"","family":"Anizelli","given":"Leonardo Bressan","non-dropping-particle":"","parse-names":false,"suffix":""},{"dropping-particle":"","family":"Crivelaro","given":"Pedro Castilhos de Freitas","non-dropping-particle":"","parse-names":false,"suffix":""},{"dropping-particle":"","family":"Butzke","given":"Mauricio","non-dropping-particle":"","parse-names":false,"suffix":""},{"dropping-particle":"","family":"Zappelini","given":"Roberta de Souza","non-dropping-particle":"","parse-names":false,"suffix":""},{"dropping-particle":"","family":"Seligman","given":"Beatriz Graeff dos Santos","non-dropping-particle":"","parse-names":false,"suffix":""},{"dropping-particle":"","family":"Seligman","given":"Renato","non-dropping-particle":"","parse-names":false,"suffix":""}],"container-title":"Brazilian Journal of Infectious Diseases","id":"ITEM-1","issue":"4","issued":{"date-parts":[["2020","7"]]},"page":"343-348","publisher":"Elsevier Editora Ltda","title":"A predictive score for COVID-19 diagnosis using clinical, laboratory and chest image data","type":"article-journal","volume":"24"},"uris":["http://www.mendeley.com/documents/?uuid=3f5e1293-1bbb-41ed-a4d0-230081e0af86"]}],"mendeley":{"formattedCitation":"(37)","manualFormatting":"[27]","plainTextFormattedCitation":"(37)","previouslyFormattedCitation":"(37)"},"properties":{"noteIndex":0},"schema":"https://github.com/citation-style-language/schema/raw/master/csl-citation.json"}</w:instrText>
            </w:r>
            <w:r w:rsidRPr="00621D22">
              <w:rPr>
                <w:sz w:val="20"/>
                <w:szCs w:val="20"/>
                <w:lang w:val="en-GB"/>
              </w:rPr>
              <w:fldChar w:fldCharType="separate"/>
            </w:r>
            <w:r>
              <w:rPr>
                <w:noProof/>
                <w:sz w:val="20"/>
                <w:szCs w:val="20"/>
                <w:lang w:val="en-GB"/>
              </w:rPr>
              <w:t>[27</w:t>
            </w:r>
            <w:r w:rsidRPr="00AE757B">
              <w:rPr>
                <w:noProof/>
                <w:sz w:val="20"/>
                <w:szCs w:val="20"/>
                <w:lang w:val="en-GB"/>
              </w:rPr>
              <w:t>]</w:t>
            </w:r>
            <w:r w:rsidRPr="00621D22">
              <w:rPr>
                <w:sz w:val="20"/>
                <w:szCs w:val="20"/>
                <w:lang w:val="en-GB"/>
              </w:rPr>
              <w:fldChar w:fldCharType="end"/>
            </w:r>
            <w:r w:rsidRPr="00621D22">
              <w:rPr>
                <w:sz w:val="20"/>
                <w:szCs w:val="20"/>
                <w:lang w:val="en-GB"/>
              </w:rPr>
              <w:t xml:space="preserve"> </w:t>
            </w:r>
          </w:p>
        </w:tc>
        <w:tc>
          <w:tcPr>
            <w:tcW w:w="1533" w:type="pct"/>
            <w:tcBorders>
              <w:top w:val="single" w:sz="4" w:space="0" w:color="auto"/>
              <w:bottom w:val="nil"/>
            </w:tcBorders>
          </w:tcPr>
          <w:p w:rsidR="009321C1" w:rsidRPr="00621D22" w:rsidRDefault="009321C1" w:rsidP="005E384D">
            <w:pPr>
              <w:rPr>
                <w:sz w:val="20"/>
                <w:szCs w:val="20"/>
                <w:lang w:val="en-GB"/>
              </w:rPr>
            </w:pPr>
            <w:r w:rsidRPr="00621D22">
              <w:rPr>
                <w:sz w:val="20"/>
                <w:szCs w:val="20"/>
                <w:lang w:val="en-GB"/>
              </w:rPr>
              <w:t xml:space="preserve">Leukocytes </w:t>
            </w:r>
          </w:p>
          <w:p w:rsidR="009321C1" w:rsidRPr="00621D22" w:rsidRDefault="009321C1" w:rsidP="005E384D">
            <w:pPr>
              <w:rPr>
                <w:sz w:val="20"/>
                <w:szCs w:val="20"/>
                <w:lang w:val="en-GB"/>
              </w:rPr>
            </w:pPr>
            <w:r w:rsidRPr="00621D22">
              <w:rPr>
                <w:sz w:val="20"/>
                <w:szCs w:val="20"/>
                <w:lang w:val="en-GB"/>
              </w:rPr>
              <w:t xml:space="preserve">LDH </w:t>
            </w:r>
          </w:p>
          <w:p w:rsidR="009321C1" w:rsidRPr="00621D22" w:rsidRDefault="009321C1" w:rsidP="005E384D">
            <w:pPr>
              <w:rPr>
                <w:sz w:val="20"/>
                <w:szCs w:val="20"/>
                <w:lang w:val="en-GB"/>
              </w:rPr>
            </w:pPr>
            <w:r w:rsidRPr="00621D22">
              <w:rPr>
                <w:sz w:val="20"/>
                <w:szCs w:val="20"/>
                <w:lang w:val="en-GB"/>
              </w:rPr>
              <w:t xml:space="preserve">Any chest radiographic abnormality </w:t>
            </w:r>
          </w:p>
        </w:tc>
        <w:tc>
          <w:tcPr>
            <w:tcW w:w="732" w:type="pct"/>
            <w:tcBorders>
              <w:top w:val="single" w:sz="4" w:space="0" w:color="auto"/>
              <w:bottom w:val="nil"/>
            </w:tcBorders>
          </w:tcPr>
          <w:p w:rsidR="009321C1" w:rsidRPr="00621D22" w:rsidRDefault="009321C1" w:rsidP="005E384D">
            <w:pPr>
              <w:rPr>
                <w:sz w:val="20"/>
                <w:szCs w:val="20"/>
                <w:lang w:val="en-GB"/>
              </w:rPr>
            </w:pPr>
            <w:r w:rsidRPr="00621D22">
              <w:rPr>
                <w:sz w:val="20"/>
                <w:szCs w:val="20"/>
                <w:lang w:val="en-GB"/>
              </w:rPr>
              <w:t xml:space="preserve">Binary logistic regression </w:t>
            </w:r>
          </w:p>
        </w:tc>
        <w:tc>
          <w:tcPr>
            <w:tcW w:w="984" w:type="pct"/>
            <w:tcBorders>
              <w:top w:val="single" w:sz="4" w:space="0" w:color="auto"/>
              <w:bottom w:val="nil"/>
            </w:tcBorders>
          </w:tcPr>
          <w:p w:rsidR="009321C1" w:rsidRPr="00621D22" w:rsidRDefault="009321C1" w:rsidP="005E384D">
            <w:pPr>
              <w:rPr>
                <w:sz w:val="20"/>
                <w:szCs w:val="20"/>
                <w:lang w:val="en-GB"/>
              </w:rPr>
            </w:pPr>
            <w:r w:rsidRPr="00621D22">
              <w:rPr>
                <w:sz w:val="20"/>
                <w:szCs w:val="20"/>
                <w:lang w:val="en-GB"/>
              </w:rPr>
              <w:t>/</w:t>
            </w:r>
          </w:p>
        </w:tc>
        <w:tc>
          <w:tcPr>
            <w:tcW w:w="1042" w:type="pct"/>
            <w:tcBorders>
              <w:top w:val="single" w:sz="4" w:space="0" w:color="auto"/>
              <w:bottom w:val="nil"/>
            </w:tcBorders>
          </w:tcPr>
          <w:p w:rsidR="009321C1" w:rsidRPr="00621D22" w:rsidRDefault="009321C1" w:rsidP="005E384D">
            <w:pPr>
              <w:rPr>
                <w:sz w:val="20"/>
                <w:szCs w:val="20"/>
                <w:lang w:val="en-GB"/>
              </w:rPr>
            </w:pPr>
            <w:r>
              <w:rPr>
                <w:sz w:val="20"/>
                <w:szCs w:val="20"/>
                <w:lang w:val="en-GB"/>
              </w:rPr>
              <w:t>L</w:t>
            </w:r>
            <w:r w:rsidRPr="00621D22">
              <w:rPr>
                <w:sz w:val="20"/>
                <w:szCs w:val="20"/>
                <w:lang w:val="en-GB"/>
              </w:rPr>
              <w:t xml:space="preserve">ogistic regression </w:t>
            </w:r>
          </w:p>
          <w:p w:rsidR="009321C1" w:rsidRPr="00621D22" w:rsidRDefault="009321C1" w:rsidP="005E384D">
            <w:pPr>
              <w:rPr>
                <w:sz w:val="20"/>
                <w:szCs w:val="20"/>
                <w:lang w:val="en-GB"/>
              </w:rPr>
            </w:pPr>
            <w:r w:rsidRPr="00621D22">
              <w:rPr>
                <w:sz w:val="20"/>
                <w:szCs w:val="20"/>
                <w:lang w:val="en-GB"/>
              </w:rPr>
              <w:t>Predictive score (0 –9)</w:t>
            </w:r>
          </w:p>
          <w:p w:rsidR="009321C1" w:rsidRPr="00621D22" w:rsidRDefault="009321C1" w:rsidP="005E384D">
            <w:pPr>
              <w:rPr>
                <w:sz w:val="20"/>
                <w:szCs w:val="20"/>
                <w:lang w:val="en-GB"/>
              </w:rPr>
            </w:pPr>
            <w:r w:rsidRPr="00621D22">
              <w:rPr>
                <w:sz w:val="20"/>
                <w:szCs w:val="20"/>
                <w:lang w:val="en-GB"/>
              </w:rPr>
              <w:t xml:space="preserve">Cut-off </w:t>
            </w:r>
            <w:r w:rsidRPr="00265F18">
              <w:rPr>
                <w:rFonts w:cstheme="minorHAnsi"/>
                <w:color w:val="000000"/>
                <w:sz w:val="20"/>
                <w:szCs w:val="20"/>
                <w:lang w:val="en-GB"/>
              </w:rPr>
              <w:t>≥ 5</w:t>
            </w:r>
          </w:p>
        </w:tc>
      </w:tr>
      <w:tr w:rsidR="009321C1" w:rsidRPr="009321C1" w:rsidTr="005E384D">
        <w:tc>
          <w:tcPr>
            <w:tcW w:w="709" w:type="pct"/>
            <w:tcBorders>
              <w:top w:val="nil"/>
            </w:tcBorders>
          </w:tcPr>
          <w:p w:rsidR="009321C1" w:rsidRPr="00621D22" w:rsidRDefault="009321C1" w:rsidP="005E384D">
            <w:pPr>
              <w:rPr>
                <w:sz w:val="20"/>
                <w:szCs w:val="20"/>
                <w:lang w:val="en-GB"/>
              </w:rPr>
            </w:pPr>
          </w:p>
        </w:tc>
        <w:tc>
          <w:tcPr>
            <w:tcW w:w="1533" w:type="pct"/>
            <w:tcBorders>
              <w:top w:val="nil"/>
            </w:tcBorders>
          </w:tcPr>
          <w:p w:rsidR="009321C1" w:rsidRPr="00621D22" w:rsidRDefault="009321C1" w:rsidP="005E384D">
            <w:pPr>
              <w:rPr>
                <w:sz w:val="20"/>
                <w:szCs w:val="20"/>
                <w:lang w:val="en-GB"/>
              </w:rPr>
            </w:pPr>
          </w:p>
        </w:tc>
        <w:tc>
          <w:tcPr>
            <w:tcW w:w="732" w:type="pct"/>
            <w:tcBorders>
              <w:top w:val="nil"/>
            </w:tcBorders>
          </w:tcPr>
          <w:p w:rsidR="009321C1" w:rsidRPr="00621D22" w:rsidRDefault="009321C1" w:rsidP="005E384D">
            <w:pPr>
              <w:rPr>
                <w:sz w:val="20"/>
                <w:szCs w:val="20"/>
                <w:lang w:val="en-GB"/>
              </w:rPr>
            </w:pPr>
          </w:p>
        </w:tc>
        <w:tc>
          <w:tcPr>
            <w:tcW w:w="984" w:type="pct"/>
            <w:tcBorders>
              <w:top w:val="nil"/>
            </w:tcBorders>
          </w:tcPr>
          <w:p w:rsidR="009321C1" w:rsidRPr="00621D22" w:rsidRDefault="009321C1" w:rsidP="005E384D">
            <w:pPr>
              <w:rPr>
                <w:sz w:val="20"/>
                <w:szCs w:val="20"/>
                <w:lang w:val="en-GB"/>
              </w:rPr>
            </w:pPr>
          </w:p>
        </w:tc>
        <w:tc>
          <w:tcPr>
            <w:tcW w:w="1042" w:type="pct"/>
            <w:tcBorders>
              <w:top w:val="nil"/>
            </w:tcBorders>
          </w:tcPr>
          <w:p w:rsidR="009321C1" w:rsidRPr="00621D22" w:rsidRDefault="009321C1" w:rsidP="005E384D">
            <w:pPr>
              <w:rPr>
                <w:sz w:val="20"/>
                <w:szCs w:val="20"/>
                <w:lang w:val="en-GB"/>
              </w:rPr>
            </w:pPr>
          </w:p>
        </w:tc>
      </w:tr>
      <w:tr w:rsidR="009321C1" w:rsidRPr="009321C1" w:rsidTr="005E384D">
        <w:tc>
          <w:tcPr>
            <w:tcW w:w="709" w:type="pct"/>
            <w:tcBorders>
              <w:top w:val="nil"/>
            </w:tcBorders>
          </w:tcPr>
          <w:p w:rsidR="009321C1" w:rsidRPr="00621D22" w:rsidRDefault="009321C1" w:rsidP="005E384D">
            <w:pPr>
              <w:rPr>
                <w:sz w:val="20"/>
                <w:szCs w:val="20"/>
                <w:lang w:val="en-GB"/>
              </w:rPr>
            </w:pPr>
            <w:r>
              <w:rPr>
                <w:sz w:val="20"/>
                <w:szCs w:val="20"/>
                <w:lang w:val="en-GB"/>
              </w:rPr>
              <w:t xml:space="preserve">Tordjman et al </w:t>
            </w:r>
            <w:r w:rsidRPr="00621D22">
              <w:rPr>
                <w:sz w:val="20"/>
                <w:szCs w:val="20"/>
                <w:lang w:val="en-GB"/>
              </w:rPr>
              <w:fldChar w:fldCharType="begin" w:fldLock="1"/>
            </w:r>
            <w:r>
              <w:rPr>
                <w:sz w:val="20"/>
                <w:szCs w:val="20"/>
                <w:lang w:val="en-GB"/>
              </w:rPr>
              <w:instrText>ADDIN CSL_CITATION {"citationItems":[{"id":"ITEM-1","itemData":{"DOI":"10.1371/journal.pone.0243342","ISSN":"19326203","PMID":"33332360","abstract":"Introduction In numerous countries, large population testing is impossible due to the limited availability of RT-PCR kits and CT-scans. This study aimed to determine a pre-test probability score for SARS-CoV-2 infection. Methods This multicenter retrospective study (4 University Hospitals) included patients with clinical suspicion of SARS-CoV-2 infection. Demographic characteristics, clinical symptoms, and results of blood tests (complete white blood cell count, serum electrolytes and CRP) were collected. A pre-test probability score was derived from univariate analyses of clinical and biological variables between patients and controls, followed by multivariate binary logistic analysis to determine the independent variables associated with SARS-CoV-2 infection. Results 605 patients were included between March 10th and April 30th, 2020 (200 patients for the training cohort, 405 consecutive patients for the validation cohort). In the multivariate analysis, lymphocyte (&lt;1.3 G/L), eosinophil (&lt;0.06 G/L), basophil (&lt;0.04 G/L) and neutrophil counts (&lt;5 G/L) were associated with high probability of SARS-CoV-2 infection but no clinical variable was statistically significant. The score had a good performance in the validation cohort (AUC = 0.918 (CI: [0.891-0.946]; STD = 0.014) with a Positive Predictive Value of high-probability score of 93% (95%CI: [0.89-0.96]). Furthermore, a low-probability score excluded SARS-CoV-2 infection with a Negative Predictive Value of 98% (95%CI: [0.93-0.99]). The performance of the score was stable even during the last period of the study (15- 30th April) with more controls than infected patients. Conclusions The PARIS score has a good performance to categorize the pre-test probability of SARSCoV- 2 infection based on complete white blood cell count. It could help clinicians adapt testing and for rapid triage of patients before test results. Copyright:","author":[{"dropping-particle":"","family":"Tordjman","given":"Mickael","non-dropping-particle":"","parse-names":false,"suffix":""},{"dropping-particle":"","family":"Mekki","given":"Ahmed","non-dropping-particle":"","parse-names":false,"suffix":""},{"dropping-particle":"","family":"Mali","given":"Rahul D.","non-dropping-particle":"","parse-names":false,"suffix":""},{"dropping-particle":"","family":"Saab","given":"Ines","non-dropping-particle":"","parse-names":false,"suffix":""},{"dropping-particle":"","family":"Chassagnon","given":"Guillaume","non-dropping-particle":"","parse-names":false,"suffix":""},{"dropping-particle":"","family":"Guillo","given":"Enora","non-dropping-particle":"","parse-names":false,"suffix":""},{"dropping-particle":"","family":"Burns","given":"Robert","non-dropping-particle":"","parse-names":false,"suffix":""},{"dropping-particle":"","family":"Eshagh","given":"Deborah","non-dropping-particle":"","parse-names":false,"suffix":""},{"dropping-particle":"","family":"Beaune","given":"Sebastien","non-dropping-particle":"","parse-names":false,"suffix":""},{"dropping-particle":"","family":"Madelin","given":"Guillaume","non-dropping-particle":"","parse-names":false,"suffix":""},{"dropping-particle":"","family":"Bessis","given":"Simon","non-dropping-particle":"","parse-names":false,"suffix":""},{"dropping-particle":"","family":"Feydy","given":"Antoine","non-dropping-particle":"","parse-names":false,"suffix":""},{"dropping-particle":"","family":"Mihoubi","given":"Fadila","non-dropping-particle":"","parse-names":false,"suffix":""},{"dropping-particle":"","family":"Doumenc","given":"Benoit","non-dropping-particle":"","parse-names":false,"suffix":""},{"dropping-particle":"","family":"Mouthon","given":"Luc","non-dropping-particle":"","parse-names":false,"suffix":""},{"dropping-particle":"","family":"Carlier","given":"Robert Yves","non-dropping-particle":"","parse-names":false,"suffix":""},{"dropping-particle":"","family":"Drapé","given":"Jean Luc","non-dropping-particle":"","parse-names":false,"suffix":""},{"dropping-particle":"","family":"Revel","given":"Marie Pierre","non-dropping-particle":"","parse-names":false,"suffix":""}],"container-title":"PLoS ONE","id":"ITEM-1","issue":"12 December","issued":{"date-parts":[["2020","12"]]},"publisher":"Public Library of Science","title":"Pre-test probability for SARS-Cov-2-related infection score: The PARIS score","type":"article-journal","volume":"15"},"uris":["http://www.mendeley.com/documents/?uuid=6503a292-7d00-41cd-903a-7331ff7b4378"]}],"mendeley":{"formattedCitation":"(39)","manualFormatting":"[28]","plainTextFormattedCitation":"(39)","previouslyFormattedCitation":"(39)"},"properties":{"noteIndex":0},"schema":"https://github.com/citation-style-language/schema/raw/master/csl-citation.json"}</w:instrText>
            </w:r>
            <w:r w:rsidRPr="00621D22">
              <w:rPr>
                <w:sz w:val="20"/>
                <w:szCs w:val="20"/>
                <w:lang w:val="en-GB"/>
              </w:rPr>
              <w:fldChar w:fldCharType="separate"/>
            </w:r>
            <w:r>
              <w:rPr>
                <w:noProof/>
                <w:sz w:val="20"/>
                <w:szCs w:val="20"/>
                <w:lang w:val="en-GB"/>
              </w:rPr>
              <w:t>[28</w:t>
            </w:r>
            <w:r w:rsidRPr="00AE757B">
              <w:rPr>
                <w:noProof/>
                <w:sz w:val="20"/>
                <w:szCs w:val="20"/>
                <w:lang w:val="en-GB"/>
              </w:rPr>
              <w:t>]</w:t>
            </w:r>
            <w:r w:rsidRPr="00621D22">
              <w:rPr>
                <w:sz w:val="20"/>
                <w:szCs w:val="20"/>
                <w:lang w:val="en-GB"/>
              </w:rPr>
              <w:fldChar w:fldCharType="end"/>
            </w:r>
            <w:r w:rsidRPr="00621D22">
              <w:rPr>
                <w:sz w:val="20"/>
                <w:szCs w:val="20"/>
                <w:lang w:val="en-GB"/>
              </w:rPr>
              <w:t xml:space="preserve"> </w:t>
            </w:r>
          </w:p>
        </w:tc>
        <w:tc>
          <w:tcPr>
            <w:tcW w:w="1533" w:type="pct"/>
            <w:tcBorders>
              <w:top w:val="nil"/>
            </w:tcBorders>
          </w:tcPr>
          <w:p w:rsidR="009321C1" w:rsidRPr="00621D22" w:rsidRDefault="009321C1" w:rsidP="005E384D">
            <w:pPr>
              <w:rPr>
                <w:sz w:val="20"/>
                <w:szCs w:val="20"/>
                <w:lang w:val="en-GB"/>
              </w:rPr>
            </w:pPr>
            <w:r w:rsidRPr="00621D22">
              <w:rPr>
                <w:sz w:val="20"/>
                <w:szCs w:val="20"/>
                <w:lang w:val="en-GB"/>
              </w:rPr>
              <w:t xml:space="preserve">Eosinophils </w:t>
            </w:r>
          </w:p>
          <w:p w:rsidR="009321C1" w:rsidRPr="00621D22" w:rsidRDefault="009321C1" w:rsidP="005E384D">
            <w:pPr>
              <w:rPr>
                <w:sz w:val="20"/>
                <w:szCs w:val="20"/>
                <w:lang w:val="en-GB"/>
              </w:rPr>
            </w:pPr>
            <w:r w:rsidRPr="00621D22">
              <w:rPr>
                <w:sz w:val="20"/>
                <w:szCs w:val="20"/>
                <w:lang w:val="en-GB"/>
              </w:rPr>
              <w:t xml:space="preserve">Lymphocytes </w:t>
            </w:r>
          </w:p>
          <w:p w:rsidR="009321C1" w:rsidRPr="00621D22" w:rsidRDefault="009321C1" w:rsidP="005E384D">
            <w:pPr>
              <w:rPr>
                <w:sz w:val="20"/>
                <w:szCs w:val="20"/>
                <w:lang w:val="en-GB"/>
              </w:rPr>
            </w:pPr>
            <w:r w:rsidRPr="00621D22">
              <w:rPr>
                <w:sz w:val="20"/>
                <w:szCs w:val="20"/>
                <w:lang w:val="en-GB"/>
              </w:rPr>
              <w:t xml:space="preserve">Neutrophils </w:t>
            </w:r>
          </w:p>
          <w:p w:rsidR="009321C1" w:rsidRPr="00621D22" w:rsidRDefault="009321C1" w:rsidP="005E384D">
            <w:pPr>
              <w:rPr>
                <w:sz w:val="20"/>
                <w:szCs w:val="20"/>
                <w:lang w:val="en-GB"/>
              </w:rPr>
            </w:pPr>
            <w:r w:rsidRPr="00621D22">
              <w:rPr>
                <w:sz w:val="20"/>
                <w:szCs w:val="20"/>
                <w:lang w:val="en-GB"/>
              </w:rPr>
              <w:t xml:space="preserve">Basophils </w:t>
            </w:r>
          </w:p>
        </w:tc>
        <w:tc>
          <w:tcPr>
            <w:tcW w:w="732" w:type="pct"/>
            <w:tcBorders>
              <w:top w:val="nil"/>
            </w:tcBorders>
          </w:tcPr>
          <w:p w:rsidR="009321C1" w:rsidRPr="00621D22" w:rsidRDefault="009321C1" w:rsidP="005E384D">
            <w:pPr>
              <w:rPr>
                <w:sz w:val="20"/>
                <w:szCs w:val="20"/>
                <w:lang w:val="en-GB"/>
              </w:rPr>
            </w:pPr>
            <w:r w:rsidRPr="00621D22">
              <w:rPr>
                <w:sz w:val="20"/>
                <w:szCs w:val="20"/>
                <w:lang w:val="en-GB"/>
              </w:rPr>
              <w:t xml:space="preserve">Binary logistic regression </w:t>
            </w:r>
          </w:p>
        </w:tc>
        <w:tc>
          <w:tcPr>
            <w:tcW w:w="984" w:type="pct"/>
            <w:tcBorders>
              <w:top w:val="nil"/>
            </w:tcBorders>
          </w:tcPr>
          <w:p w:rsidR="009321C1" w:rsidRPr="00621D22" w:rsidRDefault="009321C1" w:rsidP="005E384D">
            <w:pPr>
              <w:rPr>
                <w:sz w:val="20"/>
                <w:szCs w:val="20"/>
                <w:lang w:val="en-GB"/>
              </w:rPr>
            </w:pPr>
            <w:r w:rsidRPr="00621D22">
              <w:rPr>
                <w:sz w:val="20"/>
                <w:szCs w:val="20"/>
                <w:lang w:val="en-GB"/>
              </w:rPr>
              <w:t>/</w:t>
            </w:r>
          </w:p>
        </w:tc>
        <w:tc>
          <w:tcPr>
            <w:tcW w:w="1042" w:type="pct"/>
            <w:tcBorders>
              <w:top w:val="nil"/>
            </w:tcBorders>
          </w:tcPr>
          <w:p w:rsidR="009321C1" w:rsidRPr="00621D22" w:rsidRDefault="009321C1" w:rsidP="005E384D">
            <w:pPr>
              <w:rPr>
                <w:sz w:val="20"/>
                <w:szCs w:val="20"/>
                <w:lang w:val="en-GB"/>
              </w:rPr>
            </w:pPr>
            <w:r w:rsidRPr="00621D22">
              <w:rPr>
                <w:sz w:val="20"/>
                <w:szCs w:val="20"/>
                <w:lang w:val="en-GB"/>
              </w:rPr>
              <w:t xml:space="preserve">Logistic regression </w:t>
            </w:r>
          </w:p>
          <w:p w:rsidR="009321C1" w:rsidRPr="00621D22" w:rsidRDefault="009321C1" w:rsidP="005E384D">
            <w:pPr>
              <w:rPr>
                <w:sz w:val="20"/>
                <w:szCs w:val="20"/>
                <w:lang w:val="en-GB"/>
              </w:rPr>
            </w:pPr>
            <w:r w:rsidRPr="00621D22">
              <w:rPr>
                <w:sz w:val="20"/>
                <w:szCs w:val="20"/>
                <w:lang w:val="en-GB"/>
              </w:rPr>
              <w:t>Predictive PARIS score (0 – 5)</w:t>
            </w:r>
          </w:p>
          <w:p w:rsidR="009321C1" w:rsidRPr="00621D22" w:rsidRDefault="009321C1" w:rsidP="005E384D">
            <w:pPr>
              <w:rPr>
                <w:sz w:val="20"/>
                <w:szCs w:val="20"/>
                <w:lang w:val="en-GB"/>
              </w:rPr>
            </w:pPr>
            <w:r w:rsidRPr="00621D22">
              <w:rPr>
                <w:sz w:val="20"/>
                <w:szCs w:val="20"/>
                <w:lang w:val="en-GB"/>
              </w:rPr>
              <w:t xml:space="preserve">Cut-off </w:t>
            </w:r>
            <w:r w:rsidRPr="00AE757B">
              <w:rPr>
                <w:rFonts w:cstheme="minorHAnsi"/>
                <w:color w:val="000000"/>
                <w:sz w:val="20"/>
                <w:szCs w:val="20"/>
                <w:lang w:val="en-GB"/>
              </w:rPr>
              <w:t>≥ 0 to ≥ 5</w:t>
            </w:r>
          </w:p>
        </w:tc>
      </w:tr>
      <w:tr w:rsidR="009321C1" w:rsidRPr="009321C1" w:rsidTr="005E384D">
        <w:tc>
          <w:tcPr>
            <w:tcW w:w="709" w:type="pct"/>
          </w:tcPr>
          <w:p w:rsidR="009321C1" w:rsidRPr="00621D22" w:rsidRDefault="009321C1" w:rsidP="005E384D">
            <w:pPr>
              <w:rPr>
                <w:sz w:val="20"/>
                <w:szCs w:val="20"/>
                <w:lang w:val="en-GB"/>
              </w:rPr>
            </w:pPr>
          </w:p>
        </w:tc>
        <w:tc>
          <w:tcPr>
            <w:tcW w:w="1533" w:type="pct"/>
          </w:tcPr>
          <w:p w:rsidR="009321C1" w:rsidRPr="00621D22" w:rsidRDefault="009321C1" w:rsidP="005E384D">
            <w:pPr>
              <w:rPr>
                <w:sz w:val="20"/>
                <w:szCs w:val="20"/>
                <w:lang w:val="en-GB"/>
              </w:rPr>
            </w:pPr>
          </w:p>
        </w:tc>
        <w:tc>
          <w:tcPr>
            <w:tcW w:w="732" w:type="pct"/>
          </w:tcPr>
          <w:p w:rsidR="009321C1" w:rsidRPr="00621D22" w:rsidRDefault="009321C1" w:rsidP="005E384D">
            <w:pPr>
              <w:rPr>
                <w:sz w:val="20"/>
                <w:szCs w:val="20"/>
                <w:lang w:val="en-GB"/>
              </w:rPr>
            </w:pPr>
          </w:p>
        </w:tc>
        <w:tc>
          <w:tcPr>
            <w:tcW w:w="984" w:type="pct"/>
          </w:tcPr>
          <w:p w:rsidR="009321C1" w:rsidRPr="00621D22" w:rsidRDefault="009321C1" w:rsidP="005E384D">
            <w:pPr>
              <w:rPr>
                <w:sz w:val="20"/>
                <w:szCs w:val="20"/>
                <w:lang w:val="en-GB"/>
              </w:rPr>
            </w:pPr>
          </w:p>
        </w:tc>
        <w:tc>
          <w:tcPr>
            <w:tcW w:w="1042" w:type="pct"/>
          </w:tcPr>
          <w:p w:rsidR="009321C1" w:rsidRPr="00621D22" w:rsidRDefault="009321C1" w:rsidP="005E384D">
            <w:pPr>
              <w:rPr>
                <w:sz w:val="20"/>
                <w:szCs w:val="20"/>
                <w:lang w:val="en-GB"/>
              </w:rPr>
            </w:pPr>
          </w:p>
        </w:tc>
      </w:tr>
      <w:tr w:rsidR="009321C1" w:rsidRPr="009321C1" w:rsidTr="005E384D">
        <w:tc>
          <w:tcPr>
            <w:tcW w:w="709" w:type="pct"/>
          </w:tcPr>
          <w:p w:rsidR="009321C1" w:rsidRPr="00621D22" w:rsidRDefault="009321C1" w:rsidP="005E384D">
            <w:pPr>
              <w:rPr>
                <w:sz w:val="20"/>
                <w:szCs w:val="20"/>
                <w:lang w:val="en-GB"/>
              </w:rPr>
            </w:pPr>
            <w:r w:rsidRPr="00621D22">
              <w:rPr>
                <w:sz w:val="20"/>
                <w:szCs w:val="20"/>
                <w:lang w:val="en-GB"/>
              </w:rPr>
              <w:t xml:space="preserve">Kurstjens et al. </w:t>
            </w:r>
            <w:r w:rsidRPr="00621D22">
              <w:rPr>
                <w:sz w:val="20"/>
                <w:szCs w:val="20"/>
                <w:lang w:val="en-GB"/>
              </w:rPr>
              <w:fldChar w:fldCharType="begin" w:fldLock="1"/>
            </w:r>
            <w:r>
              <w:rPr>
                <w:sz w:val="20"/>
                <w:szCs w:val="20"/>
                <w:lang w:val="en-GB"/>
              </w:rPr>
              <w:instrText>ADDIN CSL_CITATION {"citationItems":[{"id":"ITEM-1","itemData":{"DOI":"10.1515/cclm-2020-0593","ISSN":"14374331","PMID":"32598302","abstract":"Objectives: The novel coronavirus disease 19 (COVID-19), caused by SARS-CoV-2, spreads rapidly across the world. The exponential increase in the number of cases has resulted in overcrowding of emergency departments (ED). Detection of SARS-CoV-2 is based on an RT-PCR of nasopharyngeal swab material. However, RT-PCR testing is time-consuming and many hospitals deal with a shortage of testing materials. Therefore, we aimed to develop an algorithm to rapidly evaluate an individual's risk of SARSCoV-2 infection at the ED. Methods: In this multicenter retrospective study, routine laboratory parameters (C-reactive protein, lactate dehydrogenase, ferritin, absolute neutrophil and lymphocyte counts), demographic data and the chest X-ray/CT result from 967 patients entering the ED with respiratory symptoms were collected. Using these parameters, an easy-to-use point-based algorithm, called the corona-score, was developed to discriminate between patients that tested positive for SARS-CoV-2 by RT-PCR and those testing negative. Computational sampling was used to optimize the corona-score. Validation of the model was performed using data from 592 patients. Results: The corona-score model yielded an area under the receiver operating characteristic curve of 0.91 in the validation population. Patients testing negative for SARSCoV-2 showed a median corona-score of 3 vs. 11 (scale 0-14) in patients testing positive for SARS-CoV-2 (p&lt;0.001). Using cut-off values of 4 and 11 the model has a sensitivity and specificity of 96 and 95%, respectively. Conclusions: The corona-score effectively predicts SARSCoV-2 RT-PCR outcome based on routine parameters. This algorithm provides the means for medical professionals to rapidly evaluate SARS-CoV-2 infection status of patients presenting at the ED with respiratory symptoms.","author":[{"dropping-particle":"","family":"Kurstjens","given":"Steef","non-dropping-particle":"","parse-names":false,"suffix":""},{"dropping-particle":"","family":"Horst","given":"Armando","non-dropping-particle":"van der","parse-names":false,"suffix":""},{"dropping-particle":"","family":"Herpers","given":"Robert","non-dropping-particle":"","parse-names":false,"suffix":""},{"dropping-particle":"","family":"Geerits","given":"Mick W.L.","non-dropping-particle":"","parse-names":false,"suffix":""},{"dropping-particle":"","family":"Kluiters-De Hingh","given":"Yvette C.M.","non-dropping-particle":"","parse-names":false,"suffix":""},{"dropping-particle":"","family":"Göttgens","given":"Eva Leonne","non-dropping-particle":"","parse-names":false,"suffix":""},{"dropping-particle":"","family":"Blaauw","given":"Martinus J.T.","non-dropping-particle":"","parse-names":false,"suffix":""},{"dropping-particle":"","family":"Thelen","given":"Marc H.M.","non-dropping-particle":"","parse-names":false,"suffix":""},{"dropping-particle":"","family":"Elisen","given":"Marc G.L.M.","non-dropping-particle":"","parse-names":false,"suffix":""},{"dropping-particle":"","family":"Kusters","given":"Ron","non-dropping-particle":"","parse-names":false,"suffix":""}],"container-title":"Clinical Chemistry and Laboratory Medicine","id":"ITEM-1","issue":"9","issued":{"date-parts":[["2020","8"]]},"page":"1587-1593","publisher":"De Gruyter Open Ltd","title":"Rapid identification of SARS-CoV-2-infected patients at the emergency department using routine testing","type":"article-journal","volume":"58"},"uris":["http://www.mendeley.com/documents/?uuid=194dad1a-d1d8-432b-ab6a-88f40ea5181c"]}],"mendeley":{"formattedCitation":"(14)","plainTextFormattedCitation":"(14)","previouslyFormattedCitation":"(14)"},"properties":{"noteIndex":0},"schema":"https://github.com/citation-style-language/schema/raw/master/csl-citation.json"}</w:instrText>
            </w:r>
            <w:r w:rsidRPr="00621D22">
              <w:rPr>
                <w:sz w:val="20"/>
                <w:szCs w:val="20"/>
                <w:lang w:val="en-GB"/>
              </w:rPr>
              <w:fldChar w:fldCharType="separate"/>
            </w:r>
            <w:r w:rsidRPr="005E6D48">
              <w:rPr>
                <w:noProof/>
                <w:sz w:val="20"/>
                <w:szCs w:val="20"/>
                <w:lang w:val="en-GB"/>
              </w:rPr>
              <w:t>(14)</w:t>
            </w:r>
            <w:r w:rsidRPr="00621D22">
              <w:rPr>
                <w:sz w:val="20"/>
                <w:szCs w:val="20"/>
                <w:lang w:val="en-GB"/>
              </w:rPr>
              <w:fldChar w:fldCharType="end"/>
            </w:r>
          </w:p>
        </w:tc>
        <w:tc>
          <w:tcPr>
            <w:tcW w:w="1533" w:type="pct"/>
          </w:tcPr>
          <w:p w:rsidR="009321C1" w:rsidRPr="00621D22" w:rsidRDefault="009321C1" w:rsidP="005E384D">
            <w:pPr>
              <w:rPr>
                <w:sz w:val="20"/>
                <w:szCs w:val="20"/>
                <w:lang w:val="en-GB"/>
              </w:rPr>
            </w:pPr>
            <w:r w:rsidRPr="00621D22">
              <w:rPr>
                <w:sz w:val="20"/>
                <w:szCs w:val="20"/>
                <w:lang w:val="en-GB"/>
              </w:rPr>
              <w:t>Age</w:t>
            </w:r>
          </w:p>
          <w:p w:rsidR="009321C1" w:rsidRPr="00621D22" w:rsidRDefault="009321C1" w:rsidP="005E384D">
            <w:pPr>
              <w:rPr>
                <w:sz w:val="20"/>
                <w:szCs w:val="20"/>
                <w:lang w:val="en-GB"/>
              </w:rPr>
            </w:pPr>
            <w:r w:rsidRPr="00621D22">
              <w:rPr>
                <w:sz w:val="20"/>
                <w:szCs w:val="20"/>
                <w:lang w:val="en-GB"/>
              </w:rPr>
              <w:t>Sex</w:t>
            </w:r>
          </w:p>
          <w:p w:rsidR="009321C1" w:rsidRPr="00621D22" w:rsidRDefault="009321C1" w:rsidP="005E384D">
            <w:pPr>
              <w:rPr>
                <w:sz w:val="20"/>
                <w:szCs w:val="20"/>
                <w:lang w:val="en-GB"/>
              </w:rPr>
            </w:pPr>
            <w:r w:rsidRPr="00621D22">
              <w:rPr>
                <w:sz w:val="20"/>
                <w:szCs w:val="20"/>
                <w:lang w:val="en-GB"/>
              </w:rPr>
              <w:t>CRP</w:t>
            </w:r>
          </w:p>
          <w:p w:rsidR="009321C1" w:rsidRPr="00621D22" w:rsidRDefault="009321C1" w:rsidP="005E384D">
            <w:pPr>
              <w:rPr>
                <w:sz w:val="20"/>
                <w:szCs w:val="20"/>
                <w:lang w:val="en-GB"/>
              </w:rPr>
            </w:pPr>
            <w:r w:rsidRPr="00621D22">
              <w:rPr>
                <w:sz w:val="20"/>
                <w:szCs w:val="20"/>
                <w:lang w:val="en-GB"/>
              </w:rPr>
              <w:t xml:space="preserve">Ferritin </w:t>
            </w:r>
          </w:p>
          <w:p w:rsidR="009321C1" w:rsidRPr="00621D22" w:rsidRDefault="009321C1" w:rsidP="005E384D">
            <w:pPr>
              <w:rPr>
                <w:sz w:val="20"/>
                <w:szCs w:val="20"/>
                <w:lang w:val="en-GB"/>
              </w:rPr>
            </w:pPr>
            <w:r w:rsidRPr="00621D22">
              <w:rPr>
                <w:sz w:val="20"/>
                <w:szCs w:val="20"/>
                <w:lang w:val="en-GB"/>
              </w:rPr>
              <w:t>LDH</w:t>
            </w:r>
          </w:p>
          <w:p w:rsidR="009321C1" w:rsidRPr="00621D22" w:rsidRDefault="009321C1" w:rsidP="005E384D">
            <w:pPr>
              <w:rPr>
                <w:sz w:val="20"/>
                <w:szCs w:val="20"/>
                <w:lang w:val="en-GB"/>
              </w:rPr>
            </w:pPr>
            <w:r w:rsidRPr="00621D22">
              <w:rPr>
                <w:sz w:val="20"/>
                <w:szCs w:val="20"/>
                <w:lang w:val="en-GB"/>
              </w:rPr>
              <w:t xml:space="preserve">ALC </w:t>
            </w:r>
          </w:p>
          <w:p w:rsidR="009321C1" w:rsidRPr="00621D22" w:rsidRDefault="009321C1" w:rsidP="005E384D">
            <w:pPr>
              <w:rPr>
                <w:sz w:val="20"/>
                <w:szCs w:val="20"/>
                <w:lang w:val="en-GB"/>
              </w:rPr>
            </w:pPr>
            <w:r w:rsidRPr="00621D22">
              <w:rPr>
                <w:sz w:val="20"/>
                <w:szCs w:val="20"/>
                <w:lang w:val="en-GB"/>
              </w:rPr>
              <w:t xml:space="preserve">ANC </w:t>
            </w:r>
          </w:p>
          <w:p w:rsidR="009321C1" w:rsidRPr="00621D22" w:rsidRDefault="009321C1" w:rsidP="005E384D">
            <w:pPr>
              <w:rPr>
                <w:sz w:val="20"/>
                <w:szCs w:val="20"/>
                <w:lang w:val="en-GB"/>
              </w:rPr>
            </w:pPr>
            <w:r w:rsidRPr="00621D22">
              <w:rPr>
                <w:sz w:val="20"/>
                <w:szCs w:val="20"/>
                <w:lang w:val="en-GB"/>
              </w:rPr>
              <w:t xml:space="preserve">Chest X-ray </w:t>
            </w:r>
          </w:p>
        </w:tc>
        <w:tc>
          <w:tcPr>
            <w:tcW w:w="732" w:type="pct"/>
          </w:tcPr>
          <w:p w:rsidR="009321C1" w:rsidRPr="00621D22" w:rsidRDefault="009321C1" w:rsidP="005E384D">
            <w:pPr>
              <w:rPr>
                <w:sz w:val="20"/>
                <w:szCs w:val="20"/>
                <w:lang w:val="en-GB"/>
              </w:rPr>
            </w:pPr>
            <w:r w:rsidRPr="00621D22">
              <w:rPr>
                <w:sz w:val="20"/>
                <w:szCs w:val="20"/>
                <w:lang w:val="en-GB"/>
              </w:rPr>
              <w:t xml:space="preserve">Python algorithm </w:t>
            </w:r>
          </w:p>
        </w:tc>
        <w:tc>
          <w:tcPr>
            <w:tcW w:w="984" w:type="pct"/>
          </w:tcPr>
          <w:p w:rsidR="009321C1" w:rsidRPr="00621D22" w:rsidRDefault="009321C1" w:rsidP="005E384D">
            <w:pPr>
              <w:rPr>
                <w:sz w:val="20"/>
                <w:szCs w:val="20"/>
                <w:lang w:val="en-GB"/>
              </w:rPr>
            </w:pPr>
            <w:r w:rsidRPr="00621D22">
              <w:rPr>
                <w:sz w:val="20"/>
                <w:szCs w:val="20"/>
                <w:lang w:val="en-GB"/>
              </w:rPr>
              <w:t>/</w:t>
            </w:r>
          </w:p>
        </w:tc>
        <w:tc>
          <w:tcPr>
            <w:tcW w:w="1042" w:type="pct"/>
          </w:tcPr>
          <w:p w:rsidR="009321C1" w:rsidRPr="00621D22" w:rsidRDefault="009321C1" w:rsidP="005E384D">
            <w:pPr>
              <w:rPr>
                <w:sz w:val="20"/>
                <w:szCs w:val="20"/>
                <w:lang w:val="en-GB"/>
              </w:rPr>
            </w:pPr>
            <w:r w:rsidRPr="00621D22">
              <w:rPr>
                <w:sz w:val="20"/>
                <w:szCs w:val="20"/>
                <w:lang w:val="en-GB"/>
              </w:rPr>
              <w:t>Corona score (0 – 14)</w:t>
            </w:r>
          </w:p>
          <w:p w:rsidR="009321C1" w:rsidRPr="00621D22" w:rsidRDefault="009321C1" w:rsidP="005E384D">
            <w:pPr>
              <w:rPr>
                <w:sz w:val="20"/>
                <w:szCs w:val="20"/>
                <w:lang w:val="en-GB"/>
              </w:rPr>
            </w:pPr>
            <w:r w:rsidRPr="00621D22">
              <w:rPr>
                <w:sz w:val="20"/>
                <w:szCs w:val="20"/>
                <w:lang w:val="en-GB"/>
              </w:rPr>
              <w:t xml:space="preserve">Cut-off </w:t>
            </w:r>
            <w:r w:rsidRPr="00621D22">
              <w:rPr>
                <w:rFonts w:cstheme="minorHAnsi"/>
                <w:sz w:val="20"/>
                <w:szCs w:val="20"/>
                <w:lang w:val="en-GB"/>
              </w:rPr>
              <w:t>&gt;2, &gt;3, &gt;4, ≥</w:t>
            </w:r>
            <w:r w:rsidRPr="00621D22">
              <w:rPr>
                <w:sz w:val="20"/>
                <w:szCs w:val="20"/>
                <w:lang w:val="en-GB"/>
              </w:rPr>
              <w:t xml:space="preserve">5, </w:t>
            </w:r>
            <w:r w:rsidRPr="00621D22">
              <w:rPr>
                <w:rFonts w:ascii="Calibri" w:hAnsi="Calibri" w:cs="Calibri"/>
                <w:sz w:val="20"/>
                <w:szCs w:val="20"/>
                <w:lang w:val="en-GB"/>
              </w:rPr>
              <w:t>≥</w:t>
            </w:r>
            <w:r w:rsidRPr="00621D22">
              <w:rPr>
                <w:sz w:val="20"/>
                <w:szCs w:val="20"/>
                <w:lang w:val="en-GB"/>
              </w:rPr>
              <w:t xml:space="preserve">9, </w:t>
            </w:r>
            <w:r w:rsidRPr="00621D22">
              <w:rPr>
                <w:rFonts w:cstheme="minorHAnsi"/>
                <w:sz w:val="20"/>
                <w:szCs w:val="20"/>
                <w:lang w:val="en-GB"/>
              </w:rPr>
              <w:t>≥</w:t>
            </w:r>
            <w:r w:rsidRPr="00621D22">
              <w:rPr>
                <w:sz w:val="20"/>
                <w:szCs w:val="20"/>
                <w:lang w:val="en-GB"/>
              </w:rPr>
              <w:t xml:space="preserve">10, </w:t>
            </w:r>
            <w:r w:rsidRPr="00621D22">
              <w:rPr>
                <w:rFonts w:ascii="Calibri" w:hAnsi="Calibri" w:cs="Calibri"/>
                <w:sz w:val="20"/>
                <w:szCs w:val="20"/>
                <w:lang w:val="en-GB"/>
              </w:rPr>
              <w:t>≥</w:t>
            </w:r>
            <w:r w:rsidRPr="00621D22">
              <w:rPr>
                <w:sz w:val="20"/>
                <w:szCs w:val="20"/>
                <w:lang w:val="en-GB"/>
              </w:rPr>
              <w:t xml:space="preserve">11, </w:t>
            </w:r>
            <w:r w:rsidRPr="00621D22">
              <w:rPr>
                <w:rFonts w:cstheme="minorHAnsi"/>
                <w:sz w:val="20"/>
                <w:szCs w:val="20"/>
                <w:lang w:val="en-GB"/>
              </w:rPr>
              <w:t>≥</w:t>
            </w:r>
            <w:r w:rsidRPr="00621D22">
              <w:rPr>
                <w:sz w:val="20"/>
                <w:szCs w:val="20"/>
                <w:lang w:val="en-GB"/>
              </w:rPr>
              <w:t xml:space="preserve">12 </w:t>
            </w:r>
          </w:p>
        </w:tc>
      </w:tr>
      <w:tr w:rsidR="009321C1" w:rsidRPr="009321C1" w:rsidTr="005E384D">
        <w:tc>
          <w:tcPr>
            <w:tcW w:w="709" w:type="pct"/>
          </w:tcPr>
          <w:p w:rsidR="009321C1" w:rsidRPr="00621D22" w:rsidRDefault="009321C1" w:rsidP="005E384D">
            <w:pPr>
              <w:rPr>
                <w:sz w:val="20"/>
                <w:szCs w:val="20"/>
                <w:lang w:val="en-GB"/>
              </w:rPr>
            </w:pPr>
          </w:p>
        </w:tc>
        <w:tc>
          <w:tcPr>
            <w:tcW w:w="1533" w:type="pct"/>
          </w:tcPr>
          <w:p w:rsidR="009321C1" w:rsidRPr="00621D22" w:rsidRDefault="009321C1" w:rsidP="005E384D">
            <w:pPr>
              <w:rPr>
                <w:sz w:val="20"/>
                <w:szCs w:val="20"/>
                <w:lang w:val="en-GB"/>
              </w:rPr>
            </w:pPr>
          </w:p>
        </w:tc>
        <w:tc>
          <w:tcPr>
            <w:tcW w:w="732" w:type="pct"/>
          </w:tcPr>
          <w:p w:rsidR="009321C1" w:rsidRPr="00621D22" w:rsidRDefault="009321C1" w:rsidP="005E384D">
            <w:pPr>
              <w:rPr>
                <w:sz w:val="20"/>
                <w:szCs w:val="20"/>
                <w:lang w:val="en-GB"/>
              </w:rPr>
            </w:pPr>
          </w:p>
        </w:tc>
        <w:tc>
          <w:tcPr>
            <w:tcW w:w="984" w:type="pct"/>
          </w:tcPr>
          <w:p w:rsidR="009321C1" w:rsidRPr="00621D22" w:rsidRDefault="009321C1" w:rsidP="005E384D">
            <w:pPr>
              <w:rPr>
                <w:sz w:val="20"/>
                <w:szCs w:val="20"/>
                <w:lang w:val="en-GB"/>
              </w:rPr>
            </w:pPr>
          </w:p>
        </w:tc>
        <w:tc>
          <w:tcPr>
            <w:tcW w:w="1042" w:type="pct"/>
          </w:tcPr>
          <w:p w:rsidR="009321C1" w:rsidRDefault="009321C1" w:rsidP="005E384D">
            <w:pPr>
              <w:rPr>
                <w:sz w:val="20"/>
                <w:szCs w:val="20"/>
                <w:lang w:val="en-GB"/>
              </w:rPr>
            </w:pPr>
          </w:p>
        </w:tc>
      </w:tr>
      <w:tr w:rsidR="009321C1" w:rsidRPr="009321C1" w:rsidTr="005E384D">
        <w:tc>
          <w:tcPr>
            <w:tcW w:w="709" w:type="pct"/>
          </w:tcPr>
          <w:p w:rsidR="009321C1" w:rsidRPr="00621D22" w:rsidRDefault="009321C1" w:rsidP="005E384D">
            <w:pPr>
              <w:rPr>
                <w:sz w:val="20"/>
                <w:szCs w:val="20"/>
                <w:lang w:val="en-GB"/>
              </w:rPr>
            </w:pPr>
            <w:r>
              <w:rPr>
                <w:sz w:val="20"/>
                <w:szCs w:val="20"/>
                <w:lang w:val="en-GB"/>
              </w:rPr>
              <w:t>Aldobyany et al</w:t>
            </w:r>
            <w:r w:rsidRPr="00621D22">
              <w:rPr>
                <w:sz w:val="20"/>
                <w:szCs w:val="20"/>
                <w:lang w:val="en-GB"/>
              </w:rPr>
              <w:t xml:space="preserve"> </w:t>
            </w:r>
            <w:r w:rsidRPr="00621D22">
              <w:rPr>
                <w:sz w:val="20"/>
                <w:szCs w:val="20"/>
                <w:lang w:val="en-GB"/>
              </w:rPr>
              <w:fldChar w:fldCharType="begin" w:fldLock="1"/>
            </w:r>
            <w:r>
              <w:rPr>
                <w:sz w:val="20"/>
                <w:szCs w:val="20"/>
                <w:lang w:val="en-GB"/>
              </w:rPr>
              <w:instrText>ADDIN CSL_CITATION {"citationItems":[{"id":"ITEM-1","itemData":{"DOI":"10.3389/fmed.2020.605689","ISSN":"2296858X","abstract":"Background: COVID-19 clinical presentation is usually non-specific and includes commonly encountered symptoms like fever, cough, nausea, and vomiting. It has been reported that COVID-19 patients can potentially transmit the disease to others before developing symptoms. Thus, extensive surveillance and screening of individuals at risk of the disease is required to limit SARS-COV-2 spread. The COVID-19 respiratory triage score has been used for patient screening. We aimed to determine its diagnostic performance characteristics, which have not been adequately studied before. Methodology: This is a retrospective observational study involving all patients screened for COVID-19 at a tertiary care facility. Patients were tested using nasopharyngeal swab for SARS-COV-2 PCR. The Saudi CDC COVID-19 respiratory triage score was measured for all subjects. The sensitivity, specificity, positive predictive value, and negative predicted value of COVID-19 respiratory triage score were measured with reference to SARS-COV-2 PCR test. Multivariate regression analysis was done to identify factors that can predict a positive SARS-COV-2 PCR test. Result: A total of 1,435 subjects were included. The COVID-19 respiratory triage score provided a marginal diagnostic performance with a receiver-operating characteristics (ROC) area under the curve value of 0.60 (95% CI: 0.57–0.64). A triage score of 5 provided the best cut-off value for the combined sensitivity and specificity. Clinical characteristics that independently predicted positive COVID-19 PCR test include male sex (adjusted OR: 1.47; p = 0.034), healthcare workers and their family members (adjusted OR: 1.99; 95%; p = 0.016), fever (adjusted OR: 2.98; p &lt; 0.001), and moderate disease severity (adjusted OR: 5; p &lt; 0.001). Conclusion: The current COVID-19 respiratory triage score has marginal diagnostic performance characteristics. Its performance can improve by including additional predictors to the respiratory symptoms in order to avoid missing COVID-19 patients with atypical presentation and to limit unnecessary SARS-COV-2 PCR testing.","author":[{"dropping-particle":"","family":"Aldobyany","given":"Ahmad","non-dropping-particle":"","parse-names":false,"suffix":""},{"dropping-particle":"","family":"Touman","given":"Abdelfattah","non-dropping-particle":"","parse-names":false,"suffix":""},{"dropping-particle":"","family":"Ghaleb","given":"Nabil","non-dropping-particle":"","parse-names":false,"suffix":""},{"dropping-particle":"","family":"Alsaggaf","given":"Rajaa","non-dropping-particle":"","parse-names":false,"suffix":""},{"dropping-particle":"","family":"Murtaza","given":"Noureen","non-dropping-particle":"","parse-names":false,"suffix":""},{"dropping-particle":"","family":"Hamada","given":"Adel","non-dropping-particle":"","parse-names":false,"suffix":""},{"dropping-particle":"","family":"Alknawy","given":"Moataz","non-dropping-particle":"","parse-names":false,"suffix":""},{"dropping-particle":"","family":"Albanna","given":"Amr S.","non-dropping-particle":"","parse-names":false,"suffix":""},{"dropping-particle":"","family":"Alqurashi","given":"Eid","non-dropping-particle":"","parse-names":false,"suffix":""}],"container-title":"Frontiers in Medicine","id":"ITEM-1","issued":{"date-parts":[["2020","12"]]},"page":"605689","publisher":"Frontiers Media S.A.","title":"Correlation Between the COVID-19 Respiratory Triage Score and SARS-COV-2 PCR Test","type":"article-journal","volume":"7"},"uris":["http://www.mendeley.com/documents/?uuid=b446eea9-683a-4762-b911-74201459a38f"]}],"mendeley":{"formattedCitation":"(38)","manualFormatting":"[30]","plainTextFormattedCitation":"(38)","previouslyFormattedCitation":"(38)"},"properties":{"noteIndex":0},"schema":"https://github.com/citation-style-language/schema/raw/master/csl-citation.json"}</w:instrText>
            </w:r>
            <w:r w:rsidRPr="00621D22">
              <w:rPr>
                <w:sz w:val="20"/>
                <w:szCs w:val="20"/>
                <w:lang w:val="en-GB"/>
              </w:rPr>
              <w:fldChar w:fldCharType="separate"/>
            </w:r>
            <w:r>
              <w:rPr>
                <w:noProof/>
                <w:sz w:val="20"/>
                <w:szCs w:val="20"/>
                <w:lang w:val="en-GB"/>
              </w:rPr>
              <w:t>[30</w:t>
            </w:r>
            <w:r w:rsidRPr="00AE757B">
              <w:rPr>
                <w:noProof/>
                <w:sz w:val="20"/>
                <w:szCs w:val="20"/>
                <w:lang w:val="en-GB"/>
              </w:rPr>
              <w:t>]</w:t>
            </w:r>
            <w:r w:rsidRPr="00621D22">
              <w:rPr>
                <w:sz w:val="20"/>
                <w:szCs w:val="20"/>
                <w:lang w:val="en-GB"/>
              </w:rPr>
              <w:fldChar w:fldCharType="end"/>
            </w:r>
          </w:p>
        </w:tc>
        <w:tc>
          <w:tcPr>
            <w:tcW w:w="1533" w:type="pct"/>
          </w:tcPr>
          <w:p w:rsidR="009321C1" w:rsidRPr="00621D22" w:rsidRDefault="009321C1" w:rsidP="005E384D">
            <w:pPr>
              <w:rPr>
                <w:sz w:val="20"/>
                <w:szCs w:val="20"/>
                <w:lang w:val="en-GB"/>
              </w:rPr>
            </w:pPr>
            <w:r w:rsidRPr="00621D22">
              <w:rPr>
                <w:sz w:val="20"/>
                <w:szCs w:val="20"/>
                <w:lang w:val="en-GB"/>
              </w:rPr>
              <w:t xml:space="preserve">Exposure risk </w:t>
            </w:r>
          </w:p>
          <w:p w:rsidR="009321C1" w:rsidRPr="00621D22" w:rsidRDefault="009321C1" w:rsidP="005E384D">
            <w:pPr>
              <w:rPr>
                <w:sz w:val="20"/>
                <w:szCs w:val="20"/>
                <w:lang w:val="en-GB"/>
              </w:rPr>
            </w:pPr>
            <w:r w:rsidRPr="00621D22">
              <w:rPr>
                <w:sz w:val="20"/>
                <w:szCs w:val="20"/>
                <w:lang w:val="en-GB"/>
              </w:rPr>
              <w:t>Fever</w:t>
            </w:r>
          </w:p>
          <w:p w:rsidR="009321C1" w:rsidRPr="00621D22" w:rsidRDefault="009321C1" w:rsidP="005E384D">
            <w:pPr>
              <w:rPr>
                <w:sz w:val="20"/>
                <w:szCs w:val="20"/>
                <w:lang w:val="en-GB"/>
              </w:rPr>
            </w:pPr>
            <w:r w:rsidRPr="00621D22">
              <w:rPr>
                <w:sz w:val="20"/>
                <w:szCs w:val="20"/>
                <w:lang w:val="en-GB"/>
              </w:rPr>
              <w:t>Cough</w:t>
            </w:r>
          </w:p>
          <w:p w:rsidR="009321C1" w:rsidRPr="00621D22" w:rsidRDefault="009321C1" w:rsidP="005E384D">
            <w:pPr>
              <w:rPr>
                <w:sz w:val="20"/>
                <w:szCs w:val="20"/>
                <w:lang w:val="en-GB"/>
              </w:rPr>
            </w:pPr>
            <w:r w:rsidRPr="00621D22">
              <w:rPr>
                <w:sz w:val="20"/>
                <w:szCs w:val="20"/>
                <w:lang w:val="en-GB"/>
              </w:rPr>
              <w:t>Dyspnea</w:t>
            </w:r>
          </w:p>
          <w:p w:rsidR="009321C1" w:rsidRPr="00621D22" w:rsidRDefault="009321C1" w:rsidP="005E384D">
            <w:pPr>
              <w:rPr>
                <w:sz w:val="20"/>
                <w:szCs w:val="20"/>
                <w:lang w:val="en-GB"/>
              </w:rPr>
            </w:pPr>
            <w:r w:rsidRPr="00621D22">
              <w:rPr>
                <w:sz w:val="20"/>
                <w:szCs w:val="20"/>
                <w:lang w:val="en-GB"/>
              </w:rPr>
              <w:t>Nausea, vomiting and or diar</w:t>
            </w:r>
            <w:r>
              <w:rPr>
                <w:sz w:val="20"/>
                <w:szCs w:val="20"/>
                <w:lang w:val="en-GB"/>
              </w:rPr>
              <w:t>r</w:t>
            </w:r>
            <w:r w:rsidRPr="00621D22">
              <w:rPr>
                <w:sz w:val="20"/>
                <w:szCs w:val="20"/>
                <w:lang w:val="en-GB"/>
              </w:rPr>
              <w:t xml:space="preserve">hea </w:t>
            </w:r>
          </w:p>
          <w:p w:rsidR="009321C1" w:rsidRPr="00621D22" w:rsidRDefault="009321C1" w:rsidP="005E384D">
            <w:pPr>
              <w:rPr>
                <w:sz w:val="20"/>
                <w:szCs w:val="20"/>
                <w:lang w:val="en-GB"/>
              </w:rPr>
            </w:pPr>
            <w:r w:rsidRPr="00621D22">
              <w:rPr>
                <w:sz w:val="20"/>
                <w:szCs w:val="20"/>
                <w:lang w:val="en-GB"/>
              </w:rPr>
              <w:t xml:space="preserve">Chronis renal failure, CAD/heart failure, immunocompromised patient </w:t>
            </w:r>
          </w:p>
        </w:tc>
        <w:tc>
          <w:tcPr>
            <w:tcW w:w="732" w:type="pct"/>
          </w:tcPr>
          <w:p w:rsidR="009321C1" w:rsidRPr="00621D22" w:rsidRDefault="009321C1" w:rsidP="005E384D">
            <w:pPr>
              <w:rPr>
                <w:sz w:val="20"/>
                <w:szCs w:val="20"/>
                <w:lang w:val="en-GB"/>
              </w:rPr>
            </w:pPr>
            <w:r w:rsidRPr="00621D22">
              <w:rPr>
                <w:sz w:val="20"/>
                <w:szCs w:val="20"/>
                <w:lang w:val="en-GB"/>
              </w:rPr>
              <w:t>Binary logistic regression</w:t>
            </w:r>
          </w:p>
        </w:tc>
        <w:tc>
          <w:tcPr>
            <w:tcW w:w="984" w:type="pct"/>
          </w:tcPr>
          <w:p w:rsidR="009321C1" w:rsidRPr="00621D22" w:rsidRDefault="009321C1" w:rsidP="005E384D">
            <w:pPr>
              <w:rPr>
                <w:sz w:val="20"/>
                <w:szCs w:val="20"/>
                <w:lang w:val="en-GB"/>
              </w:rPr>
            </w:pPr>
            <w:r w:rsidRPr="00621D22">
              <w:rPr>
                <w:sz w:val="20"/>
                <w:szCs w:val="20"/>
                <w:lang w:val="en-GB"/>
              </w:rPr>
              <w:t xml:space="preserve">Exposure risk (3 points/11) </w:t>
            </w:r>
          </w:p>
        </w:tc>
        <w:tc>
          <w:tcPr>
            <w:tcW w:w="1042" w:type="pct"/>
          </w:tcPr>
          <w:p w:rsidR="009321C1" w:rsidRPr="00621D22" w:rsidRDefault="009321C1" w:rsidP="005E384D">
            <w:pPr>
              <w:rPr>
                <w:sz w:val="20"/>
                <w:szCs w:val="20"/>
                <w:lang w:val="en-GB"/>
              </w:rPr>
            </w:pPr>
            <w:r>
              <w:rPr>
                <w:sz w:val="20"/>
                <w:szCs w:val="20"/>
                <w:lang w:val="en-GB"/>
              </w:rPr>
              <w:t xml:space="preserve">COVID - </w:t>
            </w:r>
            <w:r w:rsidRPr="00621D22">
              <w:rPr>
                <w:sz w:val="20"/>
                <w:szCs w:val="20"/>
                <w:lang w:val="en-GB"/>
              </w:rPr>
              <w:t>19 triage score (0 – 11) re</w:t>
            </w:r>
            <w:r>
              <w:rPr>
                <w:sz w:val="20"/>
                <w:szCs w:val="20"/>
                <w:lang w:val="en-GB"/>
              </w:rPr>
              <w:t>fitted</w:t>
            </w:r>
            <w:r w:rsidRPr="00621D22">
              <w:rPr>
                <w:sz w:val="20"/>
                <w:szCs w:val="20"/>
                <w:lang w:val="en-GB"/>
              </w:rPr>
              <w:t xml:space="preserve"> to (0 – 8)</w:t>
            </w:r>
          </w:p>
          <w:p w:rsidR="009321C1" w:rsidRDefault="009321C1" w:rsidP="005E384D">
            <w:pPr>
              <w:rPr>
                <w:sz w:val="20"/>
                <w:szCs w:val="20"/>
                <w:lang w:val="en-GB"/>
              </w:rPr>
            </w:pPr>
          </w:p>
          <w:p w:rsidR="009321C1" w:rsidRPr="00621D22" w:rsidRDefault="009321C1" w:rsidP="005E384D">
            <w:pPr>
              <w:rPr>
                <w:sz w:val="20"/>
                <w:szCs w:val="20"/>
                <w:lang w:val="en-GB"/>
              </w:rPr>
            </w:pPr>
            <w:r w:rsidRPr="00621D22">
              <w:rPr>
                <w:sz w:val="20"/>
                <w:szCs w:val="20"/>
                <w:lang w:val="en-GB"/>
              </w:rPr>
              <w:t xml:space="preserve">Cut-off </w:t>
            </w:r>
            <w:r w:rsidRPr="00621D22">
              <w:rPr>
                <w:rFonts w:cstheme="minorHAnsi"/>
                <w:sz w:val="20"/>
                <w:szCs w:val="20"/>
                <w:lang w:val="en-GB"/>
              </w:rPr>
              <w:t>≥</w:t>
            </w:r>
            <w:r w:rsidRPr="00621D22">
              <w:rPr>
                <w:sz w:val="20"/>
                <w:szCs w:val="20"/>
                <w:lang w:val="en-GB"/>
              </w:rPr>
              <w:t xml:space="preserve"> 4 and </w:t>
            </w:r>
            <w:r w:rsidRPr="00621D22">
              <w:rPr>
                <w:rFonts w:ascii="Calibri" w:hAnsi="Calibri" w:cs="Calibri"/>
                <w:sz w:val="20"/>
                <w:szCs w:val="20"/>
                <w:lang w:val="en-GB"/>
              </w:rPr>
              <w:t>≥</w:t>
            </w:r>
            <w:r w:rsidRPr="00621D22">
              <w:rPr>
                <w:sz w:val="20"/>
                <w:szCs w:val="20"/>
                <w:lang w:val="en-GB"/>
              </w:rPr>
              <w:t xml:space="preserve"> 5 re</w:t>
            </w:r>
            <w:r>
              <w:rPr>
                <w:sz w:val="20"/>
                <w:szCs w:val="20"/>
                <w:lang w:val="en-GB"/>
              </w:rPr>
              <w:t>fitted</w:t>
            </w:r>
            <w:r w:rsidRPr="00621D22">
              <w:rPr>
                <w:sz w:val="20"/>
                <w:szCs w:val="20"/>
                <w:lang w:val="en-GB"/>
              </w:rPr>
              <w:t xml:space="preserve"> to </w:t>
            </w:r>
            <w:r w:rsidRPr="00621D22">
              <w:rPr>
                <w:rFonts w:cstheme="minorHAnsi"/>
                <w:sz w:val="20"/>
                <w:szCs w:val="20"/>
                <w:lang w:val="en-GB"/>
              </w:rPr>
              <w:t>≥</w:t>
            </w:r>
            <w:r w:rsidRPr="00621D22">
              <w:rPr>
                <w:sz w:val="20"/>
                <w:szCs w:val="20"/>
                <w:lang w:val="en-GB"/>
              </w:rPr>
              <w:t xml:space="preserve"> 3 and </w:t>
            </w:r>
            <w:r w:rsidRPr="00621D22">
              <w:rPr>
                <w:rFonts w:ascii="Calibri" w:hAnsi="Calibri" w:cs="Calibri"/>
                <w:sz w:val="20"/>
                <w:szCs w:val="20"/>
                <w:lang w:val="en-GB"/>
              </w:rPr>
              <w:t>≥</w:t>
            </w:r>
            <w:r w:rsidRPr="00621D22">
              <w:rPr>
                <w:sz w:val="20"/>
                <w:szCs w:val="20"/>
                <w:lang w:val="en-GB"/>
              </w:rPr>
              <w:t xml:space="preserve"> 4</w:t>
            </w:r>
          </w:p>
        </w:tc>
      </w:tr>
      <w:tr w:rsidR="009321C1" w:rsidRPr="009321C1" w:rsidTr="005E384D">
        <w:tc>
          <w:tcPr>
            <w:tcW w:w="709" w:type="pct"/>
          </w:tcPr>
          <w:p w:rsidR="009321C1" w:rsidRPr="00621D22" w:rsidRDefault="009321C1" w:rsidP="005E384D">
            <w:pPr>
              <w:rPr>
                <w:sz w:val="20"/>
                <w:szCs w:val="20"/>
                <w:lang w:val="en-GB"/>
              </w:rPr>
            </w:pPr>
          </w:p>
        </w:tc>
        <w:tc>
          <w:tcPr>
            <w:tcW w:w="1533" w:type="pct"/>
          </w:tcPr>
          <w:p w:rsidR="009321C1" w:rsidRPr="00621D22" w:rsidRDefault="009321C1" w:rsidP="005E384D">
            <w:pPr>
              <w:rPr>
                <w:sz w:val="20"/>
                <w:szCs w:val="20"/>
                <w:lang w:val="en-GB"/>
              </w:rPr>
            </w:pPr>
          </w:p>
        </w:tc>
        <w:tc>
          <w:tcPr>
            <w:tcW w:w="732" w:type="pct"/>
          </w:tcPr>
          <w:p w:rsidR="009321C1" w:rsidRPr="00621D22" w:rsidRDefault="009321C1" w:rsidP="005E384D">
            <w:pPr>
              <w:rPr>
                <w:sz w:val="20"/>
                <w:szCs w:val="20"/>
                <w:lang w:val="en-GB"/>
              </w:rPr>
            </w:pPr>
          </w:p>
        </w:tc>
        <w:tc>
          <w:tcPr>
            <w:tcW w:w="984" w:type="pct"/>
          </w:tcPr>
          <w:p w:rsidR="009321C1" w:rsidRPr="00621D22" w:rsidRDefault="009321C1" w:rsidP="005E384D">
            <w:pPr>
              <w:rPr>
                <w:sz w:val="20"/>
                <w:szCs w:val="20"/>
                <w:lang w:val="en-GB"/>
              </w:rPr>
            </w:pPr>
          </w:p>
        </w:tc>
        <w:tc>
          <w:tcPr>
            <w:tcW w:w="1042" w:type="pct"/>
          </w:tcPr>
          <w:p w:rsidR="009321C1" w:rsidRPr="00621D22" w:rsidRDefault="009321C1" w:rsidP="005E384D">
            <w:pPr>
              <w:rPr>
                <w:sz w:val="20"/>
                <w:szCs w:val="20"/>
                <w:lang w:val="en-GB"/>
              </w:rPr>
            </w:pPr>
          </w:p>
        </w:tc>
      </w:tr>
      <w:tr w:rsidR="009321C1" w:rsidRPr="009321C1" w:rsidTr="005E384D">
        <w:tc>
          <w:tcPr>
            <w:tcW w:w="709" w:type="pct"/>
          </w:tcPr>
          <w:p w:rsidR="009321C1" w:rsidRPr="00621D22" w:rsidRDefault="009321C1" w:rsidP="005E384D">
            <w:pPr>
              <w:rPr>
                <w:sz w:val="20"/>
                <w:szCs w:val="20"/>
                <w:lang w:val="en-GB"/>
              </w:rPr>
            </w:pPr>
            <w:r>
              <w:rPr>
                <w:sz w:val="20"/>
                <w:szCs w:val="20"/>
                <w:lang w:val="en-GB"/>
              </w:rPr>
              <w:t>Nakakubo et al</w:t>
            </w:r>
            <w:r w:rsidRPr="00621D22">
              <w:rPr>
                <w:sz w:val="20"/>
                <w:szCs w:val="20"/>
                <w:lang w:val="en-GB"/>
              </w:rPr>
              <w:t xml:space="preserve"> </w:t>
            </w:r>
            <w:r w:rsidRPr="00621D22">
              <w:rPr>
                <w:sz w:val="20"/>
                <w:szCs w:val="20"/>
                <w:lang w:val="en-GB"/>
              </w:rPr>
              <w:fldChar w:fldCharType="begin" w:fldLock="1"/>
            </w:r>
            <w:r>
              <w:rPr>
                <w:sz w:val="20"/>
                <w:szCs w:val="20"/>
                <w:lang w:val="en-GB"/>
              </w:rPr>
              <w:instrText>ADDIN CSL_CITATION {"citationItems":[{"id":"ITEM-1","itemData":{"DOI":"10.1186/s12879-020-05604-4","ISSN":"14712334","PMID":"33208116","abstract":"Background: No clinical scoring system has yet been established to estimate the likelihood of coronavirus disease (COVID-19) and determine the suitability of diagnostic testing in suspected COVID-19 patients. Methods: This was a single-center, retrospective, observational study of patients with suspected COVID-19 and confirmed COVID-19. Patient background, clinical course, laboratory and computed tomography (CT) findings, and the presence of alternative diagnoses were evaluated. Clinical risk scores were developed based on clinical differences between patients with and without COVID-19. Results: Among 110 patients suspected of having COVID-19, 60.9% underwent polymerase chain reaction (PCR) testing based on the judgment of physicians. Two patients were found to have COVID-19. The clinical characteristics of 108 non-COVID-19 patients were compared with those of 23 confirmed COVID-19 patients. Patients with COVID-19 were more likely to have a history of high-risk exposures and an abnormal sense of taste and smell. The COVID-19 group had significantly higher rates of subnormal white blood cell counts, lower eosinophil counts, and lower procalcitonin levels than the non-COVID-19 group. When blood test results, CT findings, and the presence of alternative diagnoses were scored on an 11-point scale (i.e., “COVID-19 Clinical Risk Score”), the COVID-19 group scored significantly higher than the non-COVID-19 group, more than four points in the COVID-19 group. All non-COVID patients who did not undergo PCR had a score of 4 or less. Conclusions: The COVID-19 Clinical Risk Score may enable the risk classification of patients suspected of having COVID-19 and can help in decision-making in clinical practice, including appropriateness of diagnostic testing. Further studies and prospective validation with an increased sample size are required.","author":[{"dropping-particle":"","family":"Nakakubo","given":"Sho","non-dropping-particle":"","parse-names":false,"suffix":""},{"dropping-particle":"","family":"Suzuki","given":"Masaru","non-dropping-particle":"","parse-names":false,"suffix":""},{"dropping-particle":"","family":"Kamada","given":"Keisuke","non-dropping-particle":"","parse-names":false,"suffix":""},{"dropping-particle":"","family":"Yamashita","given":"Yu","non-dropping-particle":"","parse-names":false,"suffix":""},{"dropping-particle":"","family":"Nakamura","given":"Junichi","non-dropping-particle":"","parse-names":false,"suffix":""},{"dropping-particle":"","family":"Horii","given":"Hiroshi","non-dropping-particle":"","parse-names":false,"suffix":""},{"dropping-particle":"","family":"Sato","given":"Kazuki","non-dropping-particle":"","parse-names":false,"suffix":""},{"dropping-particle":"","family":"Matsumoto","given":"Munehiro","non-dropping-particle":"","parse-names":false,"suffix":""},{"dropping-particle":"","family":"Abe","given":"Yuki","non-dropping-particle":"","parse-names":false,"suffix":""},{"dropping-particle":"","family":"Tsuji","given":"Kosuke","non-dropping-particle":"","parse-names":false,"suffix":""},{"dropping-particle":"","family":"Ishiguro","given":"Nobuhisa","non-dropping-particle":"","parse-names":false,"suffix":""},{"dropping-particle":"","family":"Nasuhara","given":"Yasuyuki","non-dropping-particle":"","parse-names":false,"suffix":""},{"dropping-particle":"","family":"Konno","given":"Satoshi","non-dropping-particle":"","parse-names":false,"suffix":""}],"container-title":"BMC Infectious Diseases","id":"ITEM-1","issue":"1","issued":{"date-parts":[["2020","12"]]},"publisher":"BioMed Central Ltd","title":"Proposal of COVID-19 Clinical Risk Score for the management of suspected COVID-19 cases: a case control study","type":"article-journal","volume":"20"},"uris":["http://www.mendeley.com/documents/?uuid=4e478ad0-667e-4a24-900c-a15a0fa9f68f"]}],"mendeley":{"formattedCitation":"(16)","plainTextFormattedCitation":"(16)","previouslyFormattedCitation":"(16)"},"properties":{"noteIndex":0},"schema":"https://github.com/citation-style-language/schema/raw/master/csl-citation.json"}</w:instrText>
            </w:r>
            <w:r w:rsidRPr="00621D22">
              <w:rPr>
                <w:sz w:val="20"/>
                <w:szCs w:val="20"/>
                <w:lang w:val="en-GB"/>
              </w:rPr>
              <w:fldChar w:fldCharType="separate"/>
            </w:r>
            <w:r w:rsidRPr="005E6D48">
              <w:rPr>
                <w:noProof/>
                <w:sz w:val="20"/>
                <w:szCs w:val="20"/>
                <w:lang w:val="en-GB"/>
              </w:rPr>
              <w:t>(16)</w:t>
            </w:r>
            <w:r w:rsidRPr="00621D22">
              <w:rPr>
                <w:sz w:val="20"/>
                <w:szCs w:val="20"/>
                <w:lang w:val="en-GB"/>
              </w:rPr>
              <w:fldChar w:fldCharType="end"/>
            </w:r>
          </w:p>
        </w:tc>
        <w:tc>
          <w:tcPr>
            <w:tcW w:w="1533" w:type="pct"/>
          </w:tcPr>
          <w:p w:rsidR="009321C1" w:rsidRPr="00621D22" w:rsidRDefault="009321C1" w:rsidP="005E384D">
            <w:pPr>
              <w:rPr>
                <w:sz w:val="20"/>
                <w:szCs w:val="20"/>
                <w:lang w:val="en-GB"/>
              </w:rPr>
            </w:pPr>
            <w:r w:rsidRPr="00621D22">
              <w:rPr>
                <w:sz w:val="20"/>
                <w:szCs w:val="20"/>
                <w:lang w:val="en-GB"/>
              </w:rPr>
              <w:t>Leukocytes (WBC)</w:t>
            </w:r>
          </w:p>
          <w:p w:rsidR="009321C1" w:rsidRPr="00621D22" w:rsidRDefault="009321C1" w:rsidP="005E384D">
            <w:pPr>
              <w:rPr>
                <w:sz w:val="20"/>
                <w:szCs w:val="20"/>
                <w:lang w:val="en-GB"/>
              </w:rPr>
            </w:pPr>
            <w:r w:rsidRPr="00621D22">
              <w:rPr>
                <w:sz w:val="20"/>
                <w:szCs w:val="20"/>
                <w:lang w:val="en-GB"/>
              </w:rPr>
              <w:t>Eosinophils</w:t>
            </w:r>
          </w:p>
          <w:p w:rsidR="009321C1" w:rsidRPr="00621D22" w:rsidRDefault="009321C1" w:rsidP="005E384D">
            <w:pPr>
              <w:rPr>
                <w:sz w:val="20"/>
                <w:szCs w:val="20"/>
                <w:lang w:val="en-GB"/>
              </w:rPr>
            </w:pPr>
            <w:r w:rsidRPr="00621D22">
              <w:rPr>
                <w:sz w:val="20"/>
                <w:szCs w:val="20"/>
                <w:lang w:val="en-GB"/>
              </w:rPr>
              <w:t xml:space="preserve">Procalcitonin </w:t>
            </w:r>
          </w:p>
          <w:p w:rsidR="009321C1" w:rsidRPr="00621D22" w:rsidRDefault="009321C1" w:rsidP="005E384D">
            <w:pPr>
              <w:rPr>
                <w:sz w:val="20"/>
                <w:szCs w:val="20"/>
                <w:lang w:val="en-GB"/>
              </w:rPr>
            </w:pPr>
            <w:r w:rsidRPr="00621D22">
              <w:rPr>
                <w:sz w:val="20"/>
                <w:szCs w:val="20"/>
                <w:lang w:val="en-GB"/>
              </w:rPr>
              <w:t xml:space="preserve">CT imaging score </w:t>
            </w:r>
          </w:p>
          <w:p w:rsidR="009321C1" w:rsidRPr="00621D22" w:rsidRDefault="009321C1" w:rsidP="005E384D">
            <w:pPr>
              <w:rPr>
                <w:sz w:val="20"/>
                <w:szCs w:val="20"/>
                <w:lang w:val="en-GB"/>
              </w:rPr>
            </w:pPr>
            <w:r w:rsidRPr="00621D22">
              <w:rPr>
                <w:sz w:val="20"/>
                <w:szCs w:val="20"/>
                <w:lang w:val="en-GB"/>
              </w:rPr>
              <w:t xml:space="preserve">Alternative diagnosis </w:t>
            </w:r>
          </w:p>
        </w:tc>
        <w:tc>
          <w:tcPr>
            <w:tcW w:w="732" w:type="pct"/>
          </w:tcPr>
          <w:p w:rsidR="009321C1" w:rsidRPr="00621D22" w:rsidRDefault="009321C1" w:rsidP="005E384D">
            <w:pPr>
              <w:rPr>
                <w:sz w:val="20"/>
                <w:szCs w:val="20"/>
                <w:lang w:val="en-GB"/>
              </w:rPr>
            </w:pPr>
            <w:r w:rsidRPr="00621D22">
              <w:rPr>
                <w:sz w:val="20"/>
                <w:szCs w:val="20"/>
                <w:lang w:val="en-GB"/>
              </w:rPr>
              <w:t>S</w:t>
            </w:r>
            <w:r>
              <w:rPr>
                <w:sz w:val="20"/>
                <w:szCs w:val="20"/>
                <w:lang w:val="en-GB"/>
              </w:rPr>
              <w:t>c</w:t>
            </w:r>
            <w:r w:rsidRPr="00621D22">
              <w:rPr>
                <w:sz w:val="20"/>
                <w:szCs w:val="20"/>
                <w:lang w:val="en-GB"/>
              </w:rPr>
              <w:t xml:space="preserve">ore </w:t>
            </w:r>
          </w:p>
        </w:tc>
        <w:tc>
          <w:tcPr>
            <w:tcW w:w="984" w:type="pct"/>
          </w:tcPr>
          <w:p w:rsidR="009321C1" w:rsidRPr="00621D22" w:rsidRDefault="009321C1" w:rsidP="005E384D">
            <w:pPr>
              <w:rPr>
                <w:sz w:val="20"/>
                <w:szCs w:val="20"/>
                <w:lang w:val="en-GB"/>
              </w:rPr>
            </w:pPr>
            <w:r w:rsidRPr="00621D22">
              <w:rPr>
                <w:sz w:val="20"/>
                <w:szCs w:val="20"/>
                <w:lang w:val="en-GB"/>
              </w:rPr>
              <w:t>/</w:t>
            </w:r>
          </w:p>
        </w:tc>
        <w:tc>
          <w:tcPr>
            <w:tcW w:w="1042" w:type="pct"/>
          </w:tcPr>
          <w:p w:rsidR="009321C1" w:rsidRPr="00621D22" w:rsidRDefault="009321C1" w:rsidP="005E384D">
            <w:pPr>
              <w:rPr>
                <w:sz w:val="20"/>
                <w:szCs w:val="20"/>
                <w:lang w:val="en-GB"/>
              </w:rPr>
            </w:pPr>
            <w:r>
              <w:rPr>
                <w:sz w:val="20"/>
                <w:szCs w:val="20"/>
                <w:lang w:val="en-GB"/>
              </w:rPr>
              <w:t>COVID</w:t>
            </w:r>
            <w:r w:rsidRPr="00621D22">
              <w:rPr>
                <w:sz w:val="20"/>
                <w:szCs w:val="20"/>
                <w:lang w:val="en-GB"/>
              </w:rPr>
              <w:t>-19 Clinical Risk score (0 – 11)</w:t>
            </w:r>
          </w:p>
          <w:p w:rsidR="009321C1" w:rsidRDefault="009321C1" w:rsidP="005E384D">
            <w:pPr>
              <w:rPr>
                <w:sz w:val="20"/>
                <w:szCs w:val="20"/>
                <w:lang w:val="en-GB"/>
              </w:rPr>
            </w:pPr>
          </w:p>
          <w:p w:rsidR="009321C1" w:rsidRPr="00621D22" w:rsidRDefault="009321C1" w:rsidP="005E384D">
            <w:pPr>
              <w:rPr>
                <w:sz w:val="20"/>
                <w:szCs w:val="20"/>
                <w:lang w:val="en-GB"/>
              </w:rPr>
            </w:pPr>
            <w:r w:rsidRPr="00621D22">
              <w:rPr>
                <w:sz w:val="20"/>
                <w:szCs w:val="20"/>
                <w:lang w:val="en-GB"/>
              </w:rPr>
              <w:t>Cut</w:t>
            </w:r>
            <w:r>
              <w:rPr>
                <w:sz w:val="20"/>
                <w:szCs w:val="20"/>
                <w:lang w:val="en-GB"/>
              </w:rPr>
              <w:t>-</w:t>
            </w:r>
            <w:r w:rsidRPr="00621D22">
              <w:rPr>
                <w:sz w:val="20"/>
                <w:szCs w:val="20"/>
                <w:lang w:val="en-GB"/>
              </w:rPr>
              <w:t xml:space="preserve">off 0-4 for low risk; 5-7 moderate risk and 8-11 for high risk </w:t>
            </w:r>
          </w:p>
        </w:tc>
      </w:tr>
      <w:tr w:rsidR="009321C1" w:rsidRPr="009321C1" w:rsidTr="005E384D">
        <w:tc>
          <w:tcPr>
            <w:tcW w:w="709" w:type="pct"/>
          </w:tcPr>
          <w:p w:rsidR="009321C1" w:rsidRPr="00621D22" w:rsidRDefault="009321C1" w:rsidP="005E384D">
            <w:pPr>
              <w:rPr>
                <w:sz w:val="20"/>
                <w:szCs w:val="20"/>
                <w:lang w:val="en-GB"/>
              </w:rPr>
            </w:pPr>
          </w:p>
        </w:tc>
        <w:tc>
          <w:tcPr>
            <w:tcW w:w="1533" w:type="pct"/>
          </w:tcPr>
          <w:p w:rsidR="009321C1" w:rsidRPr="00621D22" w:rsidRDefault="009321C1" w:rsidP="005E384D">
            <w:pPr>
              <w:rPr>
                <w:sz w:val="20"/>
                <w:szCs w:val="20"/>
                <w:lang w:val="en-GB"/>
              </w:rPr>
            </w:pPr>
          </w:p>
        </w:tc>
        <w:tc>
          <w:tcPr>
            <w:tcW w:w="732" w:type="pct"/>
          </w:tcPr>
          <w:p w:rsidR="009321C1" w:rsidRPr="00621D22" w:rsidRDefault="009321C1" w:rsidP="005E384D">
            <w:pPr>
              <w:rPr>
                <w:sz w:val="20"/>
                <w:szCs w:val="20"/>
                <w:lang w:val="en-GB"/>
              </w:rPr>
            </w:pPr>
          </w:p>
        </w:tc>
        <w:tc>
          <w:tcPr>
            <w:tcW w:w="984" w:type="pct"/>
          </w:tcPr>
          <w:p w:rsidR="009321C1" w:rsidRPr="00621D22" w:rsidRDefault="009321C1" w:rsidP="005E384D">
            <w:pPr>
              <w:rPr>
                <w:sz w:val="20"/>
                <w:szCs w:val="20"/>
                <w:lang w:val="en-GB"/>
              </w:rPr>
            </w:pPr>
          </w:p>
        </w:tc>
        <w:tc>
          <w:tcPr>
            <w:tcW w:w="1042" w:type="pct"/>
          </w:tcPr>
          <w:p w:rsidR="009321C1" w:rsidRPr="00621D22" w:rsidRDefault="009321C1" w:rsidP="005E384D">
            <w:pPr>
              <w:rPr>
                <w:sz w:val="20"/>
                <w:szCs w:val="20"/>
                <w:lang w:val="en-GB"/>
              </w:rPr>
            </w:pPr>
          </w:p>
        </w:tc>
      </w:tr>
      <w:tr w:rsidR="009321C1" w:rsidRPr="009321C1" w:rsidTr="005E384D">
        <w:tc>
          <w:tcPr>
            <w:tcW w:w="709" w:type="pct"/>
          </w:tcPr>
          <w:p w:rsidR="009321C1" w:rsidRPr="00621D22" w:rsidRDefault="009321C1" w:rsidP="005E384D">
            <w:pPr>
              <w:rPr>
                <w:sz w:val="20"/>
                <w:szCs w:val="20"/>
                <w:lang w:val="en-GB"/>
              </w:rPr>
            </w:pPr>
            <w:r w:rsidRPr="00621D22">
              <w:rPr>
                <w:sz w:val="20"/>
                <w:szCs w:val="20"/>
                <w:lang w:val="en-GB"/>
              </w:rPr>
              <w:t>Fin</w:t>
            </w:r>
            <w:r>
              <w:rPr>
                <w:sz w:val="20"/>
                <w:szCs w:val="20"/>
                <w:lang w:val="en-GB"/>
              </w:rPr>
              <w:t>k et al</w:t>
            </w:r>
            <w:r w:rsidRPr="00621D22">
              <w:rPr>
                <w:sz w:val="20"/>
                <w:szCs w:val="20"/>
                <w:lang w:val="en-GB"/>
              </w:rPr>
              <w:t xml:space="preserve"> </w:t>
            </w:r>
            <w:r w:rsidRPr="00621D22">
              <w:rPr>
                <w:sz w:val="20"/>
                <w:szCs w:val="20"/>
                <w:lang w:val="en-GB"/>
              </w:rPr>
              <w:fldChar w:fldCharType="begin" w:fldLock="1"/>
            </w:r>
            <w:r>
              <w:rPr>
                <w:sz w:val="20"/>
                <w:szCs w:val="20"/>
                <w:lang w:val="en-GB"/>
              </w:rPr>
              <w:instrText>ADDIN CSL_CITATION {"citationItems":[{"id":"ITEM-1","itemData":{"DOI":"10.1093/qjmed/hcaa305","ISSN":"1460-2725","abstract":"BACKGROUND: Early COVID-19 diagnosis prior to laboratory testing results is crucial for infection control in hospitals. Models exist predicting COVID-19 diagnosis, but significant concerns exist regarding methodology and generalisability. AIM: To generate the first COVID-19 diagnosis risk score for use at the time of hospital admission using the TRIPOD (transparent reporting of a multivariable prediction model for individual prognosis or diagnosis) checklist. DESIGN: A multivariable diagnostic prediction model for COVID-19 using the TRIPOD checklist applied to a large single-centre retrospective observational study of patients with suspected COVID-19. METHODS: 581 individuals were admitted with suspected COVID-19; the majority had laboratory-confirmed COVID-19 (420/581, 72.2%). Retrospective collection was performed of electronic clinical records and pathology data. RESULTS: The final multivariable model demonstrated AUC 0.8535 (95% confidence interval (0.8121-0.8950). The final model used 6 clinical variables that are routinely available in most low and high resource settings. Using a cut-off of 2, the derived risk score has a sensitivity of 78.1% and specificity of 86.8%. At COVID-19 prevalence of 10% the model has a negative predictive value (NPV) of 96.5%. CONCLUSIONS: Our risk score is intended for diagnosis of COVID-19 in individuals admitted to hospital with suspected COVID-19. The score is the first developed for COVID-19 diagnosis using the TRIPOD checklist. It may be effective as a tool to rule out COVID-19 and function at different pandemic phases of variable COVID-19 prevalence. The simple score could be used by any healthcare worker to support hospital infection control prior to laboratory testing results.","author":[{"dropping-particle":"","family":"Fink","given":"D L","non-dropping-particle":"","parse-names":false,"suffix":""},{"dropping-particle":"","family":"Khan","given":"P Y","non-dropping-particle":"","parse-names":false,"suffix":""},{"dropping-particle":"","family":"Goldman","given":"N","non-dropping-particle":"","parse-names":false,"suffix":""},{"dropping-particle":"","family":"Cai","given":"J","non-dropping-particle":"","parse-names":false,"suffix":""},{"dropping-particle":"","family":"Hone","given":"L","non-dropping-particle":"","parse-names":false,"suffix":""},{"dropping-particle":"","family":"Mooney","given":"C","non-dropping-particle":"","parse-names":false,"suffix":""},{"dropping-particle":"","family":"El-Shakankery","given":"K H","non-dropping-particle":"","parse-names":false,"suffix":""},{"dropping-particle":"","family":"Sismey","given":"G","non-dropping-particle":"","parse-names":false,"suffix":""},{"dropping-particle":"","family":"Whitford","given":"V","non-dropping-particle":"","parse-names":false,"suffix":""},{"dropping-particle":"","family":"Marks","given":"M","non-dropping-particle":"","parse-names":false,"suffix":""},{"dropping-particle":"","family":"Thomas","given":"S","non-dropping-particle":"","parse-names":false,"suffix":""}],"container-title":"QJM: An International Journal of Medicine","id":"ITEM-1","issued":{"date-parts":[["2020","11"]]},"publisher":"Oxford University Press (OUP)","title":"Development and internal validation of a diagnostic prediction model for COVID-19 at time of admission to hospital","type":"article-journal"},"uris":["http://www.mendeley.com/documents/?uuid=446878ba-df14-42c3-8265-5e34633f1fe7"]}],"mendeley":{"formattedCitation":"(17)","plainTextFormattedCitation":"(17)","previouslyFormattedCitation":"(17)"},"properties":{"noteIndex":0},"schema":"https://github.com/citation-style-language/schema/raw/master/csl-citation.json"}</w:instrText>
            </w:r>
            <w:r w:rsidRPr="00621D22">
              <w:rPr>
                <w:sz w:val="20"/>
                <w:szCs w:val="20"/>
                <w:lang w:val="en-GB"/>
              </w:rPr>
              <w:fldChar w:fldCharType="separate"/>
            </w:r>
            <w:r w:rsidRPr="005E6D48">
              <w:rPr>
                <w:noProof/>
                <w:sz w:val="20"/>
                <w:szCs w:val="20"/>
                <w:lang w:val="en-GB"/>
              </w:rPr>
              <w:t>(17)</w:t>
            </w:r>
            <w:r w:rsidRPr="00621D22">
              <w:rPr>
                <w:sz w:val="20"/>
                <w:szCs w:val="20"/>
                <w:lang w:val="en-GB"/>
              </w:rPr>
              <w:fldChar w:fldCharType="end"/>
            </w:r>
          </w:p>
        </w:tc>
        <w:tc>
          <w:tcPr>
            <w:tcW w:w="1533" w:type="pct"/>
          </w:tcPr>
          <w:p w:rsidR="009321C1" w:rsidRPr="00621D22" w:rsidRDefault="009321C1" w:rsidP="005E384D">
            <w:pPr>
              <w:rPr>
                <w:sz w:val="20"/>
                <w:szCs w:val="20"/>
                <w:lang w:val="en-GB"/>
              </w:rPr>
            </w:pPr>
            <w:r w:rsidRPr="00621D22">
              <w:rPr>
                <w:sz w:val="20"/>
                <w:szCs w:val="20"/>
                <w:lang w:val="en-GB"/>
              </w:rPr>
              <w:t xml:space="preserve">Age </w:t>
            </w:r>
          </w:p>
          <w:p w:rsidR="009321C1" w:rsidRPr="00621D22" w:rsidRDefault="009321C1" w:rsidP="005E384D">
            <w:pPr>
              <w:rPr>
                <w:sz w:val="20"/>
                <w:szCs w:val="20"/>
                <w:lang w:val="en-GB"/>
              </w:rPr>
            </w:pPr>
            <w:r w:rsidRPr="00621D22">
              <w:rPr>
                <w:sz w:val="20"/>
                <w:szCs w:val="20"/>
                <w:lang w:val="en-GB"/>
              </w:rPr>
              <w:t xml:space="preserve">Fever </w:t>
            </w:r>
          </w:p>
          <w:p w:rsidR="009321C1" w:rsidRPr="00621D22" w:rsidRDefault="009321C1" w:rsidP="005E384D">
            <w:pPr>
              <w:rPr>
                <w:sz w:val="20"/>
                <w:szCs w:val="20"/>
                <w:lang w:val="en-GB"/>
              </w:rPr>
            </w:pPr>
            <w:r w:rsidRPr="00621D22">
              <w:rPr>
                <w:sz w:val="20"/>
                <w:szCs w:val="20"/>
                <w:lang w:val="en-GB"/>
              </w:rPr>
              <w:t>Maximal FiO2</w:t>
            </w:r>
          </w:p>
          <w:p w:rsidR="009321C1" w:rsidRPr="00621D22" w:rsidRDefault="009321C1" w:rsidP="005E384D">
            <w:pPr>
              <w:rPr>
                <w:sz w:val="20"/>
                <w:szCs w:val="20"/>
                <w:lang w:val="en-GB"/>
              </w:rPr>
            </w:pPr>
            <w:r w:rsidRPr="00621D22">
              <w:rPr>
                <w:sz w:val="20"/>
                <w:szCs w:val="20"/>
                <w:lang w:val="en-GB"/>
              </w:rPr>
              <w:t>C</w:t>
            </w:r>
            <w:r>
              <w:rPr>
                <w:sz w:val="20"/>
                <w:szCs w:val="20"/>
                <w:lang w:val="en-GB"/>
              </w:rPr>
              <w:t>RP</w:t>
            </w:r>
          </w:p>
          <w:p w:rsidR="009321C1" w:rsidRPr="00621D22" w:rsidRDefault="009321C1" w:rsidP="005E384D">
            <w:pPr>
              <w:rPr>
                <w:sz w:val="20"/>
                <w:szCs w:val="20"/>
                <w:lang w:val="en-GB"/>
              </w:rPr>
            </w:pPr>
            <w:r w:rsidRPr="00621D22">
              <w:rPr>
                <w:sz w:val="20"/>
                <w:szCs w:val="20"/>
                <w:lang w:val="en-GB"/>
              </w:rPr>
              <w:t xml:space="preserve">Normal chest X-ray </w:t>
            </w:r>
          </w:p>
          <w:p w:rsidR="009321C1" w:rsidRPr="00621D22" w:rsidRDefault="009321C1" w:rsidP="005E384D">
            <w:pPr>
              <w:rPr>
                <w:sz w:val="20"/>
                <w:szCs w:val="20"/>
                <w:lang w:val="en-GB"/>
              </w:rPr>
            </w:pPr>
            <w:r w:rsidRPr="00621D22">
              <w:rPr>
                <w:sz w:val="20"/>
                <w:szCs w:val="20"/>
                <w:lang w:val="en-GB"/>
              </w:rPr>
              <w:t xml:space="preserve">Neutrophils </w:t>
            </w:r>
          </w:p>
        </w:tc>
        <w:tc>
          <w:tcPr>
            <w:tcW w:w="732" w:type="pct"/>
          </w:tcPr>
          <w:p w:rsidR="009321C1" w:rsidRPr="00621D22" w:rsidRDefault="009321C1" w:rsidP="005E384D">
            <w:pPr>
              <w:rPr>
                <w:sz w:val="20"/>
                <w:szCs w:val="20"/>
                <w:lang w:val="en-GB"/>
              </w:rPr>
            </w:pPr>
            <w:r w:rsidRPr="00621D22">
              <w:rPr>
                <w:sz w:val="20"/>
                <w:szCs w:val="20"/>
                <w:lang w:val="en-GB"/>
              </w:rPr>
              <w:t xml:space="preserve">Binary logistic regression </w:t>
            </w:r>
          </w:p>
        </w:tc>
        <w:tc>
          <w:tcPr>
            <w:tcW w:w="984" w:type="pct"/>
          </w:tcPr>
          <w:p w:rsidR="009321C1" w:rsidRPr="00621D22" w:rsidRDefault="009321C1" w:rsidP="005E384D">
            <w:pPr>
              <w:rPr>
                <w:sz w:val="20"/>
                <w:szCs w:val="20"/>
                <w:lang w:val="en-GB"/>
              </w:rPr>
            </w:pPr>
            <w:r w:rsidRPr="00621D22">
              <w:rPr>
                <w:sz w:val="20"/>
                <w:szCs w:val="20"/>
                <w:lang w:val="en-GB"/>
              </w:rPr>
              <w:t>Maximal FiO2</w:t>
            </w:r>
          </w:p>
          <w:p w:rsidR="009321C1" w:rsidRPr="00621D22" w:rsidRDefault="009321C1" w:rsidP="005E384D">
            <w:pPr>
              <w:rPr>
                <w:sz w:val="20"/>
                <w:szCs w:val="20"/>
                <w:lang w:val="en-GB"/>
              </w:rPr>
            </w:pPr>
            <w:r w:rsidRPr="00621D22">
              <w:rPr>
                <w:sz w:val="20"/>
                <w:szCs w:val="20"/>
                <w:lang w:val="en-GB"/>
              </w:rPr>
              <w:t xml:space="preserve">Replaced by the median value give in the original article: 0.36 </w:t>
            </w:r>
          </w:p>
        </w:tc>
        <w:tc>
          <w:tcPr>
            <w:tcW w:w="1042" w:type="pct"/>
          </w:tcPr>
          <w:p w:rsidR="009321C1" w:rsidRPr="00621D22" w:rsidRDefault="009321C1" w:rsidP="005E384D">
            <w:pPr>
              <w:rPr>
                <w:sz w:val="20"/>
                <w:szCs w:val="20"/>
                <w:lang w:val="en-GB"/>
              </w:rPr>
            </w:pPr>
            <w:r w:rsidRPr="00621D22">
              <w:rPr>
                <w:sz w:val="20"/>
                <w:szCs w:val="20"/>
                <w:lang w:val="en-GB"/>
              </w:rPr>
              <w:t xml:space="preserve">Logistic binary regression model </w:t>
            </w:r>
          </w:p>
        </w:tc>
      </w:tr>
      <w:tr w:rsidR="009321C1" w:rsidRPr="009321C1" w:rsidTr="005E384D">
        <w:tc>
          <w:tcPr>
            <w:tcW w:w="709" w:type="pct"/>
          </w:tcPr>
          <w:p w:rsidR="009321C1" w:rsidRPr="00621D22" w:rsidRDefault="009321C1" w:rsidP="005E384D">
            <w:pPr>
              <w:rPr>
                <w:sz w:val="20"/>
                <w:szCs w:val="20"/>
                <w:lang w:val="en-GB"/>
              </w:rPr>
            </w:pPr>
          </w:p>
        </w:tc>
        <w:tc>
          <w:tcPr>
            <w:tcW w:w="1533" w:type="pct"/>
          </w:tcPr>
          <w:p w:rsidR="009321C1" w:rsidRPr="00621D22" w:rsidRDefault="009321C1" w:rsidP="005E384D">
            <w:pPr>
              <w:rPr>
                <w:sz w:val="20"/>
                <w:szCs w:val="20"/>
                <w:lang w:val="en-GB"/>
              </w:rPr>
            </w:pPr>
          </w:p>
        </w:tc>
        <w:tc>
          <w:tcPr>
            <w:tcW w:w="732" w:type="pct"/>
          </w:tcPr>
          <w:p w:rsidR="009321C1" w:rsidRPr="00621D22" w:rsidRDefault="009321C1" w:rsidP="005E384D">
            <w:pPr>
              <w:rPr>
                <w:sz w:val="20"/>
                <w:szCs w:val="20"/>
                <w:lang w:val="en-GB"/>
              </w:rPr>
            </w:pPr>
          </w:p>
        </w:tc>
        <w:tc>
          <w:tcPr>
            <w:tcW w:w="984" w:type="pct"/>
          </w:tcPr>
          <w:p w:rsidR="009321C1" w:rsidRPr="00621D22" w:rsidRDefault="009321C1" w:rsidP="005E384D">
            <w:pPr>
              <w:rPr>
                <w:sz w:val="20"/>
                <w:szCs w:val="20"/>
                <w:lang w:val="en-GB"/>
              </w:rPr>
            </w:pPr>
          </w:p>
        </w:tc>
        <w:tc>
          <w:tcPr>
            <w:tcW w:w="1042" w:type="pct"/>
          </w:tcPr>
          <w:p w:rsidR="009321C1" w:rsidRPr="00621D22" w:rsidRDefault="009321C1" w:rsidP="005E384D">
            <w:pPr>
              <w:rPr>
                <w:sz w:val="20"/>
                <w:szCs w:val="20"/>
                <w:lang w:val="en-GB"/>
              </w:rPr>
            </w:pPr>
          </w:p>
        </w:tc>
      </w:tr>
    </w:tbl>
    <w:p w:rsidR="009321C1" w:rsidRDefault="009321C1" w:rsidP="009321C1">
      <w:pPr>
        <w:rPr>
          <w:lang w:val="en-GB"/>
        </w:rPr>
      </w:pPr>
    </w:p>
    <w:p w:rsidR="009321C1" w:rsidRDefault="009321C1" w:rsidP="009321C1">
      <w:pPr>
        <w:rPr>
          <w:lang w:val="en-GB"/>
        </w:rPr>
      </w:pPr>
      <w:r>
        <w:rPr>
          <w:lang w:val="en-GB"/>
        </w:rPr>
        <w:t xml:space="preserve"> </w:t>
      </w:r>
    </w:p>
    <w:tbl>
      <w:tblPr>
        <w:tblW w:w="5000" w:type="pct"/>
        <w:tblBorders>
          <w:bottom w:val="single" w:sz="4" w:space="0" w:color="auto"/>
        </w:tblBorders>
        <w:tblCellMar>
          <w:left w:w="0" w:type="dxa"/>
          <w:right w:w="0" w:type="dxa"/>
        </w:tblCellMar>
        <w:tblLook w:val="0000" w:firstRow="0" w:lastRow="0" w:firstColumn="0" w:lastColumn="0" w:noHBand="0" w:noVBand="0"/>
      </w:tblPr>
      <w:tblGrid>
        <w:gridCol w:w="1531"/>
        <w:gridCol w:w="495"/>
        <w:gridCol w:w="1602"/>
        <w:gridCol w:w="1482"/>
        <w:gridCol w:w="1482"/>
        <w:gridCol w:w="1484"/>
        <w:gridCol w:w="1482"/>
        <w:gridCol w:w="1482"/>
        <w:gridCol w:w="1482"/>
        <w:gridCol w:w="1482"/>
      </w:tblGrid>
      <w:tr w:rsidR="009321C1" w:rsidRPr="009321C1" w:rsidTr="005E384D">
        <w:trPr>
          <w:cantSplit/>
          <w:tblHeader/>
        </w:trPr>
        <w:tc>
          <w:tcPr>
            <w:tcW w:w="5000" w:type="pct"/>
            <w:gridSpan w:val="10"/>
            <w:tcBorders>
              <w:bottom w:val="single" w:sz="4" w:space="0" w:color="auto"/>
            </w:tcBorders>
            <w:shd w:val="clear" w:color="auto" w:fill="auto"/>
            <w:tcMar>
              <w:left w:w="60" w:type="dxa"/>
              <w:right w:w="60" w:type="dxa"/>
            </w:tcMar>
            <w:vAlign w:val="bottom"/>
          </w:tcPr>
          <w:p w:rsidR="009321C1" w:rsidRPr="00B741C0" w:rsidRDefault="009321C1" w:rsidP="005E384D">
            <w:pPr>
              <w:adjustRightInd w:val="0"/>
              <w:spacing w:before="60" w:after="60"/>
              <w:rPr>
                <w:b/>
                <w:bCs/>
                <w:color w:val="000000"/>
                <w:sz w:val="18"/>
                <w:szCs w:val="18"/>
                <w:lang w:val="en-GB"/>
              </w:rPr>
            </w:pPr>
            <w:r w:rsidRPr="00B741C0">
              <w:rPr>
                <w:b/>
                <w:bCs/>
                <w:color w:val="000000"/>
                <w:sz w:val="18"/>
                <w:szCs w:val="18"/>
                <w:u w:val="single"/>
                <w:lang w:val="en-GB"/>
              </w:rPr>
              <w:t>Table A2.</w:t>
            </w:r>
            <w:r w:rsidRPr="00B741C0">
              <w:rPr>
                <w:b/>
                <w:bCs/>
                <w:color w:val="000000"/>
                <w:sz w:val="18"/>
                <w:szCs w:val="18"/>
                <w:lang w:val="en-GB"/>
              </w:rPr>
              <w:t xml:space="preserve"> Sensitivity, specificity, predictive negative and positive value for scores from selected articles with cut</w:t>
            </w:r>
            <w:r>
              <w:rPr>
                <w:b/>
                <w:bCs/>
                <w:color w:val="000000"/>
                <w:sz w:val="18"/>
                <w:szCs w:val="18"/>
                <w:lang w:val="en-GB"/>
              </w:rPr>
              <w:t>-</w:t>
            </w:r>
            <w:r w:rsidRPr="00B741C0">
              <w:rPr>
                <w:b/>
                <w:bCs/>
                <w:color w:val="000000"/>
                <w:sz w:val="18"/>
                <w:szCs w:val="18"/>
                <w:lang w:val="en-GB"/>
              </w:rPr>
              <w:t>off</w:t>
            </w:r>
            <w:r>
              <w:rPr>
                <w:b/>
                <w:bCs/>
                <w:color w:val="000000"/>
                <w:sz w:val="18"/>
                <w:szCs w:val="18"/>
                <w:lang w:val="en-GB"/>
              </w:rPr>
              <w:t xml:space="preserve"> values</w:t>
            </w:r>
            <w:r w:rsidRPr="00B741C0">
              <w:rPr>
                <w:b/>
                <w:bCs/>
                <w:color w:val="000000"/>
                <w:sz w:val="18"/>
                <w:szCs w:val="18"/>
                <w:lang w:val="en-GB"/>
              </w:rPr>
              <w:t xml:space="preserve"> </w:t>
            </w:r>
          </w:p>
        </w:tc>
      </w:tr>
      <w:tr w:rsidR="009321C1" w:rsidRPr="009321C1" w:rsidTr="005E384D">
        <w:trPr>
          <w:cantSplit/>
          <w:tblHeader/>
        </w:trPr>
        <w:tc>
          <w:tcPr>
            <w:tcW w:w="547" w:type="pct"/>
            <w:tcBorders>
              <w:top w:val="single" w:sz="4" w:space="0" w:color="auto"/>
              <w:bottom w:val="nil"/>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lang w:val="en-GB"/>
              </w:rPr>
            </w:pPr>
          </w:p>
        </w:tc>
        <w:tc>
          <w:tcPr>
            <w:tcW w:w="177" w:type="pct"/>
            <w:tcBorders>
              <w:top w:val="single" w:sz="4" w:space="0" w:color="auto"/>
              <w:bottom w:val="nil"/>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lang w:val="en-GB"/>
              </w:rPr>
            </w:pPr>
          </w:p>
        </w:tc>
        <w:tc>
          <w:tcPr>
            <w:tcW w:w="2160" w:type="pct"/>
            <w:gridSpan w:val="4"/>
            <w:tcBorders>
              <w:top w:val="single" w:sz="4" w:space="0" w:color="auto"/>
              <w:bottom w:val="nil"/>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lang w:val="en-GB"/>
              </w:rPr>
            </w:pPr>
            <w:r w:rsidRPr="00B741C0">
              <w:rPr>
                <w:b/>
                <w:bCs/>
                <w:color w:val="000000"/>
                <w:sz w:val="18"/>
                <w:szCs w:val="18"/>
                <w:lang w:val="en-GB"/>
              </w:rPr>
              <w:t>Wave 1 (patients from Wave 2 and between waves were discarded)</w:t>
            </w:r>
          </w:p>
        </w:tc>
        <w:tc>
          <w:tcPr>
            <w:tcW w:w="2116" w:type="pct"/>
            <w:gridSpan w:val="4"/>
            <w:tcBorders>
              <w:top w:val="single" w:sz="4" w:space="0" w:color="auto"/>
              <w:bottom w:val="nil"/>
            </w:tcBorders>
            <w:vAlign w:val="bottom"/>
          </w:tcPr>
          <w:p w:rsidR="009321C1" w:rsidRPr="00B741C0" w:rsidRDefault="009321C1" w:rsidP="005E384D">
            <w:pPr>
              <w:adjustRightInd w:val="0"/>
              <w:spacing w:before="60" w:after="60"/>
              <w:jc w:val="center"/>
              <w:rPr>
                <w:b/>
                <w:bCs/>
                <w:color w:val="000000"/>
                <w:sz w:val="18"/>
                <w:szCs w:val="18"/>
                <w:lang w:val="en-GB"/>
              </w:rPr>
            </w:pPr>
            <w:r w:rsidRPr="00B741C0">
              <w:rPr>
                <w:b/>
                <w:bCs/>
                <w:color w:val="000000"/>
                <w:sz w:val="18"/>
                <w:szCs w:val="18"/>
                <w:lang w:val="en-GB"/>
              </w:rPr>
              <w:t>Wave 2 (patients from wave 1 and between waves were discarded)</w:t>
            </w:r>
          </w:p>
        </w:tc>
      </w:tr>
      <w:tr w:rsidR="009321C1" w:rsidRPr="009321C1" w:rsidTr="005E384D">
        <w:trPr>
          <w:cantSplit/>
          <w:tblHeader/>
        </w:trPr>
        <w:tc>
          <w:tcPr>
            <w:tcW w:w="547" w:type="pct"/>
            <w:tcBorders>
              <w:bottom w:val="single" w:sz="4" w:space="0" w:color="auto"/>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lang w:val="en-GB"/>
              </w:rPr>
            </w:pPr>
          </w:p>
        </w:tc>
        <w:tc>
          <w:tcPr>
            <w:tcW w:w="177" w:type="pct"/>
            <w:tcBorders>
              <w:bottom w:val="single" w:sz="4" w:space="0" w:color="auto"/>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lang w:val="en-GB"/>
              </w:rPr>
            </w:pPr>
          </w:p>
        </w:tc>
        <w:tc>
          <w:tcPr>
            <w:tcW w:w="572" w:type="pct"/>
            <w:tcBorders>
              <w:bottom w:val="single" w:sz="4" w:space="0" w:color="auto"/>
            </w:tcBorders>
            <w:shd w:val="clear" w:color="auto" w:fill="auto"/>
            <w:tcMar>
              <w:left w:w="60" w:type="dxa"/>
              <w:right w:w="60" w:type="dxa"/>
            </w:tcMar>
            <w:vAlign w:val="bottom"/>
          </w:tcPr>
          <w:p w:rsidR="009321C1" w:rsidRPr="00877801" w:rsidRDefault="009321C1" w:rsidP="005E384D">
            <w:pPr>
              <w:adjustRightInd w:val="0"/>
              <w:spacing w:before="60" w:after="60"/>
              <w:jc w:val="right"/>
              <w:rPr>
                <w:b/>
                <w:bCs/>
                <w:color w:val="000000"/>
                <w:sz w:val="18"/>
                <w:szCs w:val="18"/>
                <w:lang w:val="en-GB"/>
              </w:rPr>
            </w:pPr>
            <w:r w:rsidRPr="00877801">
              <w:rPr>
                <w:b/>
                <w:bCs/>
                <w:color w:val="000000"/>
                <w:sz w:val="18"/>
                <w:szCs w:val="18"/>
                <w:lang w:val="en-GB"/>
              </w:rPr>
              <w:t>Se (</w:t>
            </w:r>
            <w:r>
              <w:rPr>
                <w:b/>
                <w:bCs/>
                <w:color w:val="000000"/>
                <w:sz w:val="18"/>
                <w:szCs w:val="18"/>
                <w:lang w:val="en-GB"/>
              </w:rPr>
              <w:t>95CI%</w:t>
            </w:r>
            <w:r w:rsidRPr="00877801">
              <w:rPr>
                <w:b/>
                <w:bCs/>
                <w:color w:val="000000"/>
                <w:sz w:val="18"/>
                <w:szCs w:val="18"/>
                <w:lang w:val="en-GB"/>
              </w:rPr>
              <w:t>)</w:t>
            </w:r>
          </w:p>
        </w:tc>
        <w:tc>
          <w:tcPr>
            <w:tcW w:w="529" w:type="pct"/>
            <w:tcBorders>
              <w:bottom w:val="single" w:sz="4" w:space="0" w:color="auto"/>
            </w:tcBorders>
            <w:shd w:val="clear" w:color="auto" w:fill="auto"/>
          </w:tcPr>
          <w:p w:rsidR="009321C1" w:rsidRPr="00877801" w:rsidRDefault="009321C1" w:rsidP="005E384D">
            <w:pPr>
              <w:adjustRightInd w:val="0"/>
              <w:spacing w:before="60" w:after="60"/>
              <w:jc w:val="right"/>
              <w:rPr>
                <w:b/>
                <w:bCs/>
                <w:color w:val="000000"/>
                <w:sz w:val="18"/>
                <w:szCs w:val="18"/>
                <w:lang w:val="en-GB"/>
              </w:rPr>
            </w:pPr>
            <w:r w:rsidRPr="00877801">
              <w:rPr>
                <w:b/>
                <w:bCs/>
                <w:color w:val="000000"/>
                <w:sz w:val="18"/>
                <w:szCs w:val="18"/>
                <w:lang w:val="en-GB"/>
              </w:rPr>
              <w:t>Sp (</w:t>
            </w:r>
            <w:r>
              <w:rPr>
                <w:b/>
                <w:bCs/>
                <w:color w:val="000000"/>
                <w:sz w:val="18"/>
                <w:szCs w:val="18"/>
                <w:lang w:val="en-GB"/>
              </w:rPr>
              <w:t>95CI%</w:t>
            </w:r>
            <w:r w:rsidRPr="00877801">
              <w:rPr>
                <w:b/>
                <w:bCs/>
                <w:color w:val="000000"/>
                <w:sz w:val="18"/>
                <w:szCs w:val="18"/>
                <w:lang w:val="en-GB"/>
              </w:rPr>
              <w:t>)</w:t>
            </w:r>
          </w:p>
        </w:tc>
        <w:tc>
          <w:tcPr>
            <w:tcW w:w="529" w:type="pct"/>
            <w:tcBorders>
              <w:bottom w:val="single" w:sz="4" w:space="0" w:color="auto"/>
            </w:tcBorders>
            <w:shd w:val="clear" w:color="auto" w:fill="auto"/>
          </w:tcPr>
          <w:p w:rsidR="009321C1" w:rsidRPr="00877801" w:rsidRDefault="009321C1" w:rsidP="005E384D">
            <w:pPr>
              <w:adjustRightInd w:val="0"/>
              <w:spacing w:before="60" w:after="60"/>
              <w:jc w:val="right"/>
              <w:rPr>
                <w:b/>
                <w:bCs/>
                <w:color w:val="000000"/>
                <w:sz w:val="18"/>
                <w:szCs w:val="18"/>
                <w:lang w:val="en-GB"/>
              </w:rPr>
            </w:pPr>
            <w:r>
              <w:rPr>
                <w:b/>
                <w:bCs/>
                <w:color w:val="000000"/>
                <w:sz w:val="18"/>
                <w:szCs w:val="18"/>
                <w:lang w:val="en-GB"/>
              </w:rPr>
              <w:t>PPV</w:t>
            </w:r>
            <w:r w:rsidRPr="00877801">
              <w:rPr>
                <w:b/>
                <w:bCs/>
                <w:color w:val="000000"/>
                <w:sz w:val="18"/>
                <w:szCs w:val="18"/>
                <w:lang w:val="en-GB"/>
              </w:rPr>
              <w:t xml:space="preserve"> (</w:t>
            </w:r>
            <w:r>
              <w:rPr>
                <w:b/>
                <w:bCs/>
                <w:color w:val="000000"/>
                <w:sz w:val="18"/>
                <w:szCs w:val="18"/>
                <w:lang w:val="en-GB"/>
              </w:rPr>
              <w:t>95CI%</w:t>
            </w:r>
            <w:r w:rsidRPr="00877801">
              <w:rPr>
                <w:b/>
                <w:bCs/>
                <w:color w:val="000000"/>
                <w:sz w:val="18"/>
                <w:szCs w:val="18"/>
                <w:lang w:val="en-GB"/>
              </w:rPr>
              <w:t>)</w:t>
            </w:r>
          </w:p>
        </w:tc>
        <w:tc>
          <w:tcPr>
            <w:tcW w:w="530" w:type="pct"/>
            <w:tcBorders>
              <w:bottom w:val="single" w:sz="4" w:space="0" w:color="auto"/>
            </w:tcBorders>
            <w:shd w:val="clear" w:color="auto" w:fill="auto"/>
          </w:tcPr>
          <w:p w:rsidR="009321C1" w:rsidRPr="00877801" w:rsidRDefault="009321C1" w:rsidP="005E384D">
            <w:pPr>
              <w:adjustRightInd w:val="0"/>
              <w:spacing w:before="60" w:after="60"/>
              <w:jc w:val="right"/>
              <w:rPr>
                <w:b/>
                <w:bCs/>
                <w:color w:val="000000"/>
                <w:sz w:val="18"/>
                <w:szCs w:val="18"/>
                <w:lang w:val="en-GB"/>
              </w:rPr>
            </w:pPr>
            <w:r>
              <w:rPr>
                <w:b/>
                <w:bCs/>
                <w:color w:val="000000"/>
                <w:sz w:val="18"/>
                <w:szCs w:val="18"/>
                <w:lang w:val="en-GB"/>
              </w:rPr>
              <w:t>NPV</w:t>
            </w:r>
            <w:r w:rsidRPr="00877801">
              <w:rPr>
                <w:b/>
                <w:bCs/>
                <w:color w:val="000000"/>
                <w:sz w:val="18"/>
                <w:szCs w:val="18"/>
                <w:lang w:val="en-GB"/>
              </w:rPr>
              <w:t xml:space="preserve"> (</w:t>
            </w:r>
            <w:r>
              <w:rPr>
                <w:b/>
                <w:bCs/>
                <w:color w:val="000000"/>
                <w:sz w:val="18"/>
                <w:szCs w:val="18"/>
                <w:lang w:val="en-GB"/>
              </w:rPr>
              <w:t>95CI%</w:t>
            </w:r>
            <w:r w:rsidRPr="00877801">
              <w:rPr>
                <w:b/>
                <w:bCs/>
                <w:color w:val="000000"/>
                <w:sz w:val="18"/>
                <w:szCs w:val="18"/>
                <w:lang w:val="en-GB"/>
              </w:rPr>
              <w:t>)</w:t>
            </w:r>
          </w:p>
        </w:tc>
        <w:tc>
          <w:tcPr>
            <w:tcW w:w="529" w:type="pct"/>
            <w:tcBorders>
              <w:bottom w:val="single" w:sz="4" w:space="0" w:color="auto"/>
            </w:tcBorders>
            <w:vAlign w:val="bottom"/>
          </w:tcPr>
          <w:p w:rsidR="009321C1" w:rsidRPr="00877801" w:rsidRDefault="009321C1" w:rsidP="005E384D">
            <w:pPr>
              <w:adjustRightInd w:val="0"/>
              <w:spacing w:before="60" w:after="60"/>
              <w:jc w:val="right"/>
              <w:rPr>
                <w:b/>
                <w:bCs/>
                <w:color w:val="000000"/>
                <w:sz w:val="18"/>
                <w:szCs w:val="18"/>
                <w:lang w:val="en-GB"/>
              </w:rPr>
            </w:pPr>
            <w:r w:rsidRPr="00877801">
              <w:rPr>
                <w:b/>
                <w:bCs/>
                <w:color w:val="000000"/>
                <w:sz w:val="18"/>
                <w:szCs w:val="18"/>
                <w:lang w:val="en-GB"/>
              </w:rPr>
              <w:t>Se (</w:t>
            </w:r>
            <w:r>
              <w:rPr>
                <w:b/>
                <w:bCs/>
                <w:color w:val="000000"/>
                <w:sz w:val="18"/>
                <w:szCs w:val="18"/>
                <w:lang w:val="en-GB"/>
              </w:rPr>
              <w:t>95CI%</w:t>
            </w:r>
            <w:r w:rsidRPr="00877801">
              <w:rPr>
                <w:b/>
                <w:bCs/>
                <w:color w:val="000000"/>
                <w:sz w:val="18"/>
                <w:szCs w:val="18"/>
                <w:lang w:val="en-GB"/>
              </w:rPr>
              <w:t>)</w:t>
            </w:r>
          </w:p>
        </w:tc>
        <w:tc>
          <w:tcPr>
            <w:tcW w:w="529" w:type="pct"/>
            <w:tcBorders>
              <w:bottom w:val="single" w:sz="4" w:space="0" w:color="auto"/>
            </w:tcBorders>
          </w:tcPr>
          <w:p w:rsidR="009321C1" w:rsidRPr="00877801" w:rsidRDefault="009321C1" w:rsidP="005E384D">
            <w:pPr>
              <w:adjustRightInd w:val="0"/>
              <w:spacing w:before="60" w:after="60"/>
              <w:jc w:val="right"/>
              <w:rPr>
                <w:b/>
                <w:bCs/>
                <w:color w:val="000000"/>
                <w:sz w:val="18"/>
                <w:szCs w:val="18"/>
                <w:lang w:val="en-GB"/>
              </w:rPr>
            </w:pPr>
            <w:r w:rsidRPr="00877801">
              <w:rPr>
                <w:b/>
                <w:bCs/>
                <w:color w:val="000000"/>
                <w:sz w:val="18"/>
                <w:szCs w:val="18"/>
                <w:lang w:val="en-GB"/>
              </w:rPr>
              <w:t>Sp (</w:t>
            </w:r>
            <w:r>
              <w:rPr>
                <w:b/>
                <w:bCs/>
                <w:color w:val="000000"/>
                <w:sz w:val="18"/>
                <w:szCs w:val="18"/>
                <w:lang w:val="en-GB"/>
              </w:rPr>
              <w:t>95CI%</w:t>
            </w:r>
          </w:p>
        </w:tc>
        <w:tc>
          <w:tcPr>
            <w:tcW w:w="529" w:type="pct"/>
            <w:tcBorders>
              <w:bottom w:val="single" w:sz="4" w:space="0" w:color="auto"/>
            </w:tcBorders>
          </w:tcPr>
          <w:p w:rsidR="009321C1" w:rsidRPr="00877801" w:rsidRDefault="009321C1" w:rsidP="005E384D">
            <w:pPr>
              <w:adjustRightInd w:val="0"/>
              <w:spacing w:before="60" w:after="60"/>
              <w:jc w:val="right"/>
              <w:rPr>
                <w:b/>
                <w:bCs/>
                <w:color w:val="000000"/>
                <w:sz w:val="18"/>
                <w:szCs w:val="18"/>
                <w:lang w:val="en-GB"/>
              </w:rPr>
            </w:pPr>
            <w:r>
              <w:rPr>
                <w:b/>
                <w:bCs/>
                <w:color w:val="000000"/>
                <w:sz w:val="18"/>
                <w:szCs w:val="18"/>
                <w:lang w:val="en-GB"/>
              </w:rPr>
              <w:t>PPV</w:t>
            </w:r>
            <w:r w:rsidRPr="00877801">
              <w:rPr>
                <w:b/>
                <w:bCs/>
                <w:color w:val="000000"/>
                <w:sz w:val="18"/>
                <w:szCs w:val="18"/>
                <w:lang w:val="en-GB"/>
              </w:rPr>
              <w:t xml:space="preserve"> (</w:t>
            </w:r>
            <w:r>
              <w:rPr>
                <w:b/>
                <w:bCs/>
                <w:color w:val="000000"/>
                <w:sz w:val="18"/>
                <w:szCs w:val="18"/>
                <w:lang w:val="en-GB"/>
              </w:rPr>
              <w:t>95CI%</w:t>
            </w:r>
          </w:p>
        </w:tc>
        <w:tc>
          <w:tcPr>
            <w:tcW w:w="529" w:type="pct"/>
            <w:tcBorders>
              <w:bottom w:val="single" w:sz="4" w:space="0" w:color="auto"/>
            </w:tcBorders>
          </w:tcPr>
          <w:p w:rsidR="009321C1" w:rsidRPr="00877801" w:rsidRDefault="009321C1" w:rsidP="005E384D">
            <w:pPr>
              <w:adjustRightInd w:val="0"/>
              <w:spacing w:before="60" w:after="60"/>
              <w:jc w:val="right"/>
              <w:rPr>
                <w:b/>
                <w:bCs/>
                <w:color w:val="000000"/>
                <w:sz w:val="18"/>
                <w:szCs w:val="18"/>
                <w:lang w:val="en-GB"/>
              </w:rPr>
            </w:pPr>
            <w:r>
              <w:rPr>
                <w:b/>
                <w:bCs/>
                <w:color w:val="000000"/>
                <w:sz w:val="18"/>
                <w:szCs w:val="18"/>
                <w:lang w:val="en-GB"/>
              </w:rPr>
              <w:t>NPV (95CI%)</w:t>
            </w:r>
          </w:p>
        </w:tc>
      </w:tr>
      <w:tr w:rsidR="009321C1" w:rsidRPr="009321C1" w:rsidTr="005E384D">
        <w:trPr>
          <w:cantSplit/>
        </w:trPr>
        <w:tc>
          <w:tcPr>
            <w:tcW w:w="547" w:type="pct"/>
            <w:tcBorders>
              <w:top w:val="single" w:sz="4" w:space="0" w:color="auto"/>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b/>
                <w:i/>
                <w:color w:val="000000"/>
                <w:sz w:val="18"/>
                <w:szCs w:val="18"/>
                <w:lang w:val="en-GB"/>
              </w:rPr>
              <w:t xml:space="preserve">Vieceli et al.  </w:t>
            </w:r>
          </w:p>
        </w:tc>
        <w:tc>
          <w:tcPr>
            <w:tcW w:w="177" w:type="pct"/>
            <w:tcBorders>
              <w:top w:val="single" w:sz="4" w:space="0" w:color="auto"/>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p>
        </w:tc>
        <w:tc>
          <w:tcPr>
            <w:tcW w:w="572" w:type="pct"/>
            <w:tcBorders>
              <w:top w:val="single" w:sz="4" w:space="0" w:color="auto"/>
            </w:tcBorders>
            <w:shd w:val="clear" w:color="auto" w:fill="auto"/>
            <w:tcMar>
              <w:left w:w="60" w:type="dxa"/>
              <w:right w:w="60" w:type="dxa"/>
            </w:tcMar>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tcBorders>
            <w:shd w:val="clear" w:color="auto" w:fill="auto"/>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tcBorders>
            <w:shd w:val="clear" w:color="auto" w:fill="auto"/>
          </w:tcPr>
          <w:p w:rsidR="009321C1" w:rsidRPr="00877801" w:rsidRDefault="009321C1" w:rsidP="005E384D">
            <w:pPr>
              <w:adjustRightInd w:val="0"/>
              <w:spacing w:before="60" w:after="60"/>
              <w:jc w:val="right"/>
              <w:rPr>
                <w:color w:val="000000"/>
                <w:sz w:val="18"/>
                <w:szCs w:val="18"/>
                <w:lang w:val="en-GB"/>
              </w:rPr>
            </w:pPr>
          </w:p>
        </w:tc>
        <w:tc>
          <w:tcPr>
            <w:tcW w:w="530" w:type="pct"/>
            <w:tcBorders>
              <w:top w:val="single" w:sz="4" w:space="0" w:color="auto"/>
            </w:tcBorders>
            <w:shd w:val="clear" w:color="auto" w:fill="auto"/>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tcBorders>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tcBorders>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tcBorders>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tcBorders>
          </w:tcPr>
          <w:p w:rsidR="009321C1" w:rsidRPr="00877801" w:rsidRDefault="009321C1" w:rsidP="005E384D">
            <w:pPr>
              <w:adjustRightInd w:val="0"/>
              <w:spacing w:before="60" w:after="60"/>
              <w:jc w:val="right"/>
              <w:rPr>
                <w:color w:val="000000"/>
                <w:sz w:val="18"/>
                <w:szCs w:val="18"/>
                <w:lang w:val="en-GB"/>
              </w:rPr>
            </w:pPr>
          </w:p>
        </w:tc>
      </w:tr>
      <w:tr w:rsidR="009321C1" w:rsidRPr="009321C1" w:rsidTr="005E384D">
        <w:trPr>
          <w:cantSplit/>
        </w:trPr>
        <w:tc>
          <w:tcPr>
            <w:tcW w:w="547" w:type="pct"/>
            <w:tcBorders>
              <w:bottom w:val="single" w:sz="4" w:space="0" w:color="auto"/>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color w:val="000000"/>
                <w:sz w:val="18"/>
                <w:szCs w:val="18"/>
                <w:lang w:val="en-GB"/>
              </w:rPr>
              <w:t xml:space="preserve">Cut-off </w:t>
            </w:r>
            <w:r>
              <w:rPr>
                <w:rFonts w:cstheme="minorHAnsi"/>
                <w:color w:val="000000"/>
                <w:sz w:val="18"/>
                <w:szCs w:val="18"/>
                <w:lang w:val="en-GB"/>
              </w:rPr>
              <w:t>value</w:t>
            </w:r>
          </w:p>
        </w:tc>
        <w:tc>
          <w:tcPr>
            <w:tcW w:w="177" w:type="pct"/>
            <w:tcBorders>
              <w:bottom w:val="single" w:sz="4" w:space="0" w:color="auto"/>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color w:val="000000"/>
                <w:sz w:val="18"/>
                <w:szCs w:val="18"/>
                <w:lang w:val="en-GB"/>
              </w:rPr>
              <w:t>≥ 5</w:t>
            </w:r>
          </w:p>
        </w:tc>
        <w:tc>
          <w:tcPr>
            <w:tcW w:w="572" w:type="pct"/>
            <w:tcBorders>
              <w:bottom w:val="single" w:sz="4" w:space="0" w:color="auto"/>
            </w:tcBorders>
            <w:shd w:val="clear" w:color="auto" w:fill="auto"/>
            <w:tcMar>
              <w:left w:w="60" w:type="dxa"/>
              <w:right w:w="60" w:type="dxa"/>
            </w:tcMar>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0.87 (0.81 – 0.93)</w:t>
            </w:r>
          </w:p>
        </w:tc>
        <w:tc>
          <w:tcPr>
            <w:tcW w:w="529" w:type="pct"/>
            <w:tcBorders>
              <w:bottom w:val="single" w:sz="4" w:space="0" w:color="auto"/>
            </w:tcBorders>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0.57 (0.53 – 0.62)</w:t>
            </w:r>
          </w:p>
        </w:tc>
        <w:tc>
          <w:tcPr>
            <w:tcW w:w="529" w:type="pct"/>
            <w:tcBorders>
              <w:bottom w:val="single" w:sz="4" w:space="0" w:color="auto"/>
            </w:tcBorders>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 xml:space="preserve">0.40 (0.35 – 0.46) </w:t>
            </w:r>
          </w:p>
        </w:tc>
        <w:tc>
          <w:tcPr>
            <w:tcW w:w="530" w:type="pct"/>
            <w:tcBorders>
              <w:bottom w:val="single" w:sz="4" w:space="0" w:color="auto"/>
            </w:tcBorders>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0.93 (0.90 – 0.96)</w:t>
            </w:r>
          </w:p>
        </w:tc>
        <w:tc>
          <w:tcPr>
            <w:tcW w:w="529" w:type="pct"/>
            <w:tcBorders>
              <w:bottom w:val="single" w:sz="4" w:space="0" w:color="auto"/>
            </w:tcBorders>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0.82 (0.78 – 0.86)</w:t>
            </w:r>
          </w:p>
        </w:tc>
        <w:tc>
          <w:tcPr>
            <w:tcW w:w="529" w:type="pct"/>
            <w:tcBorders>
              <w:bottom w:val="single" w:sz="4" w:space="0" w:color="auto"/>
            </w:tcBorders>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0.57 (0.54 – 0.64)</w:t>
            </w:r>
          </w:p>
        </w:tc>
        <w:tc>
          <w:tcPr>
            <w:tcW w:w="529" w:type="pct"/>
            <w:tcBorders>
              <w:bottom w:val="single" w:sz="4" w:space="0" w:color="auto"/>
            </w:tcBorders>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0.59 (0.55 – 0.64)</w:t>
            </w:r>
          </w:p>
        </w:tc>
        <w:tc>
          <w:tcPr>
            <w:tcW w:w="529" w:type="pct"/>
            <w:tcBorders>
              <w:bottom w:val="single" w:sz="4" w:space="0" w:color="auto"/>
            </w:tcBorders>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0.81 (0.76 – 0.85)</w:t>
            </w:r>
          </w:p>
        </w:tc>
      </w:tr>
      <w:tr w:rsidR="009321C1" w:rsidRPr="009321C1" w:rsidTr="005E384D">
        <w:trPr>
          <w:cantSplit/>
        </w:trPr>
        <w:tc>
          <w:tcPr>
            <w:tcW w:w="547" w:type="pct"/>
            <w:tcBorders>
              <w:top w:val="single" w:sz="4" w:space="0" w:color="auto"/>
              <w:bottom w:val="nil"/>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b/>
                <w:i/>
                <w:color w:val="000000"/>
                <w:sz w:val="18"/>
                <w:szCs w:val="18"/>
                <w:lang w:val="en-GB"/>
              </w:rPr>
              <w:t>Tordjman et al.</w:t>
            </w:r>
          </w:p>
        </w:tc>
        <w:tc>
          <w:tcPr>
            <w:tcW w:w="177" w:type="pct"/>
            <w:tcBorders>
              <w:top w:val="single" w:sz="4" w:space="0" w:color="auto"/>
              <w:bottom w:val="nil"/>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p>
        </w:tc>
        <w:tc>
          <w:tcPr>
            <w:tcW w:w="572" w:type="pct"/>
            <w:tcBorders>
              <w:top w:val="single" w:sz="4" w:space="0" w:color="auto"/>
              <w:bottom w:val="nil"/>
            </w:tcBorders>
            <w:shd w:val="clear" w:color="auto" w:fill="auto"/>
            <w:tcMar>
              <w:left w:w="60" w:type="dxa"/>
              <w:right w:w="60" w:type="dxa"/>
            </w:tcMar>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bottom w:val="nil"/>
            </w:tcBorders>
            <w:shd w:val="clear" w:color="auto" w:fill="auto"/>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bottom w:val="nil"/>
            </w:tcBorders>
            <w:shd w:val="clear" w:color="auto" w:fill="auto"/>
          </w:tcPr>
          <w:p w:rsidR="009321C1" w:rsidRPr="00877801" w:rsidRDefault="009321C1" w:rsidP="005E384D">
            <w:pPr>
              <w:adjustRightInd w:val="0"/>
              <w:spacing w:before="60" w:after="60"/>
              <w:jc w:val="right"/>
              <w:rPr>
                <w:color w:val="000000"/>
                <w:sz w:val="18"/>
                <w:szCs w:val="18"/>
                <w:lang w:val="en-GB"/>
              </w:rPr>
            </w:pPr>
          </w:p>
        </w:tc>
        <w:tc>
          <w:tcPr>
            <w:tcW w:w="530" w:type="pct"/>
            <w:tcBorders>
              <w:top w:val="single" w:sz="4" w:space="0" w:color="auto"/>
              <w:bottom w:val="nil"/>
            </w:tcBorders>
            <w:shd w:val="clear" w:color="auto" w:fill="auto"/>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bottom w:val="nil"/>
            </w:tcBorders>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bottom w:val="nil"/>
            </w:tcBorders>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bottom w:val="nil"/>
            </w:tcBorders>
          </w:tcPr>
          <w:p w:rsidR="009321C1" w:rsidRPr="00877801" w:rsidRDefault="009321C1" w:rsidP="005E384D">
            <w:pPr>
              <w:adjustRightInd w:val="0"/>
              <w:spacing w:before="60" w:after="60"/>
              <w:jc w:val="right"/>
              <w:rPr>
                <w:color w:val="000000"/>
                <w:sz w:val="18"/>
                <w:szCs w:val="18"/>
                <w:lang w:val="en-GB"/>
              </w:rPr>
            </w:pPr>
          </w:p>
        </w:tc>
        <w:tc>
          <w:tcPr>
            <w:tcW w:w="529" w:type="pct"/>
            <w:tcBorders>
              <w:top w:val="single" w:sz="4" w:space="0" w:color="auto"/>
              <w:bottom w:val="nil"/>
            </w:tcBorders>
          </w:tcPr>
          <w:p w:rsidR="009321C1" w:rsidRPr="00877801" w:rsidRDefault="009321C1" w:rsidP="005E384D">
            <w:pPr>
              <w:adjustRightInd w:val="0"/>
              <w:spacing w:before="60" w:after="60"/>
              <w:jc w:val="right"/>
              <w:rPr>
                <w:color w:val="000000"/>
                <w:sz w:val="18"/>
                <w:szCs w:val="18"/>
                <w:lang w:val="en-GB"/>
              </w:rPr>
            </w:pPr>
          </w:p>
        </w:tc>
      </w:tr>
      <w:tr w:rsidR="009321C1" w:rsidRPr="009321C1" w:rsidTr="005E384D">
        <w:trPr>
          <w:cantSplit/>
        </w:trPr>
        <w:tc>
          <w:tcPr>
            <w:tcW w:w="547" w:type="pct"/>
            <w:tcBorders>
              <w:top w:val="nil"/>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color w:val="000000"/>
                <w:sz w:val="18"/>
                <w:szCs w:val="18"/>
                <w:lang w:val="en-GB"/>
              </w:rPr>
              <w:t>Cut-off</w:t>
            </w:r>
            <w:r>
              <w:rPr>
                <w:rFonts w:cstheme="minorHAnsi"/>
                <w:color w:val="000000"/>
                <w:sz w:val="18"/>
                <w:szCs w:val="18"/>
                <w:lang w:val="en-GB"/>
              </w:rPr>
              <w:t xml:space="preserve"> value</w:t>
            </w:r>
          </w:p>
        </w:tc>
        <w:tc>
          <w:tcPr>
            <w:tcW w:w="177" w:type="pct"/>
            <w:tcBorders>
              <w:top w:val="nil"/>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color w:val="000000"/>
                <w:sz w:val="18"/>
                <w:szCs w:val="18"/>
                <w:lang w:val="en-GB"/>
              </w:rPr>
              <w:t>≥ 0</w:t>
            </w:r>
          </w:p>
        </w:tc>
        <w:tc>
          <w:tcPr>
            <w:tcW w:w="572" w:type="pct"/>
            <w:tcBorders>
              <w:top w:val="nil"/>
            </w:tcBorders>
            <w:shd w:val="clear" w:color="auto" w:fill="auto"/>
            <w:tcMar>
              <w:left w:w="60" w:type="dxa"/>
              <w:right w:w="60" w:type="dxa"/>
            </w:tcMar>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100</w:t>
            </w:r>
          </w:p>
        </w:tc>
        <w:tc>
          <w:tcPr>
            <w:tcW w:w="529" w:type="pct"/>
            <w:tcBorders>
              <w:top w:val="nil"/>
            </w:tcBorders>
            <w:shd w:val="clear" w:color="auto" w:fill="auto"/>
          </w:tcPr>
          <w:p w:rsidR="009321C1" w:rsidRPr="00877801" w:rsidRDefault="009321C1" w:rsidP="005E384D">
            <w:pPr>
              <w:adjustRightInd w:val="0"/>
              <w:spacing w:before="60" w:after="60"/>
              <w:jc w:val="right"/>
              <w:rPr>
                <w:color w:val="000000"/>
                <w:sz w:val="18"/>
                <w:szCs w:val="18"/>
                <w:lang w:val="en-GB"/>
              </w:rPr>
            </w:pPr>
          </w:p>
        </w:tc>
        <w:tc>
          <w:tcPr>
            <w:tcW w:w="529" w:type="pct"/>
            <w:tcBorders>
              <w:top w:val="nil"/>
            </w:tcBorders>
            <w:shd w:val="clear" w:color="auto" w:fill="auto"/>
          </w:tcPr>
          <w:p w:rsidR="009321C1" w:rsidRPr="00877801" w:rsidRDefault="009321C1" w:rsidP="005E384D">
            <w:pPr>
              <w:adjustRightInd w:val="0"/>
              <w:spacing w:before="60" w:after="60"/>
              <w:jc w:val="right"/>
              <w:rPr>
                <w:color w:val="000000"/>
                <w:sz w:val="18"/>
                <w:szCs w:val="18"/>
                <w:lang w:val="en-GB"/>
              </w:rPr>
            </w:pPr>
          </w:p>
        </w:tc>
        <w:tc>
          <w:tcPr>
            <w:tcW w:w="530" w:type="pct"/>
            <w:tcBorders>
              <w:top w:val="nil"/>
            </w:tcBorders>
            <w:shd w:val="clear" w:color="auto" w:fill="auto"/>
          </w:tcPr>
          <w:p w:rsidR="009321C1" w:rsidRPr="00877801" w:rsidRDefault="009321C1" w:rsidP="005E384D">
            <w:pPr>
              <w:adjustRightInd w:val="0"/>
              <w:spacing w:before="60" w:after="60"/>
              <w:jc w:val="right"/>
              <w:rPr>
                <w:color w:val="000000"/>
                <w:sz w:val="18"/>
                <w:szCs w:val="18"/>
                <w:lang w:val="en-GB"/>
              </w:rPr>
            </w:pPr>
          </w:p>
        </w:tc>
        <w:tc>
          <w:tcPr>
            <w:tcW w:w="529" w:type="pct"/>
            <w:tcBorders>
              <w:top w:val="nil"/>
            </w:tcBorders>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100</w:t>
            </w:r>
          </w:p>
        </w:tc>
        <w:tc>
          <w:tcPr>
            <w:tcW w:w="529" w:type="pct"/>
            <w:tcBorders>
              <w:top w:val="nil"/>
            </w:tcBorders>
          </w:tcPr>
          <w:p w:rsidR="009321C1" w:rsidRPr="00877801" w:rsidRDefault="009321C1" w:rsidP="005E384D">
            <w:pPr>
              <w:adjustRightInd w:val="0"/>
              <w:spacing w:before="60" w:after="60"/>
              <w:jc w:val="right"/>
              <w:rPr>
                <w:color w:val="000000"/>
                <w:sz w:val="18"/>
                <w:szCs w:val="18"/>
                <w:lang w:val="en-GB"/>
              </w:rPr>
            </w:pPr>
          </w:p>
        </w:tc>
        <w:tc>
          <w:tcPr>
            <w:tcW w:w="529" w:type="pct"/>
            <w:tcBorders>
              <w:top w:val="nil"/>
            </w:tcBorders>
          </w:tcPr>
          <w:p w:rsidR="009321C1" w:rsidRPr="00877801" w:rsidRDefault="009321C1" w:rsidP="005E384D">
            <w:pPr>
              <w:adjustRightInd w:val="0"/>
              <w:spacing w:before="60" w:after="60"/>
              <w:jc w:val="right"/>
              <w:rPr>
                <w:color w:val="000000"/>
                <w:sz w:val="18"/>
                <w:szCs w:val="18"/>
                <w:lang w:val="en-GB"/>
              </w:rPr>
            </w:pPr>
          </w:p>
        </w:tc>
        <w:tc>
          <w:tcPr>
            <w:tcW w:w="529" w:type="pct"/>
            <w:tcBorders>
              <w:top w:val="nil"/>
            </w:tcBorders>
          </w:tcPr>
          <w:p w:rsidR="009321C1" w:rsidRPr="00877801" w:rsidRDefault="009321C1" w:rsidP="005E384D">
            <w:pPr>
              <w:adjustRightInd w:val="0"/>
              <w:spacing w:before="60" w:after="60"/>
              <w:jc w:val="right"/>
              <w:rPr>
                <w:color w:val="000000"/>
                <w:sz w:val="18"/>
                <w:szCs w:val="18"/>
                <w:lang w:val="en-GB"/>
              </w:rPr>
            </w:pPr>
          </w:p>
        </w:tc>
      </w:tr>
      <w:tr w:rsidR="009321C1" w:rsidRPr="009321C1" w:rsidTr="005E384D">
        <w:trPr>
          <w:cantSplit/>
        </w:trPr>
        <w:tc>
          <w:tcPr>
            <w:tcW w:w="547" w:type="pct"/>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p>
        </w:tc>
        <w:tc>
          <w:tcPr>
            <w:tcW w:w="177" w:type="pct"/>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color w:val="000000"/>
                <w:sz w:val="18"/>
                <w:szCs w:val="18"/>
                <w:lang w:val="en-GB"/>
              </w:rPr>
              <w:t>≥ 1</w:t>
            </w:r>
          </w:p>
        </w:tc>
        <w:tc>
          <w:tcPr>
            <w:tcW w:w="572" w:type="pct"/>
            <w:shd w:val="clear" w:color="auto" w:fill="auto"/>
            <w:tcMar>
              <w:left w:w="60" w:type="dxa"/>
              <w:right w:w="60" w:type="dxa"/>
            </w:tcMar>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0.97 (0.92 – 0.99)</w:t>
            </w:r>
          </w:p>
        </w:tc>
        <w:tc>
          <w:tcPr>
            <w:tcW w:w="529"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0.17 (0.14 – 0.21)</w:t>
            </w:r>
          </w:p>
        </w:tc>
        <w:tc>
          <w:tcPr>
            <w:tcW w:w="529"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0.28 (0.24 – 0.32)</w:t>
            </w:r>
          </w:p>
        </w:tc>
        <w:tc>
          <w:tcPr>
            <w:tcW w:w="530"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0.94 (0.86 – 0.98)</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0.97 (0.95 – 0.98)</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0.15 (0.12 – 0.19)</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0.47 (0.43 – 0.50)</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0.87 (0.77 – 0.93)</w:t>
            </w:r>
          </w:p>
        </w:tc>
      </w:tr>
      <w:tr w:rsidR="009321C1" w:rsidRPr="009321C1" w:rsidTr="005E384D">
        <w:trPr>
          <w:cantSplit/>
        </w:trPr>
        <w:tc>
          <w:tcPr>
            <w:tcW w:w="547" w:type="pct"/>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p>
        </w:tc>
        <w:tc>
          <w:tcPr>
            <w:tcW w:w="177" w:type="pct"/>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color w:val="000000"/>
                <w:sz w:val="18"/>
                <w:szCs w:val="18"/>
                <w:lang w:val="en-GB"/>
              </w:rPr>
              <w:t>≥ 2</w:t>
            </w:r>
          </w:p>
        </w:tc>
        <w:tc>
          <w:tcPr>
            <w:tcW w:w="572" w:type="pct"/>
            <w:shd w:val="clear" w:color="auto" w:fill="auto"/>
            <w:tcMar>
              <w:left w:w="60" w:type="dxa"/>
              <w:right w:w="60" w:type="dxa"/>
            </w:tcMar>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0.94 (0.89 – 0.97)</w:t>
            </w:r>
          </w:p>
        </w:tc>
        <w:tc>
          <w:tcPr>
            <w:tcW w:w="529"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0.32 (0.28 – 0.37)</w:t>
            </w:r>
          </w:p>
        </w:tc>
        <w:tc>
          <w:tcPr>
            <w:tcW w:w="529"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0.31 (0.27 – 0.36)</w:t>
            </w:r>
          </w:p>
        </w:tc>
        <w:tc>
          <w:tcPr>
            <w:tcW w:w="530"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0.94 (0.89 – 0.97)</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0.91 (0.87 – 0.93)</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0.32 (0.27 – 0.36)</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0.50 (0.46 – 0.54)</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0.81 (0.75 – 0.87)</w:t>
            </w:r>
          </w:p>
        </w:tc>
      </w:tr>
      <w:tr w:rsidR="009321C1" w:rsidRPr="009321C1" w:rsidTr="005E384D">
        <w:trPr>
          <w:cantSplit/>
        </w:trPr>
        <w:tc>
          <w:tcPr>
            <w:tcW w:w="547" w:type="pct"/>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p>
        </w:tc>
        <w:tc>
          <w:tcPr>
            <w:tcW w:w="177" w:type="pct"/>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color w:val="000000"/>
                <w:sz w:val="18"/>
                <w:szCs w:val="18"/>
                <w:lang w:val="en-GB"/>
              </w:rPr>
              <w:t>≥ 3</w:t>
            </w:r>
          </w:p>
        </w:tc>
        <w:tc>
          <w:tcPr>
            <w:tcW w:w="572" w:type="pct"/>
            <w:shd w:val="clear" w:color="auto" w:fill="auto"/>
            <w:tcMar>
              <w:left w:w="60" w:type="dxa"/>
              <w:right w:w="60" w:type="dxa"/>
            </w:tcMar>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0.84 (0.77 – 0.89)</w:t>
            </w:r>
          </w:p>
        </w:tc>
        <w:tc>
          <w:tcPr>
            <w:tcW w:w="529"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0.51 (0.46 – 0.56)</w:t>
            </w:r>
          </w:p>
        </w:tc>
        <w:tc>
          <w:tcPr>
            <w:tcW w:w="529"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0.36 (0.31 – 0.41)</w:t>
            </w:r>
          </w:p>
        </w:tc>
        <w:tc>
          <w:tcPr>
            <w:tcW w:w="530"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0.90 (0.86 – 0.94)</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0.80 (0.75 – 0.84)</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0.51 (0.46 – 0.55)</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0.55 (0.51 – 0.60)</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0.77 (0.72 – 0.81)</w:t>
            </w:r>
          </w:p>
        </w:tc>
      </w:tr>
      <w:tr w:rsidR="009321C1" w:rsidRPr="009321C1" w:rsidTr="005E384D">
        <w:trPr>
          <w:cantSplit/>
        </w:trPr>
        <w:tc>
          <w:tcPr>
            <w:tcW w:w="547" w:type="pct"/>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p>
        </w:tc>
        <w:tc>
          <w:tcPr>
            <w:tcW w:w="177" w:type="pct"/>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color w:val="000000"/>
                <w:sz w:val="18"/>
                <w:szCs w:val="18"/>
                <w:lang w:val="en-GB"/>
              </w:rPr>
              <w:t>≥ 4</w:t>
            </w:r>
          </w:p>
        </w:tc>
        <w:tc>
          <w:tcPr>
            <w:tcW w:w="572" w:type="pct"/>
            <w:shd w:val="clear" w:color="auto" w:fill="auto"/>
            <w:tcMar>
              <w:left w:w="60" w:type="dxa"/>
              <w:right w:w="60" w:type="dxa"/>
            </w:tcMar>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0.69 (0.61 – 0.77)</w:t>
            </w:r>
          </w:p>
        </w:tc>
        <w:tc>
          <w:tcPr>
            <w:tcW w:w="529"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0.70 (0.65 – 0.74)</w:t>
            </w:r>
          </w:p>
        </w:tc>
        <w:tc>
          <w:tcPr>
            <w:tcW w:w="529"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0.43 (0.37 – 0.50)</w:t>
            </w:r>
          </w:p>
        </w:tc>
        <w:tc>
          <w:tcPr>
            <w:tcW w:w="530" w:type="pct"/>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0.87 (0.83 – 0.91)</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0.63 (0.57 – 0.68)</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0.72 (0.67 – 0.76)</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0.63 (0.58 – 0.68)</w:t>
            </w:r>
          </w:p>
        </w:tc>
        <w:tc>
          <w:tcPr>
            <w:tcW w:w="529" w:type="pct"/>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0.71 (0.67 – 0.75)</w:t>
            </w:r>
          </w:p>
        </w:tc>
      </w:tr>
      <w:tr w:rsidR="009321C1" w:rsidRPr="00B741C0" w:rsidTr="005E384D">
        <w:trPr>
          <w:cantSplit/>
        </w:trPr>
        <w:tc>
          <w:tcPr>
            <w:tcW w:w="547" w:type="pct"/>
            <w:tcBorders>
              <w:bottom w:val="single" w:sz="4" w:space="0" w:color="auto"/>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p>
        </w:tc>
        <w:tc>
          <w:tcPr>
            <w:tcW w:w="177" w:type="pct"/>
            <w:tcBorders>
              <w:bottom w:val="single" w:sz="4" w:space="0" w:color="auto"/>
            </w:tcBorders>
            <w:shd w:val="clear" w:color="auto" w:fill="auto"/>
            <w:tcMar>
              <w:left w:w="60" w:type="dxa"/>
              <w:right w:w="60" w:type="dxa"/>
            </w:tcMar>
          </w:tcPr>
          <w:p w:rsidR="009321C1" w:rsidRPr="00877801" w:rsidRDefault="009321C1" w:rsidP="005E384D">
            <w:pPr>
              <w:adjustRightInd w:val="0"/>
              <w:spacing w:before="60" w:after="60"/>
              <w:rPr>
                <w:color w:val="000000"/>
                <w:sz w:val="18"/>
                <w:szCs w:val="18"/>
                <w:lang w:val="en-GB"/>
              </w:rPr>
            </w:pPr>
            <w:r w:rsidRPr="00877801">
              <w:rPr>
                <w:rFonts w:cstheme="minorHAnsi"/>
                <w:color w:val="000000"/>
                <w:sz w:val="18"/>
                <w:szCs w:val="18"/>
                <w:lang w:val="en-GB"/>
              </w:rPr>
              <w:t>≥ 5</w:t>
            </w:r>
          </w:p>
        </w:tc>
        <w:tc>
          <w:tcPr>
            <w:tcW w:w="572" w:type="pct"/>
            <w:tcBorders>
              <w:bottom w:val="single" w:sz="4" w:space="0" w:color="auto"/>
            </w:tcBorders>
            <w:shd w:val="clear" w:color="auto" w:fill="auto"/>
            <w:tcMar>
              <w:left w:w="60" w:type="dxa"/>
              <w:right w:w="60" w:type="dxa"/>
            </w:tcMar>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0.25 (0.18 – 0.32)</w:t>
            </w:r>
          </w:p>
        </w:tc>
        <w:tc>
          <w:tcPr>
            <w:tcW w:w="529" w:type="pct"/>
            <w:tcBorders>
              <w:bottom w:val="single" w:sz="4" w:space="0" w:color="auto"/>
            </w:tcBorders>
            <w:shd w:val="clear" w:color="auto" w:fill="auto"/>
          </w:tcPr>
          <w:p w:rsidR="009321C1" w:rsidRPr="00877801" w:rsidRDefault="009321C1" w:rsidP="005E384D">
            <w:pPr>
              <w:adjustRightInd w:val="0"/>
              <w:spacing w:before="60" w:after="60"/>
              <w:jc w:val="right"/>
              <w:rPr>
                <w:color w:val="000000"/>
                <w:sz w:val="18"/>
                <w:szCs w:val="18"/>
                <w:lang w:val="en-GB"/>
              </w:rPr>
            </w:pPr>
            <w:r w:rsidRPr="00877801">
              <w:rPr>
                <w:color w:val="000000"/>
                <w:sz w:val="18"/>
                <w:szCs w:val="18"/>
                <w:lang w:val="en-GB"/>
              </w:rPr>
              <w:t>0.95 (0.93 – 0.97)</w:t>
            </w:r>
          </w:p>
        </w:tc>
        <w:tc>
          <w:tcPr>
            <w:tcW w:w="529"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877801">
              <w:rPr>
                <w:color w:val="000000"/>
                <w:sz w:val="18"/>
                <w:szCs w:val="18"/>
                <w:lang w:val="en-GB"/>
              </w:rPr>
              <w:t xml:space="preserve">0.62 (0.48 </w:t>
            </w:r>
            <w:r w:rsidRPr="00B741C0">
              <w:rPr>
                <w:color w:val="000000"/>
                <w:sz w:val="18"/>
                <w:szCs w:val="18"/>
              </w:rPr>
              <w:t>– 0.74)</w:t>
            </w:r>
          </w:p>
        </w:tc>
        <w:tc>
          <w:tcPr>
            <w:tcW w:w="530"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0.79 (0.76 – 0.83)</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0.30 (0.25 – 0.35)</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0.94 (0.92 – 0.96)</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0.80 (0.72 – 0.86)</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0.64 (0.60 – 0.67)</w:t>
            </w:r>
          </w:p>
        </w:tc>
      </w:tr>
      <w:tr w:rsidR="009321C1" w:rsidRPr="00B741C0" w:rsidTr="005E384D">
        <w:trPr>
          <w:cantSplit/>
        </w:trPr>
        <w:tc>
          <w:tcPr>
            <w:tcW w:w="547"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b/>
                <w:i/>
                <w:color w:val="000000"/>
                <w:sz w:val="18"/>
                <w:szCs w:val="18"/>
              </w:rPr>
              <w:t>Kurstjens et al.</w:t>
            </w:r>
          </w:p>
        </w:tc>
        <w:tc>
          <w:tcPr>
            <w:tcW w:w="177"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572"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530"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547" w:type="pct"/>
            <w:tcBorders>
              <w:top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Pr>
                <w:rFonts w:cstheme="minorHAnsi"/>
                <w:color w:val="000000"/>
                <w:sz w:val="18"/>
                <w:szCs w:val="18"/>
              </w:rPr>
              <w:t>Cut-off value</w:t>
            </w:r>
          </w:p>
        </w:tc>
        <w:tc>
          <w:tcPr>
            <w:tcW w:w="177" w:type="pct"/>
            <w:tcBorders>
              <w:top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&gt; 2</w:t>
            </w:r>
          </w:p>
        </w:tc>
        <w:tc>
          <w:tcPr>
            <w:tcW w:w="572" w:type="pct"/>
            <w:tcBorders>
              <w:top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0.96 (0.93 – 0.99)</w:t>
            </w:r>
          </w:p>
        </w:tc>
        <w:tc>
          <w:tcPr>
            <w:tcW w:w="529"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0.33 (0.28 – 0.37)</w:t>
            </w:r>
          </w:p>
        </w:tc>
        <w:tc>
          <w:tcPr>
            <w:tcW w:w="529"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0.32 (0.28 – 0.37)</w:t>
            </w:r>
          </w:p>
        </w:tc>
        <w:tc>
          <w:tcPr>
            <w:tcW w:w="530"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0.96 (0.93 – 0.99)</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0.95 (0.93 – 0.97)</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0.33 (0.28 – 0.37)</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0.52 (0.48 – 0.56)</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0.90 (0.85 – 0.95)</w:t>
            </w:r>
          </w:p>
        </w:tc>
      </w:tr>
      <w:tr w:rsidR="009321C1" w:rsidRPr="00B741C0" w:rsidTr="005E384D">
        <w:trPr>
          <w:cantSplit/>
        </w:trPr>
        <w:tc>
          <w:tcPr>
            <w:tcW w:w="54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17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&gt; 3</w:t>
            </w:r>
          </w:p>
        </w:tc>
        <w:tc>
          <w:tcPr>
            <w:tcW w:w="572" w:type="pct"/>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0.94 (0.90 – 0.98)</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0.43 (0.38 – 0.47)</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0.35 (0.30 – 0.40)</w:t>
            </w:r>
          </w:p>
        </w:tc>
        <w:tc>
          <w:tcPr>
            <w:tcW w:w="530"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0.96 (0.93 – 0.99)</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0.92 (0.90 – 0.95)</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0.43 (0.39 – 0.48)</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0.56 (0.52 – 0.60)</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0.88 (0.84 – 0.93)</w:t>
            </w:r>
          </w:p>
        </w:tc>
      </w:tr>
      <w:tr w:rsidR="009321C1" w:rsidRPr="00B741C0" w:rsidTr="005E384D">
        <w:trPr>
          <w:cantSplit/>
        </w:trPr>
        <w:tc>
          <w:tcPr>
            <w:tcW w:w="54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17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&gt; 4</w:t>
            </w:r>
          </w:p>
        </w:tc>
        <w:tc>
          <w:tcPr>
            <w:tcW w:w="572" w:type="pct"/>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0.92 (0.87 – 0.97)</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0.55 (0.50 – 0.60)</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 xml:space="preserve">0.40 (0.35 - 0.46) </w:t>
            </w:r>
          </w:p>
        </w:tc>
        <w:tc>
          <w:tcPr>
            <w:tcW w:w="530"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0.95 (0.93 – 0.98)</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0.89 (0.86 – 0.93)</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0.55 (0.50 – 0.59)</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0.60 (0.56 – 0.64)</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0.87 (0.83 – 0.91)</w:t>
            </w:r>
          </w:p>
        </w:tc>
      </w:tr>
      <w:tr w:rsidR="009321C1" w:rsidRPr="00B741C0" w:rsidTr="005E384D">
        <w:trPr>
          <w:cantSplit/>
        </w:trPr>
        <w:tc>
          <w:tcPr>
            <w:tcW w:w="54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17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 5</w:t>
            </w:r>
          </w:p>
        </w:tc>
        <w:tc>
          <w:tcPr>
            <w:tcW w:w="572" w:type="pct"/>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0.89 (0.84 – 0.95)</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0.65 (0.61 – 0.70)</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0.46 (0.40 – 0.52)</w:t>
            </w:r>
          </w:p>
        </w:tc>
        <w:tc>
          <w:tcPr>
            <w:tcW w:w="530"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0.95 (0.92 – 0.98)</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0.84 (0.80 – 0.88)</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0.67 (0.63 – 0.71)</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0.66 (0.62 – 0.71)</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0.85 (0.81 – 0.89)</w:t>
            </w:r>
          </w:p>
        </w:tc>
      </w:tr>
      <w:tr w:rsidR="009321C1" w:rsidRPr="00B741C0" w:rsidTr="005E384D">
        <w:trPr>
          <w:cantSplit/>
        </w:trPr>
        <w:tc>
          <w:tcPr>
            <w:tcW w:w="54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17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 9</w:t>
            </w:r>
          </w:p>
        </w:tc>
        <w:tc>
          <w:tcPr>
            <w:tcW w:w="572" w:type="pct"/>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0.68 (0.60 – 0.76)</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0.87 (0.84 – 0.90)</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0.64 (0.56 – 0.71)</w:t>
            </w:r>
          </w:p>
        </w:tc>
        <w:tc>
          <w:tcPr>
            <w:tcW w:w="530"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0.89 (0.86 – 0.92)</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0.66 (0.61 – 0.71)</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0.91 (0.88 – 0.93)</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0.84 (0.80 – 0.89)</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0.78 (0.74 – 0.81)</w:t>
            </w:r>
          </w:p>
        </w:tc>
      </w:tr>
      <w:tr w:rsidR="009321C1" w:rsidRPr="00B741C0" w:rsidTr="005E384D">
        <w:trPr>
          <w:cantSplit/>
        </w:trPr>
        <w:tc>
          <w:tcPr>
            <w:tcW w:w="54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17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 10</w:t>
            </w:r>
          </w:p>
        </w:tc>
        <w:tc>
          <w:tcPr>
            <w:tcW w:w="572" w:type="pct"/>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0.61 (0.53 – 0.70)</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0.91 (0.88 – 0.94)</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 xml:space="preserve">0.69 (0.60 - 0.77) </w:t>
            </w:r>
          </w:p>
        </w:tc>
        <w:tc>
          <w:tcPr>
            <w:tcW w:w="530"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0.88 (0.85 – 0.91)</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0.55 (0.49 – 0.60)</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0.94 (0.91 – 0.96)</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0.87 (0.82 – 0.91)</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0.73 (0.69 – 0.77)</w:t>
            </w:r>
          </w:p>
        </w:tc>
      </w:tr>
      <w:tr w:rsidR="009321C1" w:rsidRPr="00B741C0" w:rsidTr="005E384D">
        <w:trPr>
          <w:cantSplit/>
        </w:trPr>
        <w:tc>
          <w:tcPr>
            <w:tcW w:w="54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177"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 11</w:t>
            </w:r>
          </w:p>
        </w:tc>
        <w:tc>
          <w:tcPr>
            <w:tcW w:w="572" w:type="pct"/>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0.52 (0.44 – 0.60)</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0.94 (0.91 – 0.96)</w:t>
            </w:r>
          </w:p>
        </w:tc>
        <w:tc>
          <w:tcPr>
            <w:tcW w:w="529"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0.73 (0.65 – 0.82)</w:t>
            </w:r>
          </w:p>
        </w:tc>
        <w:tc>
          <w:tcPr>
            <w:tcW w:w="530" w:type="pct"/>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0.86 (0.82 – 0.89)</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0.43 (0.38 – 0.49)</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0.96 (0.94 – 0.98)</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0.89 (0.84 – 0.94)</w:t>
            </w:r>
          </w:p>
        </w:tc>
        <w:tc>
          <w:tcPr>
            <w:tcW w:w="529" w:type="pct"/>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0.69 (0.65 – 0.72)</w:t>
            </w:r>
          </w:p>
        </w:tc>
      </w:tr>
      <w:tr w:rsidR="009321C1" w:rsidRPr="00B741C0" w:rsidTr="005E384D">
        <w:trPr>
          <w:cantSplit/>
        </w:trPr>
        <w:tc>
          <w:tcPr>
            <w:tcW w:w="547" w:type="pct"/>
            <w:tcBorders>
              <w:bottom w:val="single" w:sz="4" w:space="0" w:color="auto"/>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177" w:type="pct"/>
            <w:tcBorders>
              <w:bottom w:val="single" w:sz="4" w:space="0" w:color="auto"/>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 12</w:t>
            </w:r>
          </w:p>
        </w:tc>
        <w:tc>
          <w:tcPr>
            <w:tcW w:w="572" w:type="pct"/>
            <w:tcBorders>
              <w:bottom w:val="single" w:sz="4" w:space="0" w:color="auto"/>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0.39 (0.31 – 0.48)</w:t>
            </w:r>
          </w:p>
        </w:tc>
        <w:tc>
          <w:tcPr>
            <w:tcW w:w="529"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0.97 (0.95 – 0.99)</w:t>
            </w:r>
          </w:p>
        </w:tc>
        <w:tc>
          <w:tcPr>
            <w:tcW w:w="529"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0.83 (0.73 – 0.92)</w:t>
            </w:r>
          </w:p>
        </w:tc>
        <w:tc>
          <w:tcPr>
            <w:tcW w:w="530"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0.83 (0.80 – 0.86)</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0.33 (0.28 – 0.38)</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0.97 (0.96 – 0.99)</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0.90 (0.84 – 0.95)</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0.66 (0.62 – 0.69)</w:t>
            </w:r>
          </w:p>
        </w:tc>
      </w:tr>
      <w:tr w:rsidR="009321C1" w:rsidRPr="00B741C0" w:rsidTr="005E384D">
        <w:trPr>
          <w:cantSplit/>
        </w:trPr>
        <w:tc>
          <w:tcPr>
            <w:tcW w:w="547"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b/>
                <w:i/>
                <w:color w:val="000000"/>
                <w:sz w:val="18"/>
                <w:szCs w:val="18"/>
              </w:rPr>
              <w:t>Aldobyany et al.</w:t>
            </w:r>
          </w:p>
        </w:tc>
        <w:tc>
          <w:tcPr>
            <w:tcW w:w="177"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572"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530"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547" w:type="pct"/>
            <w:tcBorders>
              <w:top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Pr>
                <w:rFonts w:cstheme="minorHAnsi"/>
                <w:color w:val="000000"/>
                <w:sz w:val="18"/>
                <w:szCs w:val="18"/>
              </w:rPr>
              <w:t>Cut-off</w:t>
            </w:r>
            <w:r w:rsidRPr="00B741C0">
              <w:rPr>
                <w:rFonts w:cstheme="minorHAnsi"/>
                <w:color w:val="000000"/>
                <w:sz w:val="18"/>
                <w:szCs w:val="18"/>
              </w:rPr>
              <w:t xml:space="preserve"> </w:t>
            </w:r>
            <w:r>
              <w:rPr>
                <w:rFonts w:cstheme="minorHAnsi"/>
                <w:color w:val="000000"/>
                <w:sz w:val="18"/>
                <w:szCs w:val="18"/>
              </w:rPr>
              <w:t>value</w:t>
            </w:r>
          </w:p>
        </w:tc>
        <w:tc>
          <w:tcPr>
            <w:tcW w:w="177" w:type="pct"/>
            <w:tcBorders>
              <w:top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 4</w:t>
            </w:r>
          </w:p>
        </w:tc>
        <w:tc>
          <w:tcPr>
            <w:tcW w:w="572" w:type="pct"/>
            <w:tcBorders>
              <w:top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0.70 (0.63 – 0.78)</w:t>
            </w:r>
          </w:p>
        </w:tc>
        <w:tc>
          <w:tcPr>
            <w:tcW w:w="529"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0.51 (0.46 – 0.55)</w:t>
            </w:r>
          </w:p>
        </w:tc>
        <w:tc>
          <w:tcPr>
            <w:tcW w:w="529"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0.32 (0.27 – 0.37)</w:t>
            </w:r>
          </w:p>
        </w:tc>
        <w:tc>
          <w:tcPr>
            <w:tcW w:w="530"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0.84 (0.79 – 0.88)</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0.69 (0.64 – 0.74)</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0.45 (0.40 – 0.49)</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0.49 (0.44 – 0.53)</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0.65 (0.60 – 0.70)</w:t>
            </w:r>
          </w:p>
        </w:tc>
      </w:tr>
      <w:tr w:rsidR="009321C1" w:rsidRPr="00B741C0" w:rsidTr="005E384D">
        <w:trPr>
          <w:cantSplit/>
        </w:trPr>
        <w:tc>
          <w:tcPr>
            <w:tcW w:w="547" w:type="pct"/>
            <w:tcBorders>
              <w:bottom w:val="single" w:sz="4" w:space="0" w:color="auto"/>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177" w:type="pct"/>
            <w:tcBorders>
              <w:bottom w:val="single" w:sz="4" w:space="0" w:color="auto"/>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 3</w:t>
            </w:r>
          </w:p>
        </w:tc>
        <w:tc>
          <w:tcPr>
            <w:tcW w:w="572" w:type="pct"/>
            <w:tcBorders>
              <w:bottom w:val="single" w:sz="4" w:space="0" w:color="auto"/>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0.82 (0.76 – 0.89)</w:t>
            </w:r>
          </w:p>
        </w:tc>
        <w:tc>
          <w:tcPr>
            <w:tcW w:w="529"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0.28 (0.24 – 0.33)</w:t>
            </w:r>
          </w:p>
        </w:tc>
        <w:tc>
          <w:tcPr>
            <w:tcW w:w="529"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0.27 (0.23 – 0.32)</w:t>
            </w:r>
          </w:p>
        </w:tc>
        <w:tc>
          <w:tcPr>
            <w:tcW w:w="530"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0.83 (0.76 – 0.89)</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0.79 (0.75 – 0.84)</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0.27 (0.23 – 0.31)</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0.45 (0.42 – 0.50)</w:t>
            </w:r>
          </w:p>
        </w:tc>
        <w:tc>
          <w:tcPr>
            <w:tcW w:w="529"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0.64 (0.57 – 0.70)</w:t>
            </w:r>
          </w:p>
        </w:tc>
      </w:tr>
      <w:tr w:rsidR="009321C1" w:rsidRPr="00B741C0" w:rsidTr="005E384D">
        <w:trPr>
          <w:cantSplit/>
        </w:trPr>
        <w:tc>
          <w:tcPr>
            <w:tcW w:w="547"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b/>
                <w:i/>
                <w:color w:val="000000"/>
                <w:sz w:val="18"/>
                <w:szCs w:val="18"/>
              </w:rPr>
              <w:t>Nakakubo et al.</w:t>
            </w:r>
          </w:p>
        </w:tc>
        <w:tc>
          <w:tcPr>
            <w:tcW w:w="177"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p>
        </w:tc>
        <w:tc>
          <w:tcPr>
            <w:tcW w:w="572"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530"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529"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547" w:type="pct"/>
            <w:tcBorders>
              <w:top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Pr>
                <w:rFonts w:cstheme="minorHAnsi"/>
                <w:color w:val="000000"/>
                <w:sz w:val="18"/>
                <w:szCs w:val="18"/>
              </w:rPr>
              <w:t>Cut-off value</w:t>
            </w:r>
            <w:r w:rsidRPr="00B741C0">
              <w:rPr>
                <w:rFonts w:cstheme="minorHAnsi"/>
                <w:color w:val="000000"/>
                <w:sz w:val="18"/>
                <w:szCs w:val="18"/>
              </w:rPr>
              <w:t xml:space="preserve">  </w:t>
            </w:r>
          </w:p>
        </w:tc>
        <w:tc>
          <w:tcPr>
            <w:tcW w:w="177" w:type="pct"/>
            <w:tcBorders>
              <w:top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&gt; 5</w:t>
            </w:r>
          </w:p>
        </w:tc>
        <w:tc>
          <w:tcPr>
            <w:tcW w:w="572" w:type="pct"/>
            <w:tcBorders>
              <w:top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0.88 (0.83 – 0.94)</w:t>
            </w:r>
          </w:p>
        </w:tc>
        <w:tc>
          <w:tcPr>
            <w:tcW w:w="529"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0.70 (0.66 – 0.75)</w:t>
            </w:r>
          </w:p>
        </w:tc>
        <w:tc>
          <w:tcPr>
            <w:tcW w:w="529"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0.49 (0.43 – 0.56)</w:t>
            </w:r>
          </w:p>
        </w:tc>
        <w:tc>
          <w:tcPr>
            <w:tcW w:w="530"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0.95 (0.92 – 0.97)</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0.73 (0.68 – 0.78)</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0.61 (0.57 – 0.66)</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0.59 (0.55 – 0.64)</w:t>
            </w:r>
          </w:p>
        </w:tc>
        <w:tc>
          <w:tcPr>
            <w:tcW w:w="529"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0.75 (0.71 – 0.80)</w:t>
            </w:r>
          </w:p>
        </w:tc>
      </w:tr>
    </w:tbl>
    <w:p w:rsidR="009321C1" w:rsidRDefault="009321C1" w:rsidP="009321C1">
      <w:pPr>
        <w:rPr>
          <w:lang w:val="en-GB"/>
        </w:rPr>
      </w:pPr>
    </w:p>
    <w:tbl>
      <w:tblPr>
        <w:tblW w:w="5000" w:type="pct"/>
        <w:tblBorders>
          <w:bottom w:val="single" w:sz="4" w:space="0" w:color="auto"/>
        </w:tblBorders>
        <w:tblCellMar>
          <w:left w:w="0" w:type="dxa"/>
          <w:right w:w="0" w:type="dxa"/>
        </w:tblCellMar>
        <w:tblLook w:val="0000" w:firstRow="0" w:lastRow="0" w:firstColumn="0" w:lastColumn="0" w:noHBand="0" w:noVBand="0"/>
      </w:tblPr>
      <w:tblGrid>
        <w:gridCol w:w="1353"/>
        <w:gridCol w:w="1288"/>
        <w:gridCol w:w="821"/>
        <w:gridCol w:w="1910"/>
        <w:gridCol w:w="2361"/>
        <w:gridCol w:w="1185"/>
        <w:gridCol w:w="821"/>
        <w:gridCol w:w="1910"/>
        <w:gridCol w:w="2355"/>
      </w:tblGrid>
      <w:tr w:rsidR="009321C1" w:rsidRPr="009321C1" w:rsidTr="005E384D">
        <w:trPr>
          <w:cantSplit/>
          <w:tblHeader/>
        </w:trPr>
        <w:tc>
          <w:tcPr>
            <w:tcW w:w="5000" w:type="pct"/>
            <w:gridSpan w:val="9"/>
            <w:tcBorders>
              <w:bottom w:val="single" w:sz="4" w:space="0" w:color="auto"/>
            </w:tcBorders>
            <w:shd w:val="clear" w:color="auto" w:fill="auto"/>
            <w:tcMar>
              <w:left w:w="60" w:type="dxa"/>
              <w:right w:w="60" w:type="dxa"/>
            </w:tcMar>
            <w:vAlign w:val="bottom"/>
          </w:tcPr>
          <w:p w:rsidR="009321C1" w:rsidRPr="00B741C0" w:rsidRDefault="009321C1" w:rsidP="005E384D">
            <w:pPr>
              <w:adjustRightInd w:val="0"/>
              <w:spacing w:before="60" w:after="60"/>
              <w:rPr>
                <w:b/>
                <w:bCs/>
                <w:color w:val="000000"/>
                <w:sz w:val="18"/>
                <w:szCs w:val="18"/>
                <w:lang w:val="en-GB"/>
              </w:rPr>
            </w:pPr>
            <w:r w:rsidRPr="00B741C0">
              <w:rPr>
                <w:b/>
                <w:bCs/>
                <w:color w:val="000000"/>
                <w:sz w:val="18"/>
                <w:szCs w:val="18"/>
                <w:u w:val="single"/>
                <w:lang w:val="en-GB"/>
              </w:rPr>
              <w:t>Table A3</w:t>
            </w:r>
            <w:r w:rsidRPr="00B741C0">
              <w:rPr>
                <w:b/>
                <w:bCs/>
                <w:color w:val="000000"/>
                <w:sz w:val="18"/>
                <w:szCs w:val="18"/>
                <w:lang w:val="en-GB"/>
              </w:rPr>
              <w:t>. AUROC and calibration measures for scores and formulas from selected articles with cut-off</w:t>
            </w:r>
            <w:r>
              <w:rPr>
                <w:b/>
                <w:bCs/>
                <w:color w:val="000000"/>
                <w:sz w:val="18"/>
                <w:szCs w:val="18"/>
                <w:lang w:val="en-GB"/>
              </w:rPr>
              <w:t xml:space="preserve"> values</w:t>
            </w:r>
            <w:r w:rsidRPr="00B741C0">
              <w:rPr>
                <w:b/>
                <w:bCs/>
                <w:color w:val="000000"/>
                <w:sz w:val="18"/>
                <w:szCs w:val="18"/>
                <w:lang w:val="en-GB"/>
              </w:rPr>
              <w:t xml:space="preserve"> </w:t>
            </w:r>
          </w:p>
        </w:tc>
      </w:tr>
      <w:tr w:rsidR="009321C1" w:rsidRPr="00B741C0" w:rsidTr="005E384D">
        <w:trPr>
          <w:cantSplit/>
          <w:tblHeader/>
        </w:trPr>
        <w:tc>
          <w:tcPr>
            <w:tcW w:w="483" w:type="pct"/>
            <w:tcBorders>
              <w:top w:val="single" w:sz="4" w:space="0" w:color="auto"/>
              <w:bottom w:val="nil"/>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lang w:val="en-GB"/>
              </w:rPr>
            </w:pPr>
          </w:p>
        </w:tc>
        <w:tc>
          <w:tcPr>
            <w:tcW w:w="2278" w:type="pct"/>
            <w:gridSpan w:val="4"/>
            <w:tcBorders>
              <w:top w:val="single" w:sz="4" w:space="0" w:color="auto"/>
              <w:bottom w:val="nil"/>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rPr>
            </w:pPr>
            <w:r w:rsidRPr="00B741C0">
              <w:rPr>
                <w:b/>
                <w:bCs/>
                <w:color w:val="000000"/>
                <w:sz w:val="18"/>
                <w:szCs w:val="18"/>
              </w:rPr>
              <w:t>Wave 1</w:t>
            </w:r>
          </w:p>
        </w:tc>
        <w:tc>
          <w:tcPr>
            <w:tcW w:w="2239" w:type="pct"/>
            <w:gridSpan w:val="4"/>
            <w:tcBorders>
              <w:top w:val="single" w:sz="4" w:space="0" w:color="auto"/>
              <w:bottom w:val="nil"/>
            </w:tcBorders>
          </w:tcPr>
          <w:p w:rsidR="009321C1" w:rsidRPr="00B741C0" w:rsidRDefault="009321C1" w:rsidP="005E384D">
            <w:pPr>
              <w:adjustRightInd w:val="0"/>
              <w:spacing w:before="60" w:after="60"/>
              <w:jc w:val="center"/>
              <w:rPr>
                <w:b/>
                <w:bCs/>
                <w:color w:val="000000"/>
                <w:sz w:val="18"/>
                <w:szCs w:val="18"/>
              </w:rPr>
            </w:pPr>
            <w:r w:rsidRPr="00B741C0">
              <w:rPr>
                <w:b/>
                <w:bCs/>
                <w:color w:val="000000"/>
                <w:sz w:val="18"/>
                <w:szCs w:val="18"/>
              </w:rPr>
              <w:t>Wave 2</w:t>
            </w:r>
          </w:p>
        </w:tc>
      </w:tr>
      <w:tr w:rsidR="009321C1" w:rsidRPr="00B741C0" w:rsidTr="005E384D">
        <w:trPr>
          <w:cantSplit/>
          <w:tblHeader/>
        </w:trPr>
        <w:tc>
          <w:tcPr>
            <w:tcW w:w="483" w:type="pct"/>
            <w:tcBorders>
              <w:bottom w:val="nil"/>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rPr>
            </w:pPr>
          </w:p>
        </w:tc>
        <w:tc>
          <w:tcPr>
            <w:tcW w:w="460" w:type="pct"/>
            <w:tcBorders>
              <w:bottom w:val="nil"/>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rPr>
            </w:pPr>
          </w:p>
        </w:tc>
        <w:tc>
          <w:tcPr>
            <w:tcW w:w="293" w:type="pct"/>
            <w:tcBorders>
              <w:bottom w:val="nil"/>
            </w:tcBorders>
            <w:shd w:val="clear" w:color="auto" w:fill="auto"/>
          </w:tcPr>
          <w:p w:rsidR="009321C1" w:rsidRPr="00B741C0" w:rsidRDefault="009321C1" w:rsidP="005E384D">
            <w:pPr>
              <w:adjustRightInd w:val="0"/>
              <w:spacing w:before="60" w:after="60"/>
              <w:jc w:val="center"/>
              <w:rPr>
                <w:b/>
                <w:bCs/>
                <w:color w:val="000000"/>
                <w:sz w:val="18"/>
                <w:szCs w:val="18"/>
              </w:rPr>
            </w:pPr>
          </w:p>
        </w:tc>
        <w:tc>
          <w:tcPr>
            <w:tcW w:w="1525" w:type="pct"/>
            <w:gridSpan w:val="2"/>
            <w:tcBorders>
              <w:bottom w:val="nil"/>
            </w:tcBorders>
            <w:shd w:val="clear" w:color="auto" w:fill="auto"/>
          </w:tcPr>
          <w:p w:rsidR="009321C1" w:rsidRPr="00B741C0" w:rsidRDefault="009321C1" w:rsidP="005E384D">
            <w:pPr>
              <w:adjustRightInd w:val="0"/>
              <w:spacing w:before="60" w:after="60"/>
              <w:jc w:val="center"/>
              <w:rPr>
                <w:b/>
                <w:bCs/>
                <w:color w:val="000000"/>
                <w:sz w:val="18"/>
                <w:szCs w:val="18"/>
                <w:lang w:val="en-GB"/>
              </w:rPr>
            </w:pPr>
            <w:r>
              <w:rPr>
                <w:b/>
                <w:bCs/>
                <w:color w:val="000000"/>
                <w:sz w:val="18"/>
                <w:szCs w:val="18"/>
              </w:rPr>
              <w:t xml:space="preserve">Calibration </w:t>
            </w:r>
          </w:p>
        </w:tc>
        <w:tc>
          <w:tcPr>
            <w:tcW w:w="423" w:type="pct"/>
            <w:tcBorders>
              <w:bottom w:val="nil"/>
            </w:tcBorders>
            <w:vAlign w:val="bottom"/>
          </w:tcPr>
          <w:p w:rsidR="009321C1" w:rsidRPr="00B741C0" w:rsidRDefault="009321C1" w:rsidP="005E384D">
            <w:pPr>
              <w:adjustRightInd w:val="0"/>
              <w:spacing w:before="60" w:after="60"/>
              <w:jc w:val="center"/>
              <w:rPr>
                <w:b/>
                <w:bCs/>
                <w:color w:val="000000"/>
                <w:sz w:val="18"/>
                <w:szCs w:val="18"/>
              </w:rPr>
            </w:pPr>
          </w:p>
        </w:tc>
        <w:tc>
          <w:tcPr>
            <w:tcW w:w="293" w:type="pct"/>
            <w:tcBorders>
              <w:bottom w:val="nil"/>
            </w:tcBorders>
          </w:tcPr>
          <w:p w:rsidR="009321C1" w:rsidRPr="00B741C0" w:rsidRDefault="009321C1" w:rsidP="005E384D">
            <w:pPr>
              <w:adjustRightInd w:val="0"/>
              <w:spacing w:before="60" w:after="60"/>
              <w:jc w:val="center"/>
              <w:rPr>
                <w:b/>
                <w:bCs/>
                <w:color w:val="000000"/>
                <w:sz w:val="18"/>
                <w:szCs w:val="18"/>
              </w:rPr>
            </w:pPr>
          </w:p>
        </w:tc>
        <w:tc>
          <w:tcPr>
            <w:tcW w:w="1523" w:type="pct"/>
            <w:gridSpan w:val="2"/>
            <w:tcBorders>
              <w:bottom w:val="nil"/>
            </w:tcBorders>
          </w:tcPr>
          <w:p w:rsidR="009321C1" w:rsidRPr="00B741C0" w:rsidRDefault="009321C1" w:rsidP="005E384D">
            <w:pPr>
              <w:adjustRightInd w:val="0"/>
              <w:spacing w:before="60" w:after="60"/>
              <w:jc w:val="center"/>
              <w:rPr>
                <w:b/>
                <w:bCs/>
                <w:color w:val="000000"/>
                <w:sz w:val="18"/>
                <w:szCs w:val="18"/>
                <w:lang w:val="en-GB"/>
              </w:rPr>
            </w:pPr>
            <w:r>
              <w:rPr>
                <w:b/>
                <w:bCs/>
                <w:color w:val="000000"/>
                <w:sz w:val="18"/>
                <w:szCs w:val="18"/>
              </w:rPr>
              <w:t xml:space="preserve">Calibration </w:t>
            </w:r>
          </w:p>
        </w:tc>
      </w:tr>
      <w:tr w:rsidR="009321C1" w:rsidRPr="00B741C0" w:rsidTr="005E384D">
        <w:trPr>
          <w:cantSplit/>
          <w:tblHeader/>
        </w:trPr>
        <w:tc>
          <w:tcPr>
            <w:tcW w:w="483" w:type="pct"/>
            <w:tcBorders>
              <w:top w:val="nil"/>
              <w:bottom w:val="single" w:sz="4" w:space="0" w:color="auto"/>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rPr>
            </w:pPr>
          </w:p>
        </w:tc>
        <w:tc>
          <w:tcPr>
            <w:tcW w:w="460" w:type="pct"/>
            <w:tcBorders>
              <w:top w:val="nil"/>
              <w:bottom w:val="single" w:sz="4" w:space="0" w:color="auto"/>
            </w:tcBorders>
            <w:shd w:val="clear" w:color="auto" w:fill="auto"/>
            <w:tcMar>
              <w:left w:w="60" w:type="dxa"/>
              <w:right w:w="60" w:type="dxa"/>
            </w:tcMar>
            <w:vAlign w:val="bottom"/>
          </w:tcPr>
          <w:p w:rsidR="009321C1" w:rsidRPr="00B741C0" w:rsidRDefault="009321C1" w:rsidP="005E384D">
            <w:pPr>
              <w:adjustRightInd w:val="0"/>
              <w:spacing w:before="60" w:after="60"/>
              <w:jc w:val="center"/>
              <w:rPr>
                <w:b/>
                <w:bCs/>
                <w:color w:val="000000"/>
                <w:sz w:val="18"/>
                <w:szCs w:val="18"/>
              </w:rPr>
            </w:pPr>
            <w:r w:rsidRPr="00B741C0">
              <w:rPr>
                <w:b/>
                <w:bCs/>
                <w:color w:val="000000"/>
                <w:sz w:val="18"/>
                <w:szCs w:val="18"/>
              </w:rPr>
              <w:t>AUROC (95</w:t>
            </w:r>
            <w:r>
              <w:rPr>
                <w:b/>
                <w:bCs/>
                <w:color w:val="000000"/>
                <w:sz w:val="18"/>
                <w:szCs w:val="18"/>
              </w:rPr>
              <w:t>CI</w:t>
            </w:r>
            <w:r w:rsidRPr="00B741C0">
              <w:rPr>
                <w:b/>
                <w:bCs/>
                <w:color w:val="000000"/>
                <w:sz w:val="18"/>
                <w:szCs w:val="18"/>
              </w:rPr>
              <w:t xml:space="preserve">%) </w:t>
            </w:r>
          </w:p>
        </w:tc>
        <w:tc>
          <w:tcPr>
            <w:tcW w:w="293" w:type="pct"/>
            <w:tcBorders>
              <w:top w:val="nil"/>
              <w:bottom w:val="single" w:sz="4" w:space="0" w:color="auto"/>
            </w:tcBorders>
            <w:shd w:val="clear" w:color="auto" w:fill="auto"/>
          </w:tcPr>
          <w:p w:rsidR="009321C1" w:rsidRPr="00B741C0" w:rsidRDefault="009321C1" w:rsidP="005E384D">
            <w:pPr>
              <w:adjustRightInd w:val="0"/>
              <w:spacing w:before="60" w:after="60"/>
              <w:jc w:val="center"/>
              <w:rPr>
                <w:b/>
                <w:bCs/>
                <w:color w:val="000000"/>
                <w:sz w:val="18"/>
                <w:szCs w:val="18"/>
              </w:rPr>
            </w:pPr>
            <w:r>
              <w:rPr>
                <w:b/>
                <w:bCs/>
                <w:color w:val="000000"/>
                <w:sz w:val="18"/>
                <w:szCs w:val="18"/>
              </w:rPr>
              <w:t xml:space="preserve">Brier </w:t>
            </w:r>
            <w:r w:rsidRPr="00B741C0">
              <w:rPr>
                <w:b/>
                <w:bCs/>
                <w:color w:val="000000"/>
                <w:sz w:val="18"/>
                <w:szCs w:val="18"/>
              </w:rPr>
              <w:t xml:space="preserve">score </w:t>
            </w:r>
          </w:p>
        </w:tc>
        <w:tc>
          <w:tcPr>
            <w:tcW w:w="682" w:type="pct"/>
            <w:tcBorders>
              <w:top w:val="nil"/>
              <w:bottom w:val="single" w:sz="4" w:space="0" w:color="auto"/>
            </w:tcBorders>
            <w:shd w:val="clear" w:color="auto" w:fill="auto"/>
          </w:tcPr>
          <w:p w:rsidR="009321C1" w:rsidRPr="00B741C0" w:rsidRDefault="009321C1" w:rsidP="005E384D">
            <w:pPr>
              <w:adjustRightInd w:val="0"/>
              <w:spacing w:before="60" w:after="60"/>
              <w:jc w:val="center"/>
              <w:rPr>
                <w:b/>
                <w:bCs/>
                <w:color w:val="000000"/>
                <w:sz w:val="18"/>
                <w:szCs w:val="18"/>
              </w:rPr>
            </w:pPr>
            <w:r w:rsidRPr="00B741C0">
              <w:rPr>
                <w:b/>
                <w:bCs/>
                <w:color w:val="000000"/>
                <w:sz w:val="18"/>
                <w:szCs w:val="18"/>
              </w:rPr>
              <w:t>Slope</w:t>
            </w:r>
            <w:r>
              <w:rPr>
                <w:b/>
                <w:bCs/>
                <w:color w:val="000000"/>
                <w:sz w:val="18"/>
                <w:szCs w:val="18"/>
              </w:rPr>
              <w:t xml:space="preserve"> </w:t>
            </w:r>
            <w:r w:rsidRPr="00B741C0">
              <w:rPr>
                <w:b/>
                <w:bCs/>
                <w:color w:val="000000"/>
                <w:sz w:val="18"/>
                <w:szCs w:val="18"/>
              </w:rPr>
              <w:t xml:space="preserve"> (95</w:t>
            </w:r>
            <w:r>
              <w:rPr>
                <w:b/>
                <w:bCs/>
                <w:color w:val="000000"/>
                <w:sz w:val="18"/>
                <w:szCs w:val="18"/>
              </w:rPr>
              <w:t>CI</w:t>
            </w:r>
            <w:r w:rsidRPr="00B741C0">
              <w:rPr>
                <w:b/>
                <w:bCs/>
                <w:color w:val="000000"/>
                <w:sz w:val="18"/>
                <w:szCs w:val="18"/>
              </w:rPr>
              <w:t xml:space="preserve">%) </w:t>
            </w:r>
          </w:p>
        </w:tc>
        <w:tc>
          <w:tcPr>
            <w:tcW w:w="843" w:type="pct"/>
            <w:tcBorders>
              <w:top w:val="nil"/>
              <w:bottom w:val="single" w:sz="4" w:space="0" w:color="auto"/>
            </w:tcBorders>
            <w:shd w:val="clear" w:color="auto" w:fill="auto"/>
          </w:tcPr>
          <w:p w:rsidR="009321C1" w:rsidRPr="00B741C0" w:rsidRDefault="009321C1" w:rsidP="005E384D">
            <w:pPr>
              <w:adjustRightInd w:val="0"/>
              <w:spacing w:before="60" w:after="60"/>
              <w:jc w:val="center"/>
              <w:rPr>
                <w:b/>
                <w:bCs/>
                <w:color w:val="000000"/>
                <w:sz w:val="18"/>
                <w:szCs w:val="18"/>
                <w:lang w:val="en-GB"/>
              </w:rPr>
            </w:pPr>
            <w:r>
              <w:rPr>
                <w:b/>
                <w:bCs/>
                <w:color w:val="000000"/>
                <w:sz w:val="18"/>
                <w:szCs w:val="18"/>
                <w:lang w:val="en-GB"/>
              </w:rPr>
              <w:t xml:space="preserve">Intercept </w:t>
            </w:r>
            <w:r w:rsidRPr="00B741C0">
              <w:rPr>
                <w:b/>
                <w:bCs/>
                <w:color w:val="000000"/>
                <w:sz w:val="18"/>
                <w:szCs w:val="18"/>
                <w:lang w:val="en-GB"/>
              </w:rPr>
              <w:t>(95</w:t>
            </w:r>
            <w:r>
              <w:rPr>
                <w:b/>
                <w:bCs/>
                <w:color w:val="000000"/>
                <w:sz w:val="18"/>
                <w:szCs w:val="18"/>
                <w:lang w:val="en-GB"/>
              </w:rPr>
              <w:t>CI</w:t>
            </w:r>
            <w:r w:rsidRPr="00B741C0">
              <w:rPr>
                <w:b/>
                <w:bCs/>
                <w:color w:val="000000"/>
                <w:sz w:val="18"/>
                <w:szCs w:val="18"/>
                <w:lang w:val="en-GB"/>
              </w:rPr>
              <w:t>%)</w:t>
            </w:r>
          </w:p>
        </w:tc>
        <w:tc>
          <w:tcPr>
            <w:tcW w:w="423" w:type="pct"/>
            <w:tcBorders>
              <w:top w:val="nil"/>
              <w:bottom w:val="single" w:sz="4" w:space="0" w:color="auto"/>
            </w:tcBorders>
            <w:vAlign w:val="bottom"/>
          </w:tcPr>
          <w:p w:rsidR="009321C1" w:rsidRPr="00B741C0" w:rsidRDefault="009321C1" w:rsidP="005E384D">
            <w:pPr>
              <w:adjustRightInd w:val="0"/>
              <w:spacing w:before="60" w:after="60"/>
              <w:jc w:val="center"/>
              <w:rPr>
                <w:b/>
                <w:bCs/>
                <w:color w:val="000000"/>
                <w:sz w:val="18"/>
                <w:szCs w:val="18"/>
              </w:rPr>
            </w:pPr>
            <w:r w:rsidRPr="00B741C0">
              <w:rPr>
                <w:b/>
                <w:bCs/>
                <w:color w:val="000000"/>
                <w:sz w:val="18"/>
                <w:szCs w:val="18"/>
              </w:rPr>
              <w:t>AUROC (95</w:t>
            </w:r>
            <w:r>
              <w:rPr>
                <w:b/>
                <w:bCs/>
                <w:color w:val="000000"/>
                <w:sz w:val="18"/>
                <w:szCs w:val="18"/>
              </w:rPr>
              <w:t>CI</w:t>
            </w:r>
            <w:r w:rsidRPr="00B741C0">
              <w:rPr>
                <w:b/>
                <w:bCs/>
                <w:color w:val="000000"/>
                <w:sz w:val="18"/>
                <w:szCs w:val="18"/>
              </w:rPr>
              <w:t xml:space="preserve">%) </w:t>
            </w:r>
          </w:p>
        </w:tc>
        <w:tc>
          <w:tcPr>
            <w:tcW w:w="293" w:type="pct"/>
            <w:tcBorders>
              <w:top w:val="nil"/>
              <w:bottom w:val="single" w:sz="4" w:space="0" w:color="auto"/>
            </w:tcBorders>
          </w:tcPr>
          <w:p w:rsidR="009321C1" w:rsidRPr="00B741C0" w:rsidRDefault="009321C1" w:rsidP="005E384D">
            <w:pPr>
              <w:adjustRightInd w:val="0"/>
              <w:spacing w:before="60" w:after="60"/>
              <w:jc w:val="center"/>
              <w:rPr>
                <w:b/>
                <w:bCs/>
                <w:color w:val="000000"/>
                <w:sz w:val="18"/>
                <w:szCs w:val="18"/>
              </w:rPr>
            </w:pPr>
            <w:r>
              <w:rPr>
                <w:b/>
                <w:bCs/>
                <w:color w:val="000000"/>
                <w:sz w:val="18"/>
                <w:szCs w:val="18"/>
              </w:rPr>
              <w:t>Brier</w:t>
            </w:r>
            <w:r w:rsidRPr="00B741C0">
              <w:rPr>
                <w:b/>
                <w:bCs/>
                <w:color w:val="000000"/>
                <w:sz w:val="18"/>
                <w:szCs w:val="18"/>
              </w:rPr>
              <w:t xml:space="preserve"> score </w:t>
            </w:r>
          </w:p>
        </w:tc>
        <w:tc>
          <w:tcPr>
            <w:tcW w:w="682" w:type="pct"/>
            <w:tcBorders>
              <w:top w:val="nil"/>
              <w:bottom w:val="single" w:sz="4" w:space="0" w:color="auto"/>
            </w:tcBorders>
          </w:tcPr>
          <w:p w:rsidR="009321C1" w:rsidRPr="00B741C0" w:rsidRDefault="009321C1" w:rsidP="005E384D">
            <w:pPr>
              <w:adjustRightInd w:val="0"/>
              <w:spacing w:before="60" w:after="60"/>
              <w:jc w:val="center"/>
              <w:rPr>
                <w:b/>
                <w:bCs/>
                <w:color w:val="000000"/>
                <w:sz w:val="18"/>
                <w:szCs w:val="18"/>
              </w:rPr>
            </w:pPr>
            <w:r>
              <w:rPr>
                <w:b/>
                <w:bCs/>
                <w:color w:val="000000"/>
                <w:sz w:val="18"/>
                <w:szCs w:val="18"/>
              </w:rPr>
              <w:t>Slope</w:t>
            </w:r>
            <w:r w:rsidRPr="00B741C0">
              <w:rPr>
                <w:b/>
                <w:bCs/>
                <w:color w:val="000000"/>
                <w:sz w:val="18"/>
                <w:szCs w:val="18"/>
              </w:rPr>
              <w:t xml:space="preserve"> (95</w:t>
            </w:r>
            <w:r>
              <w:rPr>
                <w:b/>
                <w:bCs/>
                <w:color w:val="000000"/>
                <w:sz w:val="18"/>
                <w:szCs w:val="18"/>
              </w:rPr>
              <w:t>CI</w:t>
            </w:r>
            <w:r w:rsidRPr="00B741C0">
              <w:rPr>
                <w:b/>
                <w:bCs/>
                <w:color w:val="000000"/>
                <w:sz w:val="18"/>
                <w:szCs w:val="18"/>
              </w:rPr>
              <w:t xml:space="preserve">%) </w:t>
            </w:r>
          </w:p>
        </w:tc>
        <w:tc>
          <w:tcPr>
            <w:tcW w:w="841" w:type="pct"/>
            <w:tcBorders>
              <w:top w:val="nil"/>
              <w:bottom w:val="single" w:sz="4" w:space="0" w:color="auto"/>
            </w:tcBorders>
          </w:tcPr>
          <w:p w:rsidR="009321C1" w:rsidRPr="00B741C0" w:rsidRDefault="009321C1" w:rsidP="005E384D">
            <w:pPr>
              <w:adjustRightInd w:val="0"/>
              <w:spacing w:before="60" w:after="60"/>
              <w:jc w:val="center"/>
              <w:rPr>
                <w:b/>
                <w:bCs/>
                <w:color w:val="000000"/>
                <w:sz w:val="18"/>
                <w:szCs w:val="18"/>
                <w:lang w:val="en-GB"/>
              </w:rPr>
            </w:pPr>
            <w:r>
              <w:rPr>
                <w:b/>
                <w:bCs/>
                <w:color w:val="000000"/>
                <w:sz w:val="18"/>
                <w:szCs w:val="18"/>
                <w:lang w:val="en-GB"/>
              </w:rPr>
              <w:t xml:space="preserve">Intercept </w:t>
            </w:r>
            <w:r w:rsidRPr="00B741C0">
              <w:rPr>
                <w:b/>
                <w:bCs/>
                <w:color w:val="000000"/>
                <w:sz w:val="18"/>
                <w:szCs w:val="18"/>
                <w:lang w:val="en-GB"/>
              </w:rPr>
              <w:t>(95</w:t>
            </w:r>
            <w:r>
              <w:rPr>
                <w:b/>
                <w:bCs/>
                <w:color w:val="000000"/>
                <w:sz w:val="18"/>
                <w:szCs w:val="18"/>
                <w:lang w:val="en-GB"/>
              </w:rPr>
              <w:t>CI</w:t>
            </w:r>
            <w:r w:rsidRPr="00B741C0">
              <w:rPr>
                <w:b/>
                <w:bCs/>
                <w:color w:val="000000"/>
                <w:sz w:val="18"/>
                <w:szCs w:val="18"/>
                <w:lang w:val="en-GB"/>
              </w:rPr>
              <w:t>%)</w:t>
            </w:r>
          </w:p>
        </w:tc>
      </w:tr>
      <w:tr w:rsidR="009321C1" w:rsidRPr="00B741C0" w:rsidTr="005E384D">
        <w:trPr>
          <w:cantSplit/>
        </w:trPr>
        <w:tc>
          <w:tcPr>
            <w:tcW w:w="483" w:type="pct"/>
            <w:tcBorders>
              <w:top w:val="single" w:sz="4" w:space="0" w:color="auto"/>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b/>
                <w:i/>
                <w:color w:val="000000"/>
                <w:sz w:val="18"/>
                <w:szCs w:val="18"/>
              </w:rPr>
              <w:t xml:space="preserve">Vieceli et al.  </w:t>
            </w:r>
          </w:p>
        </w:tc>
        <w:tc>
          <w:tcPr>
            <w:tcW w:w="460" w:type="pct"/>
            <w:tcBorders>
              <w:top w:val="single" w:sz="4" w:space="0" w:color="auto"/>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single" w:sz="4" w:space="0" w:color="auto"/>
            </w:tcBorders>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tcBorders>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tcBorders>
          </w:tcPr>
          <w:p w:rsidR="009321C1" w:rsidRPr="00B741C0" w:rsidRDefault="009321C1" w:rsidP="005E384D">
            <w:pPr>
              <w:adjustRightInd w:val="0"/>
              <w:spacing w:before="60" w:after="60"/>
              <w:jc w:val="right"/>
              <w:rPr>
                <w:color w:val="000000"/>
                <w:sz w:val="18"/>
                <w:szCs w:val="18"/>
              </w:rPr>
            </w:pPr>
          </w:p>
        </w:tc>
        <w:tc>
          <w:tcPr>
            <w:tcW w:w="841" w:type="pct"/>
            <w:tcBorders>
              <w:top w:val="single" w:sz="4" w:space="0" w:color="auto"/>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Score (0-9)</w:t>
            </w:r>
          </w:p>
        </w:tc>
        <w:tc>
          <w:tcPr>
            <w:tcW w:w="460" w:type="pct"/>
            <w:shd w:val="clear" w:color="auto" w:fill="auto"/>
            <w:tcMar>
              <w:left w:w="60" w:type="dxa"/>
              <w:right w:w="60" w:type="dxa"/>
            </w:tcMar>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0.77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(0.75 – 0.80)</w:t>
            </w:r>
          </w:p>
        </w:tc>
        <w:tc>
          <w:tcPr>
            <w:tcW w:w="293" w:type="pct"/>
            <w:shd w:val="clear" w:color="auto" w:fill="auto"/>
          </w:tcPr>
          <w:p w:rsidR="009321C1" w:rsidRPr="00B741C0" w:rsidRDefault="009321C1" w:rsidP="005E384D">
            <w:pPr>
              <w:adjustRightInd w:val="0"/>
              <w:spacing w:before="60" w:after="60"/>
              <w:jc w:val="right"/>
              <w:rPr>
                <w:color w:val="000000"/>
                <w:sz w:val="18"/>
                <w:szCs w:val="18"/>
              </w:rPr>
            </w:pPr>
          </w:p>
        </w:tc>
        <w:tc>
          <w:tcPr>
            <w:tcW w:w="682" w:type="pct"/>
            <w:shd w:val="clear" w:color="auto" w:fill="auto"/>
          </w:tcPr>
          <w:p w:rsidR="009321C1" w:rsidRPr="00B741C0" w:rsidRDefault="009321C1" w:rsidP="005E384D">
            <w:pPr>
              <w:adjustRightInd w:val="0"/>
              <w:spacing w:before="60" w:after="60"/>
              <w:jc w:val="right"/>
              <w:rPr>
                <w:color w:val="000000"/>
                <w:sz w:val="18"/>
                <w:szCs w:val="18"/>
              </w:rPr>
            </w:pPr>
          </w:p>
        </w:tc>
        <w:tc>
          <w:tcPr>
            <w:tcW w:w="843" w:type="pct"/>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Pr>
          <w:p w:rsidR="009321C1" w:rsidRDefault="009321C1" w:rsidP="005E384D">
            <w:pPr>
              <w:adjustRightInd w:val="0"/>
              <w:spacing w:before="60" w:after="60"/>
              <w:jc w:val="right"/>
              <w:rPr>
                <w:color w:val="000000"/>
                <w:sz w:val="18"/>
                <w:szCs w:val="18"/>
              </w:rPr>
            </w:pPr>
            <w:r w:rsidRPr="00B741C0">
              <w:rPr>
                <w:color w:val="000000"/>
                <w:sz w:val="18"/>
                <w:szCs w:val="18"/>
              </w:rPr>
              <w:t>0.76</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 xml:space="preserve"> (0.74 – 0.79)</w:t>
            </w:r>
          </w:p>
        </w:tc>
        <w:tc>
          <w:tcPr>
            <w:tcW w:w="293" w:type="pct"/>
          </w:tcPr>
          <w:p w:rsidR="009321C1" w:rsidRPr="00B741C0" w:rsidRDefault="009321C1" w:rsidP="005E384D">
            <w:pPr>
              <w:adjustRightInd w:val="0"/>
              <w:spacing w:before="60" w:after="60"/>
              <w:jc w:val="right"/>
              <w:rPr>
                <w:color w:val="000000"/>
                <w:sz w:val="18"/>
                <w:szCs w:val="18"/>
              </w:rPr>
            </w:pPr>
          </w:p>
        </w:tc>
        <w:tc>
          <w:tcPr>
            <w:tcW w:w="682" w:type="pct"/>
          </w:tcPr>
          <w:p w:rsidR="009321C1" w:rsidRPr="00B741C0" w:rsidRDefault="009321C1" w:rsidP="005E384D">
            <w:pPr>
              <w:adjustRightInd w:val="0"/>
              <w:spacing w:before="60" w:after="60"/>
              <w:jc w:val="right"/>
              <w:rPr>
                <w:color w:val="000000"/>
                <w:sz w:val="18"/>
                <w:szCs w:val="18"/>
              </w:rPr>
            </w:pPr>
          </w:p>
        </w:tc>
        <w:tc>
          <w:tcPr>
            <w:tcW w:w="841" w:type="pct"/>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bottom w:val="single" w:sz="4" w:space="0" w:color="auto"/>
            </w:tcBorders>
            <w:shd w:val="clear" w:color="auto" w:fill="auto"/>
            <w:tcMar>
              <w:left w:w="60" w:type="dxa"/>
              <w:right w:w="60" w:type="dxa"/>
            </w:tcMar>
          </w:tcPr>
          <w:p w:rsidR="009321C1" w:rsidRPr="00E35CAA" w:rsidRDefault="009321C1" w:rsidP="005E384D">
            <w:pPr>
              <w:adjustRightInd w:val="0"/>
              <w:spacing w:before="60" w:after="60"/>
              <w:rPr>
                <w:rFonts w:cstheme="minorHAnsi"/>
                <w:color w:val="000000"/>
                <w:sz w:val="18"/>
                <w:szCs w:val="18"/>
              </w:rPr>
            </w:pPr>
            <w:r w:rsidRPr="00E35CAA">
              <w:rPr>
                <w:rFonts w:cstheme="minorHAnsi"/>
                <w:color w:val="000000"/>
                <w:sz w:val="18"/>
                <w:szCs w:val="18"/>
              </w:rPr>
              <w:t xml:space="preserve">Model </w:t>
            </w:r>
          </w:p>
        </w:tc>
        <w:tc>
          <w:tcPr>
            <w:tcW w:w="460" w:type="pct"/>
            <w:tcBorders>
              <w:bottom w:val="single" w:sz="4" w:space="0" w:color="auto"/>
            </w:tcBorders>
            <w:shd w:val="clear" w:color="auto" w:fill="auto"/>
            <w:tcMar>
              <w:left w:w="60" w:type="dxa"/>
              <w:right w:w="60" w:type="dxa"/>
            </w:tcMar>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0.77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(0.72 – 0.82)</w:t>
            </w:r>
          </w:p>
        </w:tc>
        <w:tc>
          <w:tcPr>
            <w:tcW w:w="293"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0.16</w:t>
            </w:r>
          </w:p>
        </w:tc>
        <w:tc>
          <w:tcPr>
            <w:tcW w:w="682" w:type="pct"/>
            <w:tcBorders>
              <w:bottom w:val="single" w:sz="4" w:space="0" w:color="auto"/>
            </w:tcBorders>
            <w:shd w:val="clear" w:color="auto" w:fill="auto"/>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0.57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(0.45 – 0.69)</w:t>
            </w:r>
          </w:p>
        </w:tc>
        <w:tc>
          <w:tcPr>
            <w:tcW w:w="843" w:type="pct"/>
            <w:tcBorders>
              <w:bottom w:val="single" w:sz="4" w:space="0" w:color="auto"/>
            </w:tcBorders>
            <w:shd w:val="clear" w:color="auto" w:fill="auto"/>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0.00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(-0.24 – 0.24)</w:t>
            </w:r>
          </w:p>
        </w:tc>
        <w:tc>
          <w:tcPr>
            <w:tcW w:w="423" w:type="pct"/>
            <w:tcBorders>
              <w:bottom w:val="single" w:sz="4" w:space="0" w:color="auto"/>
            </w:tcBorders>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0.76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(0.73 – 0.80)</w:t>
            </w:r>
          </w:p>
        </w:tc>
        <w:tc>
          <w:tcPr>
            <w:tcW w:w="293"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0.20</w:t>
            </w:r>
          </w:p>
        </w:tc>
        <w:tc>
          <w:tcPr>
            <w:tcW w:w="682" w:type="pct"/>
            <w:tcBorders>
              <w:bottom w:val="single" w:sz="4" w:space="0" w:color="auto"/>
            </w:tcBorders>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0.52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(0.43 – 0.60)</w:t>
            </w:r>
          </w:p>
        </w:tc>
        <w:tc>
          <w:tcPr>
            <w:tcW w:w="841" w:type="pct"/>
            <w:tcBorders>
              <w:bottom w:val="single" w:sz="4" w:space="0" w:color="auto"/>
            </w:tcBorders>
          </w:tcPr>
          <w:p w:rsidR="009321C1" w:rsidRDefault="009321C1" w:rsidP="005E384D">
            <w:pPr>
              <w:adjustRightInd w:val="0"/>
              <w:spacing w:before="60" w:after="60"/>
              <w:jc w:val="right"/>
              <w:rPr>
                <w:color w:val="000000"/>
                <w:sz w:val="18"/>
                <w:szCs w:val="18"/>
              </w:rPr>
            </w:pPr>
            <w:r w:rsidRPr="00B741C0">
              <w:rPr>
                <w:color w:val="000000"/>
                <w:sz w:val="18"/>
                <w:szCs w:val="18"/>
              </w:rPr>
              <w:t>0.00</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 xml:space="preserve"> (-0.18 – 0.18)</w:t>
            </w:r>
          </w:p>
        </w:tc>
      </w:tr>
      <w:tr w:rsidR="009321C1" w:rsidRPr="00B741C0" w:rsidTr="005E384D">
        <w:trPr>
          <w:cantSplit/>
        </w:trPr>
        <w:tc>
          <w:tcPr>
            <w:tcW w:w="483"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b/>
                <w:i/>
                <w:color w:val="000000"/>
                <w:sz w:val="18"/>
                <w:szCs w:val="18"/>
              </w:rPr>
              <w:t>Tordjman et al.</w:t>
            </w:r>
          </w:p>
        </w:tc>
        <w:tc>
          <w:tcPr>
            <w:tcW w:w="460"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841"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top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Score (0-5)</w:t>
            </w:r>
          </w:p>
        </w:tc>
        <w:tc>
          <w:tcPr>
            <w:tcW w:w="460" w:type="pct"/>
            <w:tcBorders>
              <w:top w:val="nil"/>
            </w:tcBorders>
            <w:shd w:val="clear" w:color="auto" w:fill="auto"/>
            <w:tcMar>
              <w:left w:w="60" w:type="dxa"/>
              <w:right w:w="60" w:type="dxa"/>
            </w:tcMar>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0.75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(0.70 – 0.79)</w:t>
            </w:r>
          </w:p>
        </w:tc>
        <w:tc>
          <w:tcPr>
            <w:tcW w:w="293"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nil"/>
            </w:tcBorders>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0.73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(0.69 – 0.76)</w:t>
            </w:r>
          </w:p>
        </w:tc>
        <w:tc>
          <w:tcPr>
            <w:tcW w:w="293" w:type="pct"/>
            <w:tcBorders>
              <w:top w:val="nil"/>
            </w:tcBorders>
          </w:tcPr>
          <w:p w:rsidR="009321C1" w:rsidRPr="00B741C0" w:rsidRDefault="009321C1" w:rsidP="005E384D">
            <w:pPr>
              <w:adjustRightInd w:val="0"/>
              <w:spacing w:before="60" w:after="60"/>
              <w:jc w:val="right"/>
              <w:rPr>
                <w:color w:val="000000"/>
                <w:sz w:val="18"/>
                <w:szCs w:val="18"/>
              </w:rPr>
            </w:pPr>
          </w:p>
        </w:tc>
        <w:tc>
          <w:tcPr>
            <w:tcW w:w="682" w:type="pct"/>
            <w:tcBorders>
              <w:top w:val="nil"/>
            </w:tcBorders>
          </w:tcPr>
          <w:p w:rsidR="009321C1" w:rsidRPr="00B741C0" w:rsidRDefault="009321C1" w:rsidP="005E384D">
            <w:pPr>
              <w:adjustRightInd w:val="0"/>
              <w:spacing w:before="60" w:after="60"/>
              <w:jc w:val="right"/>
              <w:rPr>
                <w:color w:val="000000"/>
                <w:sz w:val="18"/>
                <w:szCs w:val="18"/>
              </w:rPr>
            </w:pPr>
          </w:p>
        </w:tc>
        <w:tc>
          <w:tcPr>
            <w:tcW w:w="841" w:type="pct"/>
            <w:tcBorders>
              <w:top w:val="nil"/>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bottom w:val="single" w:sz="4" w:space="0" w:color="auto"/>
            </w:tcBorders>
            <w:shd w:val="clear" w:color="auto" w:fill="auto"/>
            <w:tcMar>
              <w:left w:w="60" w:type="dxa"/>
              <w:right w:w="60" w:type="dxa"/>
            </w:tcMar>
          </w:tcPr>
          <w:p w:rsidR="009321C1" w:rsidRPr="00E35CAA" w:rsidRDefault="009321C1" w:rsidP="005E384D">
            <w:pPr>
              <w:adjustRightInd w:val="0"/>
              <w:spacing w:before="60" w:after="60"/>
              <w:rPr>
                <w:rFonts w:cstheme="minorHAnsi"/>
                <w:color w:val="000000"/>
                <w:sz w:val="18"/>
                <w:szCs w:val="18"/>
              </w:rPr>
            </w:pPr>
            <w:r w:rsidRPr="00E35CAA">
              <w:rPr>
                <w:rFonts w:cstheme="minorHAnsi"/>
                <w:color w:val="000000"/>
                <w:sz w:val="18"/>
                <w:szCs w:val="18"/>
              </w:rPr>
              <w:lastRenderedPageBreak/>
              <w:t xml:space="preserve">Model </w:t>
            </w:r>
          </w:p>
        </w:tc>
        <w:tc>
          <w:tcPr>
            <w:tcW w:w="460" w:type="pct"/>
            <w:tcBorders>
              <w:bottom w:val="single" w:sz="4" w:space="0" w:color="auto"/>
            </w:tcBorders>
            <w:shd w:val="clear" w:color="auto" w:fill="auto"/>
            <w:tcMar>
              <w:left w:w="60" w:type="dxa"/>
              <w:right w:w="60" w:type="dxa"/>
            </w:tcMar>
          </w:tcPr>
          <w:p w:rsidR="009321C1" w:rsidRDefault="009321C1" w:rsidP="005E384D">
            <w:pPr>
              <w:adjustRightInd w:val="0"/>
              <w:spacing w:before="60" w:after="60"/>
              <w:jc w:val="right"/>
              <w:rPr>
                <w:color w:val="000000"/>
                <w:sz w:val="18"/>
                <w:szCs w:val="18"/>
              </w:rPr>
            </w:pPr>
            <w:r w:rsidRPr="00B741C0">
              <w:rPr>
                <w:color w:val="000000"/>
                <w:sz w:val="18"/>
                <w:szCs w:val="18"/>
              </w:rPr>
              <w:t>0.75</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 xml:space="preserve"> (0.71 – 0.80)</w:t>
            </w:r>
          </w:p>
        </w:tc>
        <w:tc>
          <w:tcPr>
            <w:tcW w:w="293" w:type="pct"/>
            <w:tcBorders>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0.16</w:t>
            </w:r>
          </w:p>
        </w:tc>
        <w:tc>
          <w:tcPr>
            <w:tcW w:w="682" w:type="pct"/>
            <w:tcBorders>
              <w:bottom w:val="single" w:sz="4" w:space="0" w:color="auto"/>
            </w:tcBorders>
            <w:shd w:val="clear" w:color="auto" w:fill="auto"/>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0.46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(0.35 – 0.56)</w:t>
            </w:r>
          </w:p>
        </w:tc>
        <w:tc>
          <w:tcPr>
            <w:tcW w:w="843" w:type="pct"/>
            <w:tcBorders>
              <w:bottom w:val="single" w:sz="4" w:space="0" w:color="auto"/>
            </w:tcBorders>
            <w:shd w:val="clear" w:color="auto" w:fill="auto"/>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0.00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(-0.24 – 0.24)</w:t>
            </w:r>
          </w:p>
        </w:tc>
        <w:tc>
          <w:tcPr>
            <w:tcW w:w="423" w:type="pct"/>
            <w:tcBorders>
              <w:bottom w:val="single" w:sz="4" w:space="0" w:color="auto"/>
            </w:tcBorders>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0.74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(0.70 – 0.77)</w:t>
            </w:r>
          </w:p>
        </w:tc>
        <w:tc>
          <w:tcPr>
            <w:tcW w:w="293" w:type="pct"/>
            <w:tcBorders>
              <w:bottom w:val="single" w:sz="4" w:space="0" w:color="auto"/>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0.23</w:t>
            </w:r>
          </w:p>
        </w:tc>
        <w:tc>
          <w:tcPr>
            <w:tcW w:w="682" w:type="pct"/>
            <w:tcBorders>
              <w:bottom w:val="single" w:sz="4" w:space="0" w:color="auto"/>
            </w:tcBorders>
          </w:tcPr>
          <w:p w:rsidR="009321C1" w:rsidRDefault="009321C1" w:rsidP="005E384D">
            <w:pPr>
              <w:adjustRightInd w:val="0"/>
              <w:spacing w:before="60" w:after="60"/>
              <w:jc w:val="right"/>
              <w:rPr>
                <w:color w:val="000000"/>
                <w:sz w:val="18"/>
                <w:szCs w:val="18"/>
              </w:rPr>
            </w:pPr>
          </w:p>
          <w:p w:rsidR="009321C1" w:rsidRPr="00B741C0" w:rsidRDefault="009321C1" w:rsidP="005E384D">
            <w:pPr>
              <w:adjustRightInd w:val="0"/>
              <w:spacing w:before="60" w:after="60"/>
              <w:jc w:val="right"/>
              <w:rPr>
                <w:color w:val="000000"/>
                <w:sz w:val="18"/>
                <w:szCs w:val="18"/>
              </w:rPr>
            </w:pPr>
            <w:r w:rsidRPr="00B741C0">
              <w:rPr>
                <w:color w:val="000000"/>
                <w:sz w:val="18"/>
                <w:szCs w:val="18"/>
              </w:rPr>
              <w:t>0.38 (0.31 – 0.45)</w:t>
            </w:r>
          </w:p>
        </w:tc>
        <w:tc>
          <w:tcPr>
            <w:tcW w:w="841" w:type="pct"/>
            <w:tcBorders>
              <w:bottom w:val="single" w:sz="4" w:space="0" w:color="auto"/>
            </w:tcBorders>
          </w:tcPr>
          <w:p w:rsidR="009321C1" w:rsidRDefault="009321C1" w:rsidP="005E384D">
            <w:pPr>
              <w:adjustRightInd w:val="0"/>
              <w:spacing w:before="60" w:after="60"/>
              <w:jc w:val="right"/>
              <w:rPr>
                <w:color w:val="000000"/>
                <w:sz w:val="18"/>
                <w:szCs w:val="18"/>
              </w:rPr>
            </w:pPr>
            <w:r w:rsidRPr="00B741C0">
              <w:rPr>
                <w:color w:val="000000"/>
                <w:sz w:val="18"/>
                <w:szCs w:val="18"/>
              </w:rPr>
              <w:t>0.00</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 xml:space="preserve"> (-0.20 – 0.20)</w:t>
            </w:r>
          </w:p>
        </w:tc>
      </w:tr>
      <w:tr w:rsidR="009321C1" w:rsidRPr="00B741C0" w:rsidTr="005E384D">
        <w:trPr>
          <w:cantSplit/>
        </w:trPr>
        <w:tc>
          <w:tcPr>
            <w:tcW w:w="483"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b/>
                <w:i/>
                <w:color w:val="000000"/>
                <w:sz w:val="18"/>
                <w:szCs w:val="18"/>
              </w:rPr>
              <w:t>Kurstjens et al.</w:t>
            </w:r>
          </w:p>
        </w:tc>
        <w:tc>
          <w:tcPr>
            <w:tcW w:w="460"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841"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top w:val="nil"/>
              <w:bottom w:val="single" w:sz="4" w:space="0" w:color="auto"/>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Score (0-14)</w:t>
            </w:r>
          </w:p>
        </w:tc>
        <w:tc>
          <w:tcPr>
            <w:tcW w:w="460" w:type="pct"/>
            <w:tcBorders>
              <w:top w:val="nil"/>
              <w:bottom w:val="single" w:sz="4" w:space="0" w:color="auto"/>
            </w:tcBorders>
            <w:shd w:val="clear" w:color="auto" w:fill="auto"/>
            <w:tcMar>
              <w:left w:w="60" w:type="dxa"/>
              <w:right w:w="60" w:type="dxa"/>
            </w:tcMar>
          </w:tcPr>
          <w:p w:rsidR="009321C1" w:rsidRDefault="009321C1" w:rsidP="005E384D">
            <w:pPr>
              <w:adjustRightInd w:val="0"/>
              <w:spacing w:before="60" w:after="60"/>
              <w:jc w:val="right"/>
              <w:rPr>
                <w:color w:val="000000"/>
                <w:sz w:val="18"/>
                <w:szCs w:val="18"/>
              </w:rPr>
            </w:pPr>
            <w:r w:rsidRPr="00B741C0">
              <w:rPr>
                <w:color w:val="000000"/>
                <w:sz w:val="18"/>
                <w:szCs w:val="18"/>
              </w:rPr>
              <w:t>0.86</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 xml:space="preserve"> (0.81 – 0.89-)</w:t>
            </w:r>
          </w:p>
        </w:tc>
        <w:tc>
          <w:tcPr>
            <w:tcW w:w="293" w:type="pct"/>
            <w:tcBorders>
              <w:top w:val="nil"/>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nil"/>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nil"/>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nil"/>
              <w:bottom w:val="single" w:sz="4" w:space="0" w:color="auto"/>
            </w:tcBorders>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0.85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(0.22 – 0.88)</w:t>
            </w:r>
          </w:p>
        </w:tc>
        <w:tc>
          <w:tcPr>
            <w:tcW w:w="293" w:type="pct"/>
            <w:tcBorders>
              <w:top w:val="nil"/>
              <w:bottom w:val="single" w:sz="4" w:space="0" w:color="auto"/>
            </w:tcBorders>
          </w:tcPr>
          <w:p w:rsidR="009321C1" w:rsidRPr="00B741C0" w:rsidRDefault="009321C1" w:rsidP="005E384D">
            <w:pPr>
              <w:adjustRightInd w:val="0"/>
              <w:spacing w:before="60" w:after="60"/>
              <w:jc w:val="right"/>
              <w:rPr>
                <w:color w:val="000000"/>
                <w:sz w:val="18"/>
                <w:szCs w:val="18"/>
              </w:rPr>
            </w:pPr>
          </w:p>
        </w:tc>
        <w:tc>
          <w:tcPr>
            <w:tcW w:w="682" w:type="pct"/>
            <w:tcBorders>
              <w:top w:val="nil"/>
              <w:bottom w:val="single" w:sz="4" w:space="0" w:color="auto"/>
            </w:tcBorders>
          </w:tcPr>
          <w:p w:rsidR="009321C1" w:rsidRPr="00B741C0" w:rsidRDefault="009321C1" w:rsidP="005E384D">
            <w:pPr>
              <w:adjustRightInd w:val="0"/>
              <w:spacing w:before="60" w:after="60"/>
              <w:jc w:val="right"/>
              <w:rPr>
                <w:color w:val="000000"/>
                <w:sz w:val="18"/>
                <w:szCs w:val="18"/>
              </w:rPr>
            </w:pPr>
          </w:p>
        </w:tc>
        <w:tc>
          <w:tcPr>
            <w:tcW w:w="841" w:type="pct"/>
            <w:tcBorders>
              <w:top w:val="nil"/>
              <w:bottom w:val="single" w:sz="4" w:space="0" w:color="auto"/>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b/>
                <w:i/>
                <w:color w:val="000000"/>
                <w:sz w:val="18"/>
                <w:szCs w:val="18"/>
              </w:rPr>
              <w:t>Aldobyany et al.</w:t>
            </w:r>
          </w:p>
        </w:tc>
        <w:tc>
          <w:tcPr>
            <w:tcW w:w="460"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841"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top w:val="nil"/>
              <w:bottom w:val="single" w:sz="4" w:space="0" w:color="auto"/>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Score (0-8)</w:t>
            </w:r>
          </w:p>
        </w:tc>
        <w:tc>
          <w:tcPr>
            <w:tcW w:w="460" w:type="pct"/>
            <w:tcBorders>
              <w:top w:val="nil"/>
              <w:bottom w:val="single" w:sz="4" w:space="0" w:color="auto"/>
            </w:tcBorders>
            <w:shd w:val="clear" w:color="auto" w:fill="auto"/>
            <w:tcMar>
              <w:left w:w="60" w:type="dxa"/>
              <w:right w:w="60" w:type="dxa"/>
            </w:tcMar>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0.62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(0.56 – 0.67)</w:t>
            </w:r>
          </w:p>
        </w:tc>
        <w:tc>
          <w:tcPr>
            <w:tcW w:w="293" w:type="pct"/>
            <w:tcBorders>
              <w:top w:val="nil"/>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nil"/>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nil"/>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nil"/>
              <w:bottom w:val="single" w:sz="4" w:space="0" w:color="auto"/>
            </w:tcBorders>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0.58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(0.54 – 0.62)</w:t>
            </w:r>
          </w:p>
        </w:tc>
        <w:tc>
          <w:tcPr>
            <w:tcW w:w="293" w:type="pct"/>
            <w:tcBorders>
              <w:top w:val="nil"/>
              <w:bottom w:val="single" w:sz="4" w:space="0" w:color="auto"/>
            </w:tcBorders>
          </w:tcPr>
          <w:p w:rsidR="009321C1" w:rsidRPr="00B741C0" w:rsidRDefault="009321C1" w:rsidP="005E384D">
            <w:pPr>
              <w:adjustRightInd w:val="0"/>
              <w:spacing w:before="60" w:after="60"/>
              <w:jc w:val="right"/>
              <w:rPr>
                <w:color w:val="000000"/>
                <w:sz w:val="18"/>
                <w:szCs w:val="18"/>
              </w:rPr>
            </w:pPr>
          </w:p>
        </w:tc>
        <w:tc>
          <w:tcPr>
            <w:tcW w:w="682" w:type="pct"/>
            <w:tcBorders>
              <w:top w:val="nil"/>
              <w:bottom w:val="single" w:sz="4" w:space="0" w:color="auto"/>
            </w:tcBorders>
          </w:tcPr>
          <w:p w:rsidR="009321C1" w:rsidRPr="00B741C0" w:rsidRDefault="009321C1" w:rsidP="005E384D">
            <w:pPr>
              <w:adjustRightInd w:val="0"/>
              <w:spacing w:before="60" w:after="60"/>
              <w:jc w:val="right"/>
              <w:rPr>
                <w:color w:val="000000"/>
                <w:sz w:val="18"/>
                <w:szCs w:val="18"/>
              </w:rPr>
            </w:pPr>
          </w:p>
        </w:tc>
        <w:tc>
          <w:tcPr>
            <w:tcW w:w="841" w:type="pct"/>
            <w:tcBorders>
              <w:top w:val="nil"/>
              <w:bottom w:val="single" w:sz="4" w:space="0" w:color="auto"/>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b/>
                <w:i/>
                <w:color w:val="000000"/>
                <w:sz w:val="18"/>
                <w:szCs w:val="18"/>
              </w:rPr>
              <w:t>Nakakubo et al.</w:t>
            </w:r>
          </w:p>
        </w:tc>
        <w:tc>
          <w:tcPr>
            <w:tcW w:w="460"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841"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top w:val="nil"/>
              <w:bottom w:val="single" w:sz="4" w:space="0" w:color="auto"/>
            </w:tcBorders>
            <w:shd w:val="clear" w:color="auto" w:fill="auto"/>
            <w:tcMar>
              <w:left w:w="60" w:type="dxa"/>
              <w:right w:w="60" w:type="dxa"/>
            </w:tcMar>
          </w:tcPr>
          <w:p w:rsidR="009321C1" w:rsidRPr="00B741C0" w:rsidRDefault="009321C1" w:rsidP="005E384D">
            <w:pPr>
              <w:adjustRightInd w:val="0"/>
              <w:spacing w:before="60" w:after="60"/>
              <w:rPr>
                <w:color w:val="000000"/>
                <w:sz w:val="18"/>
                <w:szCs w:val="18"/>
              </w:rPr>
            </w:pPr>
            <w:r w:rsidRPr="00B741C0">
              <w:rPr>
                <w:rFonts w:cstheme="minorHAnsi"/>
                <w:color w:val="000000"/>
                <w:sz w:val="18"/>
                <w:szCs w:val="18"/>
              </w:rPr>
              <w:t>Score (0-11)</w:t>
            </w:r>
          </w:p>
        </w:tc>
        <w:tc>
          <w:tcPr>
            <w:tcW w:w="460" w:type="pct"/>
            <w:tcBorders>
              <w:top w:val="nil"/>
              <w:bottom w:val="single" w:sz="4" w:space="0" w:color="auto"/>
            </w:tcBorders>
            <w:shd w:val="clear" w:color="auto" w:fill="auto"/>
            <w:tcMar>
              <w:left w:w="60" w:type="dxa"/>
              <w:right w:w="60" w:type="dxa"/>
            </w:tcMar>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0.88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(0.83 – 0.91)</w:t>
            </w:r>
          </w:p>
        </w:tc>
        <w:tc>
          <w:tcPr>
            <w:tcW w:w="293" w:type="pct"/>
            <w:tcBorders>
              <w:top w:val="nil"/>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nil"/>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nil"/>
              <w:bottom w:val="single" w:sz="4" w:space="0" w:color="auto"/>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nil"/>
              <w:bottom w:val="single" w:sz="4" w:space="0" w:color="auto"/>
            </w:tcBorders>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0.74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(0.71 – 0.78)</w:t>
            </w:r>
          </w:p>
        </w:tc>
        <w:tc>
          <w:tcPr>
            <w:tcW w:w="293" w:type="pct"/>
            <w:tcBorders>
              <w:top w:val="nil"/>
              <w:bottom w:val="single" w:sz="4" w:space="0" w:color="auto"/>
            </w:tcBorders>
          </w:tcPr>
          <w:p w:rsidR="009321C1" w:rsidRPr="00B741C0" w:rsidRDefault="009321C1" w:rsidP="005E384D">
            <w:pPr>
              <w:adjustRightInd w:val="0"/>
              <w:spacing w:before="60" w:after="60"/>
              <w:jc w:val="right"/>
              <w:rPr>
                <w:color w:val="000000"/>
                <w:sz w:val="18"/>
                <w:szCs w:val="18"/>
              </w:rPr>
            </w:pPr>
          </w:p>
        </w:tc>
        <w:tc>
          <w:tcPr>
            <w:tcW w:w="682" w:type="pct"/>
            <w:tcBorders>
              <w:top w:val="nil"/>
              <w:bottom w:val="single" w:sz="4" w:space="0" w:color="auto"/>
            </w:tcBorders>
          </w:tcPr>
          <w:p w:rsidR="009321C1" w:rsidRPr="00B741C0" w:rsidRDefault="009321C1" w:rsidP="005E384D">
            <w:pPr>
              <w:adjustRightInd w:val="0"/>
              <w:spacing w:before="60" w:after="60"/>
              <w:jc w:val="right"/>
              <w:rPr>
                <w:color w:val="000000"/>
                <w:sz w:val="18"/>
                <w:szCs w:val="18"/>
              </w:rPr>
            </w:pPr>
          </w:p>
        </w:tc>
        <w:tc>
          <w:tcPr>
            <w:tcW w:w="841" w:type="pct"/>
            <w:tcBorders>
              <w:top w:val="nil"/>
              <w:bottom w:val="single" w:sz="4" w:space="0" w:color="auto"/>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rPr>
                <w:rFonts w:cstheme="minorHAnsi"/>
                <w:color w:val="000000"/>
                <w:sz w:val="18"/>
                <w:szCs w:val="18"/>
              </w:rPr>
            </w:pPr>
            <w:r w:rsidRPr="00B741C0">
              <w:rPr>
                <w:rFonts w:cstheme="minorHAnsi"/>
                <w:b/>
                <w:i/>
                <w:color w:val="000000"/>
                <w:sz w:val="18"/>
                <w:szCs w:val="18"/>
              </w:rPr>
              <w:t>Fink et al.</w:t>
            </w:r>
          </w:p>
        </w:tc>
        <w:tc>
          <w:tcPr>
            <w:tcW w:w="460" w:type="pct"/>
            <w:tcBorders>
              <w:top w:val="single" w:sz="4" w:space="0" w:color="auto"/>
              <w:bottom w:val="nil"/>
            </w:tcBorders>
            <w:shd w:val="clear" w:color="auto" w:fill="auto"/>
            <w:tcMar>
              <w:left w:w="60" w:type="dxa"/>
              <w:right w:w="60" w:type="dxa"/>
            </w:tcMar>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843" w:type="pct"/>
            <w:tcBorders>
              <w:top w:val="single" w:sz="4" w:space="0" w:color="auto"/>
              <w:bottom w:val="nil"/>
            </w:tcBorders>
            <w:shd w:val="clear" w:color="auto" w:fill="auto"/>
          </w:tcPr>
          <w:p w:rsidR="009321C1" w:rsidRPr="00B741C0" w:rsidRDefault="009321C1" w:rsidP="005E384D">
            <w:pPr>
              <w:adjustRightInd w:val="0"/>
              <w:spacing w:before="60" w:after="60"/>
              <w:jc w:val="right"/>
              <w:rPr>
                <w:color w:val="000000"/>
                <w:sz w:val="18"/>
                <w:szCs w:val="18"/>
              </w:rPr>
            </w:pPr>
          </w:p>
        </w:tc>
        <w:tc>
          <w:tcPr>
            <w:tcW w:w="42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293"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682"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c>
          <w:tcPr>
            <w:tcW w:w="841" w:type="pct"/>
            <w:tcBorders>
              <w:top w:val="single" w:sz="4" w:space="0" w:color="auto"/>
              <w:bottom w:val="nil"/>
            </w:tcBorders>
          </w:tcPr>
          <w:p w:rsidR="009321C1" w:rsidRPr="00B741C0" w:rsidRDefault="009321C1" w:rsidP="005E384D">
            <w:pPr>
              <w:adjustRightInd w:val="0"/>
              <w:spacing w:before="60" w:after="60"/>
              <w:jc w:val="right"/>
              <w:rPr>
                <w:color w:val="000000"/>
                <w:sz w:val="18"/>
                <w:szCs w:val="18"/>
              </w:rPr>
            </w:pPr>
          </w:p>
        </w:tc>
      </w:tr>
      <w:tr w:rsidR="009321C1" w:rsidRPr="00B741C0" w:rsidTr="005E384D">
        <w:trPr>
          <w:cantSplit/>
        </w:trPr>
        <w:tc>
          <w:tcPr>
            <w:tcW w:w="483" w:type="pct"/>
            <w:tcBorders>
              <w:top w:val="nil"/>
            </w:tcBorders>
            <w:shd w:val="clear" w:color="auto" w:fill="auto"/>
            <w:tcMar>
              <w:left w:w="60" w:type="dxa"/>
              <w:right w:w="60" w:type="dxa"/>
            </w:tcMar>
          </w:tcPr>
          <w:p w:rsidR="009321C1" w:rsidRPr="00E35CAA" w:rsidRDefault="009321C1" w:rsidP="005E384D">
            <w:pPr>
              <w:adjustRightInd w:val="0"/>
              <w:spacing w:before="60" w:after="60"/>
              <w:rPr>
                <w:rFonts w:cstheme="minorHAnsi"/>
                <w:color w:val="000000"/>
                <w:sz w:val="18"/>
                <w:szCs w:val="18"/>
              </w:rPr>
            </w:pPr>
            <w:r w:rsidRPr="00E35CAA">
              <w:rPr>
                <w:rFonts w:cstheme="minorHAnsi"/>
                <w:color w:val="000000"/>
                <w:sz w:val="18"/>
                <w:szCs w:val="18"/>
              </w:rPr>
              <w:t xml:space="preserve">Model  </w:t>
            </w:r>
          </w:p>
        </w:tc>
        <w:tc>
          <w:tcPr>
            <w:tcW w:w="460" w:type="pct"/>
            <w:tcBorders>
              <w:top w:val="nil"/>
            </w:tcBorders>
            <w:shd w:val="clear" w:color="auto" w:fill="auto"/>
            <w:tcMar>
              <w:left w:w="60" w:type="dxa"/>
              <w:right w:w="60" w:type="dxa"/>
            </w:tcMar>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0.78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(0.73 – 0.82)</w:t>
            </w:r>
          </w:p>
        </w:tc>
        <w:tc>
          <w:tcPr>
            <w:tcW w:w="293" w:type="pct"/>
            <w:tcBorders>
              <w:top w:val="nil"/>
            </w:tcBorders>
            <w:shd w:val="clear" w:color="auto" w:fill="auto"/>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0.15</w:t>
            </w:r>
          </w:p>
        </w:tc>
        <w:tc>
          <w:tcPr>
            <w:tcW w:w="682" w:type="pct"/>
            <w:tcBorders>
              <w:top w:val="nil"/>
            </w:tcBorders>
            <w:shd w:val="clear" w:color="auto" w:fill="auto"/>
          </w:tcPr>
          <w:p w:rsidR="009321C1" w:rsidRDefault="009321C1" w:rsidP="005E384D">
            <w:pPr>
              <w:adjustRightInd w:val="0"/>
              <w:spacing w:before="60" w:after="60"/>
              <w:jc w:val="right"/>
              <w:rPr>
                <w:color w:val="000000"/>
                <w:sz w:val="18"/>
                <w:szCs w:val="18"/>
              </w:rPr>
            </w:pPr>
            <w:r w:rsidRPr="00B741C0">
              <w:rPr>
                <w:color w:val="000000"/>
                <w:sz w:val="18"/>
                <w:szCs w:val="18"/>
              </w:rPr>
              <w:t xml:space="preserve">1.08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(0.85 – 1.31)</w:t>
            </w:r>
          </w:p>
        </w:tc>
        <w:tc>
          <w:tcPr>
            <w:tcW w:w="843" w:type="pct"/>
            <w:tcBorders>
              <w:top w:val="nil"/>
            </w:tcBorders>
            <w:shd w:val="clear" w:color="auto" w:fill="auto"/>
          </w:tcPr>
          <w:p w:rsidR="009321C1" w:rsidRDefault="009321C1" w:rsidP="005E384D">
            <w:pPr>
              <w:adjustRightInd w:val="0"/>
              <w:spacing w:before="60" w:after="60"/>
              <w:jc w:val="right"/>
              <w:rPr>
                <w:color w:val="000000"/>
                <w:sz w:val="18"/>
                <w:szCs w:val="18"/>
              </w:rPr>
            </w:pPr>
            <w:r w:rsidRPr="00B741C0">
              <w:rPr>
                <w:color w:val="000000"/>
                <w:sz w:val="18"/>
                <w:szCs w:val="18"/>
              </w:rPr>
              <w:t xml:space="preserve">0.00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(-0.21 – 0.21)</w:t>
            </w:r>
          </w:p>
        </w:tc>
        <w:tc>
          <w:tcPr>
            <w:tcW w:w="423" w:type="pct"/>
            <w:tcBorders>
              <w:top w:val="nil"/>
            </w:tcBorders>
          </w:tcPr>
          <w:p w:rsidR="009321C1" w:rsidRDefault="009321C1" w:rsidP="005E384D">
            <w:pPr>
              <w:adjustRightInd w:val="0"/>
              <w:spacing w:before="60" w:after="60"/>
              <w:jc w:val="right"/>
              <w:rPr>
                <w:color w:val="000000"/>
                <w:sz w:val="18"/>
                <w:szCs w:val="18"/>
              </w:rPr>
            </w:pPr>
            <w:r w:rsidRPr="00B741C0">
              <w:rPr>
                <w:color w:val="000000"/>
                <w:sz w:val="18"/>
                <w:szCs w:val="18"/>
              </w:rPr>
              <w:t>0.78</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 xml:space="preserve"> (0.75 – 0.81)</w:t>
            </w:r>
          </w:p>
        </w:tc>
        <w:tc>
          <w:tcPr>
            <w:tcW w:w="293" w:type="pct"/>
            <w:tcBorders>
              <w:top w:val="nil"/>
            </w:tcBorders>
          </w:tcPr>
          <w:p w:rsidR="009321C1" w:rsidRPr="00B741C0" w:rsidRDefault="009321C1" w:rsidP="005E384D">
            <w:pPr>
              <w:adjustRightInd w:val="0"/>
              <w:spacing w:before="60" w:after="60"/>
              <w:jc w:val="right"/>
              <w:rPr>
                <w:color w:val="000000"/>
                <w:sz w:val="18"/>
                <w:szCs w:val="18"/>
              </w:rPr>
            </w:pPr>
            <w:r w:rsidRPr="00B741C0">
              <w:rPr>
                <w:color w:val="000000"/>
                <w:sz w:val="18"/>
                <w:szCs w:val="18"/>
              </w:rPr>
              <w:t>0.19</w:t>
            </w:r>
          </w:p>
        </w:tc>
        <w:tc>
          <w:tcPr>
            <w:tcW w:w="682" w:type="pct"/>
            <w:tcBorders>
              <w:top w:val="nil"/>
            </w:tcBorders>
          </w:tcPr>
          <w:p w:rsidR="009321C1" w:rsidRDefault="009321C1" w:rsidP="005E384D">
            <w:pPr>
              <w:adjustRightInd w:val="0"/>
              <w:spacing w:before="60" w:after="60"/>
              <w:jc w:val="right"/>
              <w:rPr>
                <w:color w:val="000000"/>
                <w:sz w:val="18"/>
                <w:szCs w:val="18"/>
              </w:rPr>
            </w:pPr>
            <w:r w:rsidRPr="00B741C0">
              <w:rPr>
                <w:color w:val="000000"/>
                <w:sz w:val="18"/>
                <w:szCs w:val="18"/>
              </w:rPr>
              <w:t xml:space="preserve">1.10 </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(0.91 – 1.29)</w:t>
            </w:r>
          </w:p>
        </w:tc>
        <w:tc>
          <w:tcPr>
            <w:tcW w:w="841" w:type="pct"/>
            <w:tcBorders>
              <w:top w:val="nil"/>
            </w:tcBorders>
          </w:tcPr>
          <w:p w:rsidR="009321C1" w:rsidRDefault="009321C1" w:rsidP="005E384D">
            <w:pPr>
              <w:adjustRightInd w:val="0"/>
              <w:spacing w:before="60" w:after="60"/>
              <w:jc w:val="right"/>
              <w:rPr>
                <w:color w:val="000000"/>
                <w:sz w:val="18"/>
                <w:szCs w:val="18"/>
              </w:rPr>
            </w:pPr>
            <w:r w:rsidRPr="00B741C0">
              <w:rPr>
                <w:color w:val="000000"/>
                <w:sz w:val="18"/>
                <w:szCs w:val="18"/>
              </w:rPr>
              <w:t>0.00</w:t>
            </w:r>
          </w:p>
          <w:p w:rsidR="009321C1" w:rsidRPr="00B741C0" w:rsidRDefault="009321C1" w:rsidP="005E384D">
            <w:pPr>
              <w:adjustRightInd w:val="0"/>
              <w:spacing w:before="60" w:after="60"/>
              <w:jc w:val="right"/>
              <w:rPr>
                <w:color w:val="000000"/>
                <w:sz w:val="18"/>
                <w:szCs w:val="18"/>
              </w:rPr>
            </w:pPr>
            <w:r w:rsidRPr="00B741C0">
              <w:rPr>
                <w:color w:val="000000"/>
                <w:sz w:val="18"/>
                <w:szCs w:val="18"/>
              </w:rPr>
              <w:t xml:space="preserve"> (-0.15 – 0.15)</w:t>
            </w:r>
          </w:p>
        </w:tc>
      </w:tr>
    </w:tbl>
    <w:p w:rsidR="009321C1" w:rsidRDefault="009321C1" w:rsidP="009321C1">
      <w:pPr>
        <w:tabs>
          <w:tab w:val="left" w:pos="1690"/>
        </w:tabs>
        <w:rPr>
          <w:lang w:val="en-GB"/>
        </w:rPr>
      </w:pPr>
      <w:r>
        <w:rPr>
          <w:lang w:val="en-GB"/>
        </w:rPr>
        <w:tab/>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059"/>
        <w:gridCol w:w="2468"/>
        <w:gridCol w:w="1884"/>
        <w:gridCol w:w="2360"/>
        <w:gridCol w:w="2228"/>
        <w:gridCol w:w="2228"/>
        <w:gridCol w:w="6"/>
        <w:gridCol w:w="771"/>
      </w:tblGrid>
      <w:tr w:rsidR="009321C1" w:rsidRPr="009321C1" w:rsidTr="005E384D">
        <w:trPr>
          <w:cantSplit/>
          <w:tblHeader/>
        </w:trPr>
        <w:tc>
          <w:tcPr>
            <w:tcW w:w="5000" w:type="pct"/>
            <w:gridSpan w:val="8"/>
            <w:tcBorders>
              <w:top w:val="nil"/>
              <w:bottom w:val="single" w:sz="4" w:space="0" w:color="auto"/>
            </w:tcBorders>
            <w:shd w:val="clear" w:color="auto" w:fill="auto"/>
            <w:tcMar>
              <w:left w:w="60" w:type="dxa"/>
              <w:right w:w="60" w:type="dxa"/>
            </w:tcMar>
            <w:vAlign w:val="bottom"/>
          </w:tcPr>
          <w:p w:rsidR="009321C1" w:rsidRPr="00780031" w:rsidRDefault="009321C1" w:rsidP="005E384D">
            <w:pPr>
              <w:adjustRightInd w:val="0"/>
              <w:spacing w:before="60" w:after="60"/>
              <w:rPr>
                <w:rFonts w:cstheme="minorHAnsi"/>
                <w:b/>
                <w:bCs/>
                <w:color w:val="000000"/>
                <w:sz w:val="18"/>
                <w:szCs w:val="18"/>
                <w:lang w:val="en-GB"/>
              </w:rPr>
            </w:pPr>
            <w:r w:rsidRPr="00780031">
              <w:rPr>
                <w:rFonts w:cstheme="minorHAnsi"/>
                <w:b/>
                <w:bCs/>
                <w:color w:val="000000"/>
                <w:sz w:val="18"/>
                <w:szCs w:val="18"/>
                <w:u w:val="single"/>
                <w:lang w:val="en-GB"/>
              </w:rPr>
              <w:t xml:space="preserve">Table </w:t>
            </w:r>
            <w:r>
              <w:rPr>
                <w:rFonts w:cstheme="minorHAnsi"/>
                <w:b/>
                <w:bCs/>
                <w:color w:val="000000"/>
                <w:sz w:val="18"/>
                <w:szCs w:val="18"/>
                <w:u w:val="single"/>
                <w:lang w:val="en-GB"/>
              </w:rPr>
              <w:t>A4</w:t>
            </w:r>
            <w:r w:rsidRPr="00780031">
              <w:rPr>
                <w:rFonts w:cstheme="minorHAnsi"/>
                <w:b/>
                <w:bCs/>
                <w:color w:val="000000"/>
                <w:sz w:val="18"/>
                <w:szCs w:val="18"/>
                <w:lang w:val="en-GB"/>
              </w:rPr>
              <w:t>. Descriptive analysis for all parameters used in scores/formulas, globally and by time period</w:t>
            </w:r>
          </w:p>
        </w:tc>
      </w:tr>
      <w:tr w:rsidR="009321C1" w:rsidRPr="00780031" w:rsidTr="005E384D">
        <w:trPr>
          <w:cantSplit/>
          <w:tblHeader/>
        </w:trPr>
        <w:tc>
          <w:tcPr>
            <w:tcW w:w="736" w:type="pct"/>
            <w:tcBorders>
              <w:top w:val="single" w:sz="4" w:space="0" w:color="auto"/>
              <w:bottom w:val="single" w:sz="4" w:space="0" w:color="auto"/>
            </w:tcBorders>
            <w:shd w:val="clear" w:color="auto" w:fill="auto"/>
            <w:tcMar>
              <w:left w:w="60" w:type="dxa"/>
              <w:right w:w="60" w:type="dxa"/>
            </w:tcMar>
            <w:vAlign w:val="bottom"/>
          </w:tcPr>
          <w:p w:rsidR="009321C1" w:rsidRPr="00780031" w:rsidRDefault="009321C1" w:rsidP="005E384D">
            <w:pPr>
              <w:adjustRightInd w:val="0"/>
              <w:spacing w:before="60" w:after="60"/>
              <w:rPr>
                <w:rFonts w:cstheme="minorHAnsi"/>
                <w:b/>
                <w:bCs/>
                <w:color w:val="000000"/>
                <w:sz w:val="18"/>
                <w:szCs w:val="18"/>
                <w:lang w:val="en-GB"/>
              </w:rPr>
            </w:pPr>
          </w:p>
        </w:tc>
        <w:tc>
          <w:tcPr>
            <w:tcW w:w="882" w:type="pct"/>
            <w:tcBorders>
              <w:top w:val="single" w:sz="4" w:space="0" w:color="auto"/>
              <w:bottom w:val="single" w:sz="4" w:space="0" w:color="auto"/>
            </w:tcBorders>
            <w:shd w:val="clear" w:color="auto" w:fill="auto"/>
          </w:tcPr>
          <w:p w:rsidR="009321C1" w:rsidRPr="00780031" w:rsidRDefault="009321C1" w:rsidP="005E384D">
            <w:pPr>
              <w:adjustRightInd w:val="0"/>
              <w:spacing w:before="60" w:after="60"/>
              <w:jc w:val="center"/>
              <w:rPr>
                <w:rFonts w:cstheme="minorHAnsi"/>
                <w:b/>
                <w:bCs/>
                <w:color w:val="000000"/>
                <w:sz w:val="18"/>
                <w:szCs w:val="18"/>
                <w:lang w:val="en-GB"/>
              </w:rPr>
            </w:pPr>
          </w:p>
        </w:tc>
        <w:tc>
          <w:tcPr>
            <w:tcW w:w="673" w:type="pct"/>
            <w:tcBorders>
              <w:top w:val="single" w:sz="4" w:space="0" w:color="auto"/>
              <w:bottom w:val="single" w:sz="4" w:space="0" w:color="auto"/>
            </w:tcBorders>
            <w:shd w:val="clear" w:color="auto" w:fill="auto"/>
            <w:tcMar>
              <w:left w:w="60" w:type="dxa"/>
              <w:right w:w="60" w:type="dxa"/>
            </w:tcMar>
            <w:vAlign w:val="bottom"/>
          </w:tcPr>
          <w:p w:rsidR="009321C1" w:rsidRPr="00780031" w:rsidRDefault="009321C1" w:rsidP="005E384D">
            <w:pPr>
              <w:adjustRightInd w:val="0"/>
              <w:spacing w:before="60" w:after="60"/>
              <w:jc w:val="right"/>
              <w:rPr>
                <w:rFonts w:cstheme="minorHAnsi"/>
                <w:b/>
                <w:bCs/>
                <w:color w:val="000000"/>
                <w:sz w:val="18"/>
                <w:szCs w:val="18"/>
              </w:rPr>
            </w:pPr>
            <w:r w:rsidRPr="00780031">
              <w:rPr>
                <w:rFonts w:cstheme="minorHAnsi"/>
                <w:b/>
                <w:bCs/>
                <w:color w:val="000000"/>
                <w:sz w:val="18"/>
                <w:szCs w:val="18"/>
              </w:rPr>
              <w:t xml:space="preserve">All  </w:t>
            </w:r>
          </w:p>
        </w:tc>
        <w:tc>
          <w:tcPr>
            <w:tcW w:w="843" w:type="pct"/>
            <w:tcBorders>
              <w:top w:val="single" w:sz="4" w:space="0" w:color="auto"/>
              <w:bottom w:val="single" w:sz="4" w:space="0" w:color="auto"/>
            </w:tcBorders>
            <w:shd w:val="clear" w:color="auto" w:fill="auto"/>
            <w:tcMar>
              <w:left w:w="60" w:type="dxa"/>
              <w:right w:w="60" w:type="dxa"/>
            </w:tcMar>
            <w:vAlign w:val="bottom"/>
          </w:tcPr>
          <w:p w:rsidR="009321C1" w:rsidRPr="00780031" w:rsidRDefault="009321C1" w:rsidP="005E384D">
            <w:pPr>
              <w:adjustRightInd w:val="0"/>
              <w:spacing w:before="60" w:after="60"/>
              <w:jc w:val="right"/>
              <w:rPr>
                <w:rFonts w:cstheme="minorHAnsi"/>
                <w:b/>
                <w:bCs/>
                <w:color w:val="000000"/>
                <w:sz w:val="18"/>
                <w:szCs w:val="18"/>
              </w:rPr>
            </w:pPr>
            <w:r w:rsidRPr="00780031">
              <w:rPr>
                <w:rFonts w:cstheme="minorHAnsi"/>
                <w:b/>
                <w:bCs/>
                <w:color w:val="000000"/>
                <w:sz w:val="18"/>
                <w:szCs w:val="18"/>
              </w:rPr>
              <w:t>Wave 1</w:t>
            </w:r>
          </w:p>
        </w:tc>
        <w:tc>
          <w:tcPr>
            <w:tcW w:w="796" w:type="pct"/>
            <w:tcBorders>
              <w:top w:val="single" w:sz="4" w:space="0" w:color="auto"/>
              <w:bottom w:val="single" w:sz="4" w:space="0" w:color="auto"/>
            </w:tcBorders>
          </w:tcPr>
          <w:p w:rsidR="009321C1" w:rsidRPr="00780031" w:rsidRDefault="009321C1" w:rsidP="005E384D">
            <w:pPr>
              <w:adjustRightInd w:val="0"/>
              <w:spacing w:before="60" w:after="60"/>
              <w:jc w:val="right"/>
              <w:rPr>
                <w:rFonts w:cstheme="minorHAnsi"/>
                <w:b/>
                <w:bCs/>
                <w:color w:val="000000"/>
                <w:sz w:val="18"/>
                <w:szCs w:val="18"/>
              </w:rPr>
            </w:pPr>
            <w:r w:rsidRPr="00780031">
              <w:rPr>
                <w:rFonts w:cstheme="minorHAnsi"/>
                <w:b/>
                <w:bCs/>
                <w:color w:val="000000"/>
                <w:sz w:val="18"/>
                <w:szCs w:val="18"/>
              </w:rPr>
              <w:t xml:space="preserve">Between waves  </w:t>
            </w:r>
          </w:p>
        </w:tc>
        <w:tc>
          <w:tcPr>
            <w:tcW w:w="796" w:type="pct"/>
            <w:tcBorders>
              <w:top w:val="single" w:sz="4" w:space="0" w:color="auto"/>
              <w:bottom w:val="single" w:sz="4" w:space="0" w:color="auto"/>
            </w:tcBorders>
          </w:tcPr>
          <w:p w:rsidR="009321C1" w:rsidRPr="00780031" w:rsidRDefault="009321C1" w:rsidP="005E384D">
            <w:pPr>
              <w:adjustRightInd w:val="0"/>
              <w:spacing w:before="60" w:after="60"/>
              <w:jc w:val="right"/>
              <w:rPr>
                <w:rFonts w:cstheme="minorHAnsi"/>
                <w:b/>
                <w:bCs/>
                <w:color w:val="000000"/>
                <w:sz w:val="18"/>
                <w:szCs w:val="18"/>
              </w:rPr>
            </w:pPr>
            <w:r w:rsidRPr="00780031">
              <w:rPr>
                <w:rFonts w:cstheme="minorHAnsi"/>
                <w:b/>
                <w:bCs/>
                <w:color w:val="000000"/>
                <w:sz w:val="18"/>
                <w:szCs w:val="18"/>
              </w:rPr>
              <w:t xml:space="preserve">Wave 2  </w:t>
            </w:r>
          </w:p>
        </w:tc>
        <w:tc>
          <w:tcPr>
            <w:tcW w:w="2" w:type="pct"/>
            <w:tcBorders>
              <w:top w:val="single" w:sz="4" w:space="0" w:color="auto"/>
              <w:bottom w:val="single" w:sz="4" w:space="0" w:color="auto"/>
            </w:tcBorders>
          </w:tcPr>
          <w:p w:rsidR="009321C1" w:rsidRPr="00780031" w:rsidRDefault="009321C1" w:rsidP="005E384D">
            <w:pPr>
              <w:adjustRightInd w:val="0"/>
              <w:spacing w:before="60" w:after="60"/>
              <w:jc w:val="right"/>
              <w:rPr>
                <w:rFonts w:cstheme="minorHAnsi"/>
                <w:b/>
                <w:bCs/>
                <w:color w:val="000000"/>
                <w:sz w:val="18"/>
                <w:szCs w:val="18"/>
              </w:rPr>
            </w:pPr>
          </w:p>
        </w:tc>
        <w:tc>
          <w:tcPr>
            <w:tcW w:w="272" w:type="pct"/>
            <w:tcBorders>
              <w:top w:val="single" w:sz="4" w:space="0" w:color="auto"/>
              <w:bottom w:val="single" w:sz="4" w:space="0" w:color="auto"/>
            </w:tcBorders>
          </w:tcPr>
          <w:p w:rsidR="009321C1" w:rsidRPr="00780031" w:rsidRDefault="009321C1" w:rsidP="005E384D">
            <w:pPr>
              <w:adjustRightInd w:val="0"/>
              <w:spacing w:before="60" w:after="60"/>
              <w:jc w:val="right"/>
              <w:rPr>
                <w:rFonts w:cstheme="minorHAnsi"/>
                <w:b/>
                <w:bCs/>
                <w:color w:val="000000"/>
                <w:sz w:val="18"/>
                <w:szCs w:val="18"/>
              </w:rPr>
            </w:pPr>
            <w:r w:rsidRPr="00780031">
              <w:rPr>
                <w:rFonts w:cstheme="minorHAnsi"/>
                <w:b/>
                <w:bCs/>
                <w:color w:val="000000"/>
                <w:sz w:val="18"/>
                <w:szCs w:val="18"/>
              </w:rPr>
              <w:t>p-value</w:t>
            </w:r>
          </w:p>
        </w:tc>
      </w:tr>
      <w:tr w:rsidR="009321C1" w:rsidRPr="00780031" w:rsidTr="005E384D">
        <w:trPr>
          <w:cantSplit/>
        </w:trPr>
        <w:tc>
          <w:tcPr>
            <w:tcW w:w="736" w:type="pct"/>
            <w:tcBorders>
              <w:top w:val="single" w:sz="4" w:space="0" w:color="auto"/>
              <w:bottom w:val="nil"/>
            </w:tcBorders>
            <w:shd w:val="clear" w:color="auto" w:fill="FFFFFF"/>
            <w:tcMar>
              <w:left w:w="60" w:type="dxa"/>
              <w:right w:w="60" w:type="dxa"/>
            </w:tcMar>
          </w:tcPr>
          <w:p w:rsidR="009321C1" w:rsidRPr="00780031" w:rsidRDefault="009321C1" w:rsidP="005E384D">
            <w:pPr>
              <w:adjustRightInd w:val="0"/>
              <w:spacing w:before="60" w:after="60"/>
              <w:rPr>
                <w:rFonts w:cstheme="minorHAnsi"/>
                <w:b/>
                <w:i/>
                <w:color w:val="000000"/>
                <w:sz w:val="18"/>
                <w:szCs w:val="18"/>
              </w:rPr>
            </w:pPr>
            <w:r w:rsidRPr="00780031">
              <w:rPr>
                <w:rFonts w:cstheme="minorHAnsi"/>
                <w:b/>
                <w:i/>
                <w:color w:val="000000"/>
                <w:sz w:val="18"/>
                <w:szCs w:val="18"/>
              </w:rPr>
              <w:t xml:space="preserve">Demographics </w:t>
            </w:r>
          </w:p>
        </w:tc>
        <w:tc>
          <w:tcPr>
            <w:tcW w:w="882" w:type="pct"/>
            <w:tcBorders>
              <w:top w:val="single" w:sz="4" w:space="0" w:color="auto"/>
              <w:bottom w:val="nil"/>
            </w:tcBorders>
            <w:shd w:val="clear" w:color="auto" w:fill="FFFFFF"/>
          </w:tcPr>
          <w:p w:rsidR="009321C1" w:rsidRPr="00780031" w:rsidRDefault="009321C1" w:rsidP="005E384D">
            <w:pPr>
              <w:adjustRightInd w:val="0"/>
              <w:spacing w:before="60" w:after="60"/>
              <w:rPr>
                <w:rFonts w:cstheme="minorHAnsi"/>
                <w:color w:val="000000"/>
                <w:sz w:val="18"/>
                <w:szCs w:val="18"/>
              </w:rPr>
            </w:pPr>
          </w:p>
        </w:tc>
        <w:tc>
          <w:tcPr>
            <w:tcW w:w="673" w:type="pct"/>
            <w:tcBorders>
              <w:top w:val="single" w:sz="4" w:space="0" w:color="auto"/>
              <w:bottom w:val="nil"/>
            </w:tcBorders>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843" w:type="pct"/>
            <w:tcBorders>
              <w:top w:val="single" w:sz="4" w:space="0" w:color="auto"/>
              <w:bottom w:val="nil"/>
            </w:tcBorders>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796" w:type="pct"/>
            <w:tcBorders>
              <w:top w:val="single" w:sz="4" w:space="0" w:color="auto"/>
              <w:bottom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796" w:type="pct"/>
            <w:tcBorders>
              <w:top w:val="single" w:sz="4" w:space="0" w:color="auto"/>
              <w:bottom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 w:type="pct"/>
            <w:tcBorders>
              <w:top w:val="single" w:sz="4" w:space="0" w:color="auto"/>
              <w:bottom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tcBorders>
              <w:top w:val="single" w:sz="4" w:space="0" w:color="auto"/>
              <w:bottom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tcBorders>
              <w:top w:val="nil"/>
              <w:bottom w:val="nil"/>
            </w:tcBorders>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Age (years) </w:t>
            </w:r>
          </w:p>
        </w:tc>
        <w:tc>
          <w:tcPr>
            <w:tcW w:w="882" w:type="pct"/>
            <w:tcBorders>
              <w:top w:val="nil"/>
              <w:bottom w:val="nil"/>
            </w:tcBorders>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tcBorders>
              <w:top w:val="nil"/>
              <w:bottom w:val="nil"/>
            </w:tcBorders>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tcBorders>
              <w:top w:val="nil"/>
              <w:bottom w:val="nil"/>
            </w:tcBorders>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tcBorders>
              <w:top w:val="nil"/>
              <w:bottom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w:t>
            </w:r>
          </w:p>
        </w:tc>
        <w:tc>
          <w:tcPr>
            <w:tcW w:w="796" w:type="pct"/>
            <w:tcBorders>
              <w:top w:val="nil"/>
              <w:bottom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826</w:t>
            </w:r>
          </w:p>
        </w:tc>
        <w:tc>
          <w:tcPr>
            <w:tcW w:w="2" w:type="pct"/>
            <w:tcBorders>
              <w:top w:val="nil"/>
              <w:bottom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tcBorders>
              <w:top w:val="nil"/>
              <w:bottom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tcBorders>
              <w:top w:val="nil"/>
            </w:tcBorders>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tcBorders>
              <w:top w:val="nil"/>
            </w:tcBorders>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tcBorders>
              <w:top w:val="nil"/>
            </w:tcBorders>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73.00 (62.00-82.00)</w:t>
            </w:r>
          </w:p>
        </w:tc>
        <w:tc>
          <w:tcPr>
            <w:tcW w:w="843" w:type="pct"/>
            <w:tcBorders>
              <w:top w:val="nil"/>
            </w:tcBorders>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72.00 (60.00 – 82.00)</w:t>
            </w:r>
          </w:p>
        </w:tc>
        <w:tc>
          <w:tcPr>
            <w:tcW w:w="796" w:type="pct"/>
            <w:tcBorders>
              <w:top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73.00 (61.00 – 82.00)</w:t>
            </w:r>
          </w:p>
        </w:tc>
        <w:tc>
          <w:tcPr>
            <w:tcW w:w="796" w:type="pct"/>
            <w:tcBorders>
              <w:top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73.00 (63.00 – 82.00)</w:t>
            </w:r>
          </w:p>
        </w:tc>
        <w:tc>
          <w:tcPr>
            <w:tcW w:w="2" w:type="pct"/>
            <w:tcBorders>
              <w:top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tcBorders>
              <w:top w:val="nil"/>
            </w:tcBorders>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0.40</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Gender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Male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883 (54.6)</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319 (54.3)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103 (50.5)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461 (55.8)</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0.39</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Female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735 (45.4)</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269 (45.7)</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101 (49.5)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365 (44.2)</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b/>
                <w:i/>
                <w:color w:val="000000"/>
                <w:sz w:val="18"/>
                <w:szCs w:val="18"/>
              </w:rPr>
            </w:pPr>
            <w:r w:rsidRPr="00780031">
              <w:rPr>
                <w:rFonts w:cstheme="minorHAnsi"/>
                <w:b/>
                <w:i/>
                <w:color w:val="000000"/>
                <w:sz w:val="18"/>
                <w:szCs w:val="18"/>
              </w:rPr>
              <w:t xml:space="preserve">Comorbidities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Cardiac disease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N</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593</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338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231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b/>
                <w: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Yes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200 (33.7)</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130 (38.5)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 (20.8)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65 (28.1)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0.015</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Immunosuppression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N</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593</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338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231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b/>
                <w: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Yes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38 (6.4)</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28 (8.3)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 (8.3)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 (3.5)</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0.065</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Renal failure</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N</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594</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338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232</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b/>
                <w: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Yes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48 (8.1)</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33 (9.8)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 (4.2)</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14 (6.0)</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0.21</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b/>
                <w:i/>
                <w:color w:val="000000"/>
                <w:sz w:val="18"/>
                <w:szCs w:val="18"/>
              </w:rPr>
            </w:pPr>
            <w:r w:rsidRPr="00780031">
              <w:rPr>
                <w:rFonts w:cstheme="minorHAnsi"/>
                <w:b/>
                <w:i/>
                <w:color w:val="000000"/>
                <w:sz w:val="18"/>
                <w:szCs w:val="18"/>
              </w:rPr>
              <w:t xml:space="preserve">Symptoms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Fever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608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397</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187</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Yes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282 (46.4)</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158 (39.8)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15 (62.5)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109 (58.3)</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&lt;0.0001</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Dry cough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607</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397</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187</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Yes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220 (36.2)</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132 (33.2)</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12 (52.2)</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76 (40.6)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Wet cough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607</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397</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187</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0.060</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Yes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106 (17.5)</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70 (17.6)</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 (8.7)</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34 (18.2)</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Dyspnea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608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397</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187</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0.52</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Yes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403 (66.3)</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258 (65.0)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 (66.7)</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129 (69.0)</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Diarrhea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607</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397</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187</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0.63</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Yes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128 (21.1)</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77 (19.4)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 (26.1)</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45 (24.1)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0.36</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b/>
                <w:i/>
                <w:color w:val="000000"/>
                <w:sz w:val="18"/>
                <w:szCs w:val="18"/>
              </w:rPr>
            </w:pPr>
            <w:r w:rsidRPr="00780031">
              <w:rPr>
                <w:rFonts w:cstheme="minorHAnsi"/>
                <w:b/>
                <w:i/>
                <w:color w:val="000000"/>
                <w:sz w:val="18"/>
                <w:szCs w:val="18"/>
              </w:rPr>
              <w:t>Biological parameters</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LDH </w:t>
            </w:r>
            <w:r>
              <w:rPr>
                <w:rFonts w:cstheme="minorHAnsi"/>
                <w:color w:val="000000"/>
                <w:sz w:val="18"/>
                <w:szCs w:val="18"/>
              </w:rPr>
              <w:t>U/L</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275 (219.0 – 368.0)</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267.50 (213.50 – 357.50)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247.00 (201.00 – 314.00)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290.00 (230.00 – 397.00)</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&lt;0.0001</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lastRenderedPageBreak/>
              <w:t>CRP</w:t>
            </w:r>
            <w:r>
              <w:rPr>
                <w:rFonts w:cstheme="minorHAnsi"/>
                <w:color w:val="000000"/>
                <w:sz w:val="18"/>
                <w:szCs w:val="18"/>
              </w:rPr>
              <w:t xml:space="preserve"> mg/L</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60.40 (15.10-140.9)</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w:t>
            </w:r>
            <w:r>
              <w:rPr>
                <w:rFonts w:cstheme="minorHAnsi"/>
                <w:color w:val="000000"/>
                <w:sz w:val="18"/>
                <w:szCs w:val="18"/>
              </w:rPr>
              <w:t>.</w:t>
            </w:r>
            <w:r w:rsidRPr="00780031">
              <w:rPr>
                <w:rFonts w:cstheme="minorHAnsi"/>
                <w:color w:val="000000"/>
                <w:sz w:val="18"/>
                <w:szCs w:val="18"/>
              </w:rPr>
              <w:t>85 (13.65 – 133.75)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56.90 (8.40 – 140.00)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63.15 (19.40 – 144.60)</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0.032</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Procalcitonin</w:t>
            </w:r>
            <w:r>
              <w:rPr>
                <w:rFonts w:cstheme="minorHAnsi"/>
                <w:color w:val="000000"/>
                <w:sz w:val="18"/>
                <w:szCs w:val="18"/>
              </w:rPr>
              <w:t xml:space="preserve"> µg/L</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1615</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202</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825</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0.10 (0.04-0.34)</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0.10 (0.04 – 0.35)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0.09 (0.03 – 0.30)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0.11 (0.05 – 0.34)</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0.17</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Lymphocytes</w:t>
            </w:r>
            <w:r>
              <w:rPr>
                <w:rFonts w:cstheme="minorHAnsi"/>
                <w:color w:val="000000"/>
                <w:sz w:val="18"/>
                <w:szCs w:val="18"/>
              </w:rPr>
              <w:t xml:space="preserve"> 10³/mm³</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1.01 (0.66-1.57)</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1.07 (0.69 – 1.65)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1.15 (0.74 – 1.85)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0.95 (0.63 – 1.42)</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&lt;0.0001</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Basophils</w:t>
            </w:r>
            <w:r>
              <w:rPr>
                <w:rFonts w:cstheme="minorHAnsi"/>
                <w:color w:val="000000"/>
                <w:sz w:val="18"/>
                <w:szCs w:val="18"/>
              </w:rPr>
              <w:t xml:space="preserve"> 10³/mm³</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0.03 (0.01-0.05)</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0.03 (0.01 – 0.05)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0.04 (0.02 – 0.05)</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0.03 (0.01 – 0.05)</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0.0048</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Eosinophils </w:t>
            </w:r>
            <w:r>
              <w:rPr>
                <w:rFonts w:cstheme="minorHAnsi"/>
                <w:color w:val="000000"/>
                <w:sz w:val="18"/>
                <w:szCs w:val="18"/>
              </w:rPr>
              <w:t>10³/mm³</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0.03 (0.01-0.12)</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0.04 (0.01 – 0.13)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0.05 (0.01 – 0.16)</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0.03 (0.00 – 0.11)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0.0039</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Ferritin</w:t>
            </w:r>
            <w:r>
              <w:rPr>
                <w:rFonts w:cstheme="minorHAnsi"/>
                <w:color w:val="000000"/>
                <w:sz w:val="18"/>
                <w:szCs w:val="18"/>
              </w:rPr>
              <w:t xml:space="preserve"> µg/L</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1614</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823</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332.5 (145.1-762.7)</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300.99 (145.13 – 762.70)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255.37 (113.04 – 510.32)</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380.76 (159.75 – 852.67)</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&lt;0.0001</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Leukocytes</w:t>
            </w:r>
            <w:r>
              <w:rPr>
                <w:rFonts w:cstheme="minorHAnsi"/>
                <w:color w:val="000000"/>
                <w:sz w:val="18"/>
                <w:szCs w:val="18"/>
              </w:rPr>
              <w:t xml:space="preserve"> 10³/mm³</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9.40 (6.61-12.76)</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9.53 (7.02 – 12.51)</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10.51 (7.62 – 14.41)</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8.92 (6.03 – 12.47)</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0.0002</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Neutrophils </w:t>
            </w:r>
            <w:r>
              <w:rPr>
                <w:rFonts w:cstheme="minorHAnsi"/>
                <w:color w:val="000000"/>
                <w:sz w:val="18"/>
                <w:szCs w:val="18"/>
              </w:rPr>
              <w:t>10³/mm³</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P50 (P25 – P75)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7.09 (4.68-10.28)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7.35 (4.87 – 10.08)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7.96 (5.09 – 11.48)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6.90 (4.54 – 10.20)</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0.018</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b/>
                <w:i/>
                <w:color w:val="000000"/>
                <w:sz w:val="18"/>
                <w:szCs w:val="18"/>
              </w:rPr>
            </w:pPr>
            <w:r w:rsidRPr="00780031">
              <w:rPr>
                <w:rFonts w:cstheme="minorHAnsi"/>
                <w:b/>
                <w:i/>
                <w:color w:val="000000"/>
                <w:sz w:val="18"/>
                <w:szCs w:val="18"/>
              </w:rPr>
              <w:t xml:space="preserve">Chest X-ray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vMerge w:val="restar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Radiological anomaly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1475</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571</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173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561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0.0018</w:t>
            </w:r>
            <w:r>
              <w:rPr>
                <w:rFonts w:cstheme="minorHAnsi"/>
                <w:color w:val="000000"/>
                <w:sz w:val="18"/>
                <w:szCs w:val="18"/>
              </w:rPr>
              <w:t>**</w:t>
            </w:r>
          </w:p>
        </w:tc>
      </w:tr>
      <w:tr w:rsidR="009321C1" w:rsidRPr="00780031" w:rsidTr="005E384D">
        <w:trPr>
          <w:cantSplit/>
        </w:trPr>
        <w:tc>
          <w:tcPr>
            <w:tcW w:w="736" w:type="pct"/>
            <w:vMerge/>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No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294 (19.9)</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101 (18.7)</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52 (30.1)</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141 (18.5)</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Yes </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1181 (80.1)</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440 (81.3)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121 (69.9)</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620 (81.5)</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Finding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N</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1475</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571</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173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561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No atypical signs</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825 (55.9)</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290 (53.6)</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125 (72.3)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410 (53.9)</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0.0002</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lang w:val="en-GB"/>
              </w:rPr>
            </w:pPr>
            <w:r w:rsidRPr="00780031">
              <w:rPr>
                <w:rFonts w:cstheme="minorHAnsi"/>
                <w:color w:val="000000"/>
                <w:sz w:val="18"/>
                <w:szCs w:val="18"/>
                <w:lang w:val="en-GB"/>
              </w:rPr>
              <w:t>Subpleural or lower lung dominant distribution</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104 (7.1)</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43 (7.9)</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7 (4.0)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54 (7.1)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Multilobar or bilateral lesion</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458 (31.1)</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169 (31.2)</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31 (17.9)</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258 (33.9)</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lang w:val="en-GB"/>
              </w:rPr>
            </w:pPr>
            <w:r w:rsidRPr="00780031">
              <w:rPr>
                <w:rFonts w:cstheme="minorHAnsi"/>
                <w:color w:val="000000"/>
                <w:sz w:val="18"/>
                <w:szCs w:val="18"/>
                <w:lang w:val="en-GB"/>
              </w:rPr>
              <w:t>GGO with or without consolidation</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88 (6.0)</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39 (7.2)</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 (5.8)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39 (5.1)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Alternative diagnosis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N</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1618</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588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&lt;0.0001</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More  ikely other diagnosis</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309 (19.1)</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308 (52.4)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 (0.0)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 (0.1)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Hard to determine</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1055 (65.2)</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28 (4.8)</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204 (100.0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823 (99.6)</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More likely COVID-19</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254 (15.7)</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252 (42.9)</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0 (0.0)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 (0.2)</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 xml:space="preserve">Other finding </w:t>
            </w: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N</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1475</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571</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173</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561</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No infiltrate</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861 (58.4)</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305 (56.4)</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130 (75.1)</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426 (56.0)</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&lt;0.0001</w:t>
            </w:r>
            <w:r>
              <w:rPr>
                <w:rFonts w:cstheme="minorHAnsi"/>
                <w:color w:val="000000"/>
                <w:sz w:val="18"/>
                <w:szCs w:val="18"/>
              </w:rPr>
              <w:t>**</w:t>
            </w: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Unilateral infiltrate</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129 (8.7)</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52 (9.6)</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12 (6.9)</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65 (8.5)</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r w:rsidR="009321C1" w:rsidRPr="00780031" w:rsidTr="005E384D">
        <w:trPr>
          <w:cantSplit/>
        </w:trPr>
        <w:tc>
          <w:tcPr>
            <w:tcW w:w="736" w:type="pct"/>
            <w:shd w:val="clear" w:color="auto" w:fill="FFFFFF"/>
            <w:tcMar>
              <w:left w:w="60" w:type="dxa"/>
              <w:right w:w="60" w:type="dxa"/>
            </w:tcMar>
          </w:tcPr>
          <w:p w:rsidR="009321C1" w:rsidRPr="00780031" w:rsidRDefault="009321C1" w:rsidP="005E384D">
            <w:pPr>
              <w:adjustRightInd w:val="0"/>
              <w:spacing w:before="60" w:after="60"/>
              <w:rPr>
                <w:rFonts w:cstheme="minorHAnsi"/>
                <w:color w:val="000000"/>
                <w:sz w:val="18"/>
                <w:szCs w:val="18"/>
              </w:rPr>
            </w:pPr>
          </w:p>
        </w:tc>
        <w:tc>
          <w:tcPr>
            <w:tcW w:w="882" w:type="pct"/>
            <w:shd w:val="clear" w:color="auto" w:fill="FFFFFF"/>
          </w:tcPr>
          <w:p w:rsidR="009321C1" w:rsidRPr="00780031" w:rsidRDefault="009321C1" w:rsidP="005E384D">
            <w:pPr>
              <w:adjustRightInd w:val="0"/>
              <w:spacing w:before="60" w:after="60"/>
              <w:rPr>
                <w:rFonts w:cstheme="minorHAnsi"/>
                <w:color w:val="000000"/>
                <w:sz w:val="18"/>
                <w:szCs w:val="18"/>
              </w:rPr>
            </w:pPr>
            <w:r w:rsidRPr="00780031">
              <w:rPr>
                <w:rFonts w:cstheme="minorHAnsi"/>
                <w:color w:val="000000"/>
                <w:sz w:val="18"/>
                <w:szCs w:val="18"/>
              </w:rPr>
              <w:t>Bilateral infiltrate</w:t>
            </w:r>
          </w:p>
        </w:tc>
        <w:tc>
          <w:tcPr>
            <w:tcW w:w="67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485 (32.9)</w:t>
            </w:r>
          </w:p>
        </w:tc>
        <w:tc>
          <w:tcPr>
            <w:tcW w:w="843" w:type="pct"/>
            <w:shd w:val="clear" w:color="auto" w:fill="FFFFFF"/>
            <w:tcMar>
              <w:left w:w="60" w:type="dxa"/>
              <w:right w:w="60" w:type="dxa"/>
            </w:tcMar>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184 (34.0)</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31 (17.9)</w:t>
            </w:r>
          </w:p>
        </w:tc>
        <w:tc>
          <w:tcPr>
            <w:tcW w:w="796"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r w:rsidRPr="00780031">
              <w:rPr>
                <w:rFonts w:cstheme="minorHAnsi"/>
                <w:color w:val="000000"/>
                <w:sz w:val="18"/>
                <w:szCs w:val="18"/>
              </w:rPr>
              <w:t>270 (35.5)</w:t>
            </w:r>
          </w:p>
        </w:tc>
        <w:tc>
          <w:tcPr>
            <w:tcW w:w="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c>
          <w:tcPr>
            <w:tcW w:w="272" w:type="pct"/>
            <w:shd w:val="clear" w:color="auto" w:fill="FFFFFF"/>
          </w:tcPr>
          <w:p w:rsidR="009321C1" w:rsidRPr="00780031" w:rsidRDefault="009321C1" w:rsidP="005E384D">
            <w:pPr>
              <w:adjustRightInd w:val="0"/>
              <w:spacing w:before="60" w:after="60"/>
              <w:jc w:val="right"/>
              <w:rPr>
                <w:rFonts w:cstheme="minorHAnsi"/>
                <w:color w:val="000000"/>
                <w:sz w:val="18"/>
                <w:szCs w:val="18"/>
              </w:rPr>
            </w:pPr>
          </w:p>
        </w:tc>
      </w:tr>
    </w:tbl>
    <w:p w:rsidR="009321C1" w:rsidRDefault="009321C1" w:rsidP="009321C1">
      <w:pPr>
        <w:spacing w:after="0" w:line="240" w:lineRule="auto"/>
        <w:rPr>
          <w:lang w:val="en-GB"/>
        </w:rPr>
      </w:pPr>
      <w:r w:rsidRPr="00E35CAA">
        <w:rPr>
          <w:sz w:val="20"/>
          <w:lang w:val="en-GB"/>
        </w:rPr>
        <w:t xml:space="preserve">*Kruskal-Wallis test </w:t>
      </w:r>
      <w:r>
        <w:rPr>
          <w:sz w:val="20"/>
          <w:lang w:val="en-GB"/>
        </w:rPr>
        <w:t xml:space="preserve"> </w:t>
      </w:r>
      <w:r w:rsidRPr="00E35CAA">
        <w:rPr>
          <w:sz w:val="20"/>
          <w:lang w:val="en-GB"/>
        </w:rPr>
        <w:t xml:space="preserve">** Chis-squared test </w:t>
      </w:r>
    </w:p>
    <w:p w:rsidR="009321C1" w:rsidRPr="00092960" w:rsidRDefault="009321C1" w:rsidP="009321C1">
      <w:pPr>
        <w:rPr>
          <w:lang w:val="en-GB"/>
        </w:rPr>
      </w:pPr>
    </w:p>
    <w:p w:rsidR="00497E83" w:rsidRPr="009321C1" w:rsidRDefault="00497E83">
      <w:pPr>
        <w:rPr>
          <w:lang w:val="en-GB"/>
        </w:rPr>
      </w:pPr>
    </w:p>
    <w:sectPr w:rsidR="00497E83" w:rsidRPr="009321C1" w:rsidSect="002166A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468D0"/>
    <w:multiLevelType w:val="hybridMultilevel"/>
    <w:tmpl w:val="43D00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E04D23"/>
    <w:multiLevelType w:val="hybridMultilevel"/>
    <w:tmpl w:val="D0A4D2E2"/>
    <w:lvl w:ilvl="0" w:tplc="0022525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691853"/>
    <w:multiLevelType w:val="hybridMultilevel"/>
    <w:tmpl w:val="D122A4B8"/>
    <w:lvl w:ilvl="0" w:tplc="79B69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D01643"/>
    <w:multiLevelType w:val="hybridMultilevel"/>
    <w:tmpl w:val="9C0ABF94"/>
    <w:lvl w:ilvl="0" w:tplc="CE7E39B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466B46B8"/>
    <w:multiLevelType w:val="hybridMultilevel"/>
    <w:tmpl w:val="4F363AAA"/>
    <w:lvl w:ilvl="0" w:tplc="3C2A7AE0">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7764102"/>
    <w:multiLevelType w:val="hybridMultilevel"/>
    <w:tmpl w:val="71D2079E"/>
    <w:lvl w:ilvl="0" w:tplc="9D124460">
      <w:start w:val="1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0A21377"/>
    <w:multiLevelType w:val="hybridMultilevel"/>
    <w:tmpl w:val="16A62C68"/>
    <w:lvl w:ilvl="0" w:tplc="080C0017">
      <w:start w:val="1"/>
      <w:numFmt w:val="lowerLetter"/>
      <w:lvlText w:val="%1)"/>
      <w:lvlJc w:val="left"/>
      <w:pPr>
        <w:ind w:left="1776" w:hanging="360"/>
      </w:p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7" w15:restartNumberingAfterBreak="0">
    <w:nsid w:val="66046308"/>
    <w:multiLevelType w:val="hybridMultilevel"/>
    <w:tmpl w:val="BDAAC05C"/>
    <w:lvl w:ilvl="0" w:tplc="B8D41160">
      <w:start w:val="1"/>
      <w:numFmt w:val="decimal"/>
      <w:lvlText w:val="%1."/>
      <w:lvlJc w:val="left"/>
      <w:pPr>
        <w:ind w:left="720" w:hanging="360"/>
      </w:pPr>
      <w:rPr>
        <w:rFonts w:hint="default"/>
        <w:b/>
        <w:color w:val="231F20"/>
        <w:sz w:val="22"/>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900794C"/>
    <w:multiLevelType w:val="hybridMultilevel"/>
    <w:tmpl w:val="6C1ABC92"/>
    <w:lvl w:ilvl="0" w:tplc="C0E6ECDC">
      <w:start w:val="1"/>
      <w:numFmt w:val="lowerLetter"/>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41463A1"/>
    <w:multiLevelType w:val="hybridMultilevel"/>
    <w:tmpl w:val="9C0ABF94"/>
    <w:lvl w:ilvl="0" w:tplc="CE7E39B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74716704"/>
    <w:multiLevelType w:val="hybridMultilevel"/>
    <w:tmpl w:val="5DC27444"/>
    <w:lvl w:ilvl="0" w:tplc="97E48A98">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776B1E4D"/>
    <w:multiLevelType w:val="hybridMultilevel"/>
    <w:tmpl w:val="1A9E8E1E"/>
    <w:lvl w:ilvl="0" w:tplc="B8D41160">
      <w:start w:val="1"/>
      <w:numFmt w:val="decimal"/>
      <w:lvlText w:val="%1."/>
      <w:lvlJc w:val="left"/>
      <w:pPr>
        <w:ind w:left="720" w:hanging="360"/>
      </w:pPr>
      <w:rPr>
        <w:rFonts w:hint="default"/>
        <w:b/>
        <w:color w:val="231F20"/>
        <w:sz w:val="22"/>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A404343"/>
    <w:multiLevelType w:val="hybridMultilevel"/>
    <w:tmpl w:val="A2B819F2"/>
    <w:lvl w:ilvl="0" w:tplc="B8D41160">
      <w:start w:val="1"/>
      <w:numFmt w:val="decimal"/>
      <w:lvlText w:val="%1."/>
      <w:lvlJc w:val="left"/>
      <w:pPr>
        <w:ind w:left="720" w:hanging="360"/>
      </w:pPr>
      <w:rPr>
        <w:rFonts w:hint="default"/>
        <w:b/>
        <w:color w:val="231F20"/>
        <w:sz w:val="22"/>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7B856F36"/>
    <w:multiLevelType w:val="hybridMultilevel"/>
    <w:tmpl w:val="B306A39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C5C2983"/>
    <w:multiLevelType w:val="hybridMultilevel"/>
    <w:tmpl w:val="A71A271C"/>
    <w:lvl w:ilvl="0" w:tplc="60340616">
      <w:start w:val="1"/>
      <w:numFmt w:val="decimal"/>
      <w:lvlText w:val="%1."/>
      <w:lvlJc w:val="left"/>
      <w:pPr>
        <w:ind w:left="720" w:hanging="360"/>
      </w:pPr>
      <w:rPr>
        <w:rFonts w:hint="default"/>
        <w:color w:val="231F20"/>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7"/>
  </w:num>
  <w:num w:numId="5">
    <w:abstractNumId w:val="6"/>
  </w:num>
  <w:num w:numId="6">
    <w:abstractNumId w:val="14"/>
  </w:num>
  <w:num w:numId="7">
    <w:abstractNumId w:val="5"/>
  </w:num>
  <w:num w:numId="8">
    <w:abstractNumId w:val="1"/>
  </w:num>
  <w:num w:numId="9">
    <w:abstractNumId w:val="0"/>
  </w:num>
  <w:num w:numId="10">
    <w:abstractNumId w:val="2"/>
  </w:num>
  <w:num w:numId="11">
    <w:abstractNumId w:val="13"/>
  </w:num>
  <w:num w:numId="12">
    <w:abstractNumId w:val="10"/>
  </w:num>
  <w:num w:numId="13">
    <w:abstractNumId w:val="12"/>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C1"/>
    <w:rsid w:val="00497E83"/>
    <w:rsid w:val="009321C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0F15"/>
  <w15:chartTrackingRefBased/>
  <w15:docId w15:val="{D90180C8-051E-46BC-946D-18C2012B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1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21C1"/>
    <w:pPr>
      <w:ind w:left="720"/>
      <w:contextualSpacing/>
    </w:pPr>
  </w:style>
  <w:style w:type="character" w:styleId="Marquedecommentaire">
    <w:name w:val="annotation reference"/>
    <w:basedOn w:val="Policepardfaut"/>
    <w:uiPriority w:val="99"/>
    <w:semiHidden/>
    <w:unhideWhenUsed/>
    <w:rsid w:val="009321C1"/>
    <w:rPr>
      <w:sz w:val="16"/>
      <w:szCs w:val="16"/>
    </w:rPr>
  </w:style>
  <w:style w:type="paragraph" w:styleId="Commentaire">
    <w:name w:val="annotation text"/>
    <w:basedOn w:val="Normal"/>
    <w:link w:val="CommentaireCar"/>
    <w:uiPriority w:val="99"/>
    <w:unhideWhenUsed/>
    <w:rsid w:val="009321C1"/>
    <w:pPr>
      <w:spacing w:line="240" w:lineRule="auto"/>
    </w:pPr>
    <w:rPr>
      <w:sz w:val="20"/>
      <w:szCs w:val="20"/>
    </w:rPr>
  </w:style>
  <w:style w:type="character" w:customStyle="1" w:styleId="CommentaireCar">
    <w:name w:val="Commentaire Car"/>
    <w:basedOn w:val="Policepardfaut"/>
    <w:link w:val="Commentaire"/>
    <w:uiPriority w:val="99"/>
    <w:rsid w:val="009321C1"/>
    <w:rPr>
      <w:sz w:val="20"/>
      <w:szCs w:val="20"/>
    </w:rPr>
  </w:style>
  <w:style w:type="paragraph" w:styleId="Objetducommentaire">
    <w:name w:val="annotation subject"/>
    <w:basedOn w:val="Commentaire"/>
    <w:next w:val="Commentaire"/>
    <w:link w:val="ObjetducommentaireCar"/>
    <w:uiPriority w:val="99"/>
    <w:semiHidden/>
    <w:unhideWhenUsed/>
    <w:rsid w:val="009321C1"/>
    <w:rPr>
      <w:b/>
      <w:bCs/>
    </w:rPr>
  </w:style>
  <w:style w:type="character" w:customStyle="1" w:styleId="ObjetducommentaireCar">
    <w:name w:val="Objet du commentaire Car"/>
    <w:basedOn w:val="CommentaireCar"/>
    <w:link w:val="Objetducommentaire"/>
    <w:uiPriority w:val="99"/>
    <w:semiHidden/>
    <w:rsid w:val="009321C1"/>
    <w:rPr>
      <w:b/>
      <w:bCs/>
      <w:sz w:val="20"/>
      <w:szCs w:val="20"/>
    </w:rPr>
  </w:style>
  <w:style w:type="paragraph" w:styleId="Textedebulles">
    <w:name w:val="Balloon Text"/>
    <w:basedOn w:val="Normal"/>
    <w:link w:val="TextedebullesCar"/>
    <w:uiPriority w:val="99"/>
    <w:semiHidden/>
    <w:unhideWhenUsed/>
    <w:rsid w:val="009321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321C1"/>
    <w:rPr>
      <w:rFonts w:ascii="Segoe UI" w:hAnsi="Segoe UI" w:cs="Segoe UI"/>
      <w:sz w:val="18"/>
      <w:szCs w:val="18"/>
    </w:rPr>
  </w:style>
  <w:style w:type="paragraph" w:styleId="Notedebasdepage">
    <w:name w:val="footnote text"/>
    <w:basedOn w:val="Normal"/>
    <w:link w:val="NotedebasdepageCar"/>
    <w:uiPriority w:val="99"/>
    <w:semiHidden/>
    <w:unhideWhenUsed/>
    <w:rsid w:val="009321C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321C1"/>
    <w:rPr>
      <w:sz w:val="20"/>
      <w:szCs w:val="20"/>
    </w:rPr>
  </w:style>
  <w:style w:type="character" w:styleId="Appelnotedebasdep">
    <w:name w:val="footnote reference"/>
    <w:basedOn w:val="Policepardfaut"/>
    <w:uiPriority w:val="99"/>
    <w:semiHidden/>
    <w:unhideWhenUsed/>
    <w:rsid w:val="009321C1"/>
    <w:rPr>
      <w:vertAlign w:val="superscript"/>
    </w:rPr>
  </w:style>
  <w:style w:type="paragraph" w:styleId="En-tte">
    <w:name w:val="header"/>
    <w:basedOn w:val="Normal"/>
    <w:link w:val="En-tteCar"/>
    <w:uiPriority w:val="99"/>
    <w:unhideWhenUsed/>
    <w:rsid w:val="009321C1"/>
    <w:pPr>
      <w:tabs>
        <w:tab w:val="center" w:pos="4536"/>
        <w:tab w:val="right" w:pos="9072"/>
      </w:tabs>
      <w:spacing w:after="0" w:line="240" w:lineRule="auto"/>
    </w:pPr>
  </w:style>
  <w:style w:type="character" w:customStyle="1" w:styleId="En-tteCar">
    <w:name w:val="En-tête Car"/>
    <w:basedOn w:val="Policepardfaut"/>
    <w:link w:val="En-tte"/>
    <w:uiPriority w:val="99"/>
    <w:rsid w:val="009321C1"/>
  </w:style>
  <w:style w:type="paragraph" w:styleId="Pieddepage">
    <w:name w:val="footer"/>
    <w:basedOn w:val="Normal"/>
    <w:link w:val="PieddepageCar"/>
    <w:uiPriority w:val="99"/>
    <w:unhideWhenUsed/>
    <w:rsid w:val="009321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21C1"/>
  </w:style>
  <w:style w:type="character" w:styleId="Lienhypertexte">
    <w:name w:val="Hyperlink"/>
    <w:basedOn w:val="Policepardfaut"/>
    <w:uiPriority w:val="99"/>
    <w:unhideWhenUsed/>
    <w:rsid w:val="009321C1"/>
    <w:rPr>
      <w:color w:val="0000FF"/>
      <w:u w:val="single"/>
    </w:rPr>
  </w:style>
  <w:style w:type="table" w:styleId="Grilledutableau">
    <w:name w:val="Table Grid"/>
    <w:basedOn w:val="TableauNormal"/>
    <w:uiPriority w:val="39"/>
    <w:rsid w:val="00932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basedOn w:val="Policepardfaut"/>
    <w:uiPriority w:val="99"/>
    <w:semiHidden/>
    <w:unhideWhenUsed/>
    <w:rsid w:val="00932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5202</Words>
  <Characters>28611</Characters>
  <Application>Microsoft Office Word</Application>
  <DocSecurity>0</DocSecurity>
  <Lines>238</Lines>
  <Paragraphs>67</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33746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DARDENNE</dc:creator>
  <cp:keywords/>
  <dc:description/>
  <cp:lastModifiedBy>Nadia DARDENNE</cp:lastModifiedBy>
  <cp:revision>1</cp:revision>
  <dcterms:created xsi:type="dcterms:W3CDTF">2022-04-22T08:50:00Z</dcterms:created>
  <dcterms:modified xsi:type="dcterms:W3CDTF">2022-04-22T08:51:00Z</dcterms:modified>
</cp:coreProperties>
</file>